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widowControl/>
        <w:jc w:val="left"/>
      </w:pPr>
      <w:r>
        <w:rPr>
          <w:rFonts w:ascii="Calibri" w:hAnsi="Calibri"/>
          <w:color w:val="000000"/>
        </w:rPr>
        <w:t>RTGSA Uniform Number Policy</w:t>
      </w:r>
    </w:p>
    <w:p>
      <w:pPr>
        <w:keepLines/>
        <w:widowControl/>
        <w:jc w:val="left"/>
      </w:pPr>
      <w:r>
        <w:rPr>
          <w:rFonts w:ascii="Calibri" w:hAnsi="Calibri"/>
          <w:color w:val="000000"/>
        </w:rPr>
        <w:t>Effective date: Spring 2027</w:t>
      </w:r>
    </w:p>
    <w:p>
      <w:pPr>
        <w:pStyle w:val="Heading1"/>
        <w:keepLines/>
        <w:widowControl/>
        <w:jc w:val="left"/>
      </w:pPr>
      <w:r>
        <w:rPr>
          <w:rFonts w:ascii="Calibri" w:hAnsi="Calibri"/>
          <w:color w:val="000000"/>
        </w:rPr>
        <w:t>1 Purpose</w:t>
      </w:r>
    </w:p>
    <w:p>
      <w:pPr>
        <w:keepLines/>
        <w:widowControl/>
        <w:jc w:val="left"/>
      </w:pPr>
      <w:r>
        <w:rPr>
          <w:rFonts w:ascii="Calibri" w:hAnsi="Calibri"/>
          <w:color w:val="000000"/>
        </w:rPr>
        <w:t>Rancho Trabuco Girls Softball Association ("RTGSA") will make reasonable efforts to honor player jersey-number preferences while providing a fair and consistent process when multiple players assigned to the same team request the same number.</w:t>
      </w:r>
    </w:p>
    <w:p>
      <w:pPr>
        <w:keepLines/>
        <w:widowControl/>
        <w:jc w:val="left"/>
      </w:pPr>
      <w:r>
        <w:rPr>
          <w:rFonts w:ascii="Calibri" w:hAnsi="Calibri"/>
          <w:color w:val="000000"/>
        </w:rPr>
        <w:t>This policy applies only when an actual number conflict exists. It does not create permanent ownership of a jersey number, and no requested number is guaranteed.</w:t>
      </w:r>
    </w:p>
    <w:p>
      <w:pPr>
        <w:keepLines/>
        <w:widowControl/>
        <w:jc w:val="left"/>
      </w:pPr>
      <w:r>
        <w:rPr>
          <w:rFonts w:ascii="Calibri" w:hAnsi="Calibri"/>
          <w:color w:val="000000"/>
        </w:rPr>
        <w:t>The purpose of the seniority process is to recognize a player's established history with a number and continued participation in RTGSA while treating Rec, Select, and All-Star participation fairly and consistently.</w:t>
      </w:r>
    </w:p>
    <w:p>
      <w:pPr>
        <w:pStyle w:val="Heading1"/>
        <w:keepLines/>
        <w:widowControl/>
        <w:jc w:val="left"/>
      </w:pPr>
      <w:r>
        <w:rPr>
          <w:rFonts w:ascii="Calibri" w:hAnsi="Calibri"/>
          <w:color w:val="000000"/>
        </w:rPr>
        <w:t>2 Number Requests and USA Softball Requirements</w:t>
      </w:r>
    </w:p>
    <w:p>
      <w:pPr>
        <w:keepLines/>
        <w:widowControl/>
        <w:jc w:val="left"/>
      </w:pPr>
      <w:r>
        <w:rPr>
          <w:rFonts w:ascii="Calibri" w:hAnsi="Calibri"/>
          <w:color w:val="000000"/>
        </w:rPr>
        <w:t>During registration, players will submit a first, second, and third jersey-number choice. RTGSA will attempt to assign those choices in order of preference.</w:t>
      </w:r>
    </w:p>
    <w:p>
      <w:pPr>
        <w:keepLines/>
        <w:widowControl/>
        <w:jc w:val="left"/>
      </w:pPr>
      <w:r>
        <w:rPr>
          <w:rFonts w:ascii="Calibri" w:hAnsi="Calibri"/>
          <w:color w:val="000000"/>
        </w:rPr>
        <w:t>All number assignments must comply with applicable USA Softball rules. USA Softball currently permits uniform numbers from 0 through 99 and does not allow players on the same team to wear identical numbers.</w:t>
      </w:r>
    </w:p>
    <w:p>
      <w:pPr>
        <w:keepLines/>
        <w:widowControl/>
        <w:jc w:val="left"/>
      </w:pPr>
      <w:r>
        <w:rPr>
          <w:rFonts w:ascii="Calibri" w:hAnsi="Calibri"/>
          <w:color w:val="000000"/>
        </w:rPr>
        <w:t>Where permitted by applicable USA Softball rules and the uniform vendor, RTGSA may recognize leading-zero numbers as different numbers, including combinations such as 0/00, 1/01, and 9/09.</w:t>
      </w:r>
    </w:p>
    <w:p>
      <w:pPr>
        <w:keepLines/>
        <w:widowControl/>
        <w:jc w:val="left"/>
      </w:pPr>
      <w:r>
        <w:rPr>
          <w:rFonts w:ascii="Calibri" w:hAnsi="Calibri"/>
          <w:color w:val="000000"/>
        </w:rPr>
        <w:t>Players on different RTGSA teams may wear the same number.</w:t>
      </w:r>
    </w:p>
    <w:p>
      <w:pPr>
        <w:pStyle w:val="Heading1"/>
        <w:keepLines/>
        <w:widowControl/>
        <w:jc w:val="left"/>
      </w:pPr>
      <w:r>
        <w:rPr>
          <w:rFonts w:ascii="Calibri" w:hAnsi="Calibri"/>
          <w:color w:val="000000"/>
        </w:rPr>
        <w:t>3 Number Seniority</w:t>
      </w:r>
    </w:p>
    <w:p>
      <w:pPr>
        <w:keepLines/>
        <w:widowControl/>
        <w:jc w:val="left"/>
      </w:pPr>
      <w:r>
        <w:rPr>
          <w:rFonts w:ascii="Calibri" w:hAnsi="Calibri"/>
          <w:color w:val="000000"/>
        </w:rPr>
        <w:t>When two or more players assigned to the same team request the same number, RTGSA will use the following priority order:</w:t>
      </w:r>
    </w:p>
    <w:p>
      <w:pPr>
        <w:pStyle w:val="Heading2"/>
        <w:keepLines/>
        <w:widowControl/>
        <w:jc w:val="left"/>
      </w:pPr>
      <w:r>
        <w:rPr>
          <w:rFonts w:ascii="Calibri" w:hAnsi="Calibri"/>
          <w:color w:val="000000"/>
        </w:rPr>
        <w:t>First Priority Number Tenure</w:t>
      </w:r>
    </w:p>
    <w:p>
      <w:pPr>
        <w:keepLines/>
        <w:widowControl/>
        <w:jc w:val="left"/>
      </w:pPr>
      <w:r>
        <w:rPr>
          <w:rFonts w:ascii="Calibri" w:hAnsi="Calibri"/>
          <w:color w:val="000000"/>
        </w:rPr>
        <w:t>Priority will first be given to the player with the greatest verified history of wearing that specific number in the applicable RTGSA program.</w:t>
      </w:r>
    </w:p>
    <w:p>
      <w:pPr>
        <w:pStyle w:val="Heading2"/>
        <w:keepLines/>
        <w:widowControl/>
        <w:jc w:val="left"/>
      </w:pPr>
      <w:r>
        <w:rPr>
          <w:rFonts w:ascii="Calibri" w:hAnsi="Calibri"/>
          <w:color w:val="000000"/>
        </w:rPr>
        <w:t>Second Priority RTGSA Participation Seniority</w:t>
      </w:r>
    </w:p>
    <w:p>
      <w:pPr>
        <w:keepLines/>
        <w:widowControl/>
        <w:jc w:val="left"/>
      </w:pPr>
      <w:r>
        <w:rPr>
          <w:rFonts w:ascii="Calibri" w:hAnsi="Calibri"/>
          <w:color w:val="000000"/>
        </w:rPr>
        <w:t>If Number Tenure is tied, priority will be given to the player with the greater number of completed qualifying RTGSA Fall and Spring seasons.</w:t>
      </w:r>
    </w:p>
    <w:p>
      <w:pPr>
        <w:pStyle w:val="Heading2"/>
        <w:keepLines/>
        <w:widowControl/>
        <w:jc w:val="left"/>
      </w:pPr>
      <w:r>
        <w:rPr>
          <w:rFonts w:ascii="Calibri" w:hAnsi="Calibri"/>
          <w:color w:val="000000"/>
        </w:rPr>
        <w:t>Third Priority Neutral Tiebreaker</w:t>
      </w:r>
    </w:p>
    <w:p>
      <w:pPr>
        <w:keepLines/>
        <w:widowControl/>
        <w:jc w:val="left"/>
      </w:pPr>
      <w:r>
        <w:rPr>
          <w:rFonts w:ascii="Calibri" w:hAnsi="Calibri"/>
          <w:color w:val="000000"/>
        </w:rPr>
        <w:t>If the players remain tied, RTGSA will use a neutral random selection to determine priority.</w:t>
      </w:r>
    </w:p>
    <w:p>
      <w:pPr>
        <w:keepLines/>
        <w:widowControl/>
        <w:jc w:val="left"/>
      </w:pPr>
      <w:r>
        <w:rPr>
          <w:rFonts w:ascii="Calibri" w:hAnsi="Calibri"/>
          <w:color w:val="000000"/>
        </w:rPr>
        <w:t>Registration date or time, coach preference, parent volunteer or Board position, Select status, and All-Star status will not be used as independent tiebreakers.</w:t>
      </w:r>
    </w:p>
    <w:p>
      <w:pPr>
        <w:pStyle w:val="Heading1"/>
        <w:keepLines/>
        <w:widowControl/>
        <w:jc w:val="left"/>
      </w:pPr>
      <w:r>
        <w:rPr>
          <w:rFonts w:ascii="Calibri" w:hAnsi="Calibri"/>
          <w:color w:val="000000"/>
        </w:rPr>
        <w:t>4 RTGSA Participation Seniority</w:t>
      </w:r>
    </w:p>
    <w:p>
      <w:pPr>
        <w:keepLines/>
        <w:widowControl/>
        <w:jc w:val="left"/>
      </w:pPr>
      <w:r>
        <w:rPr>
          <w:rFonts w:ascii="Calibri" w:hAnsi="Calibri"/>
          <w:color w:val="000000"/>
        </w:rPr>
        <w:t>RTGSA wants to recognize players who consistently participate in the League during both Fall and Spring.</w:t>
      </w:r>
    </w:p>
    <w:p>
      <w:pPr>
        <w:keepNext/>
        <w:keepLines/>
        <w:widowControl/>
        <w:jc w:val="left"/>
      </w:pPr>
      <w:r>
        <w:rPr>
          <w:rFonts w:ascii="Calibri" w:hAnsi="Calibri"/>
          <w:color w:val="000000"/>
        </w:rPr>
        <w:t>For purposes of RTGSA Participation Seniority:</w:t>
      </w:r>
    </w:p>
    <w:p>
      <w:pPr>
        <w:pStyle w:val="ListBullet"/>
        <w:keepLines/>
        <w:widowControl/>
        <w:numPr>
          <w:ilvl w:val="0"/>
          <w:numId w:val="2"/>
        </w:numPr>
        <w:ind w:left="288" w:hanging="216"/>
        <w:jc w:val="left"/>
      </w:pPr>
      <w:r>
        <w:rPr>
          <w:rFonts w:ascii="Calibri" w:hAnsi="Calibri"/>
          <w:color w:val="000000"/>
        </w:rPr>
        <w:t>A completed Fall Rec season counts as one Fall season.</w:t>
      </w:r>
    </w:p>
    <w:p>
      <w:pPr>
        <w:pStyle w:val="ListBullet"/>
        <w:keepLines/>
        <w:widowControl/>
        <w:numPr>
          <w:ilvl w:val="0"/>
          <w:numId w:val="2"/>
        </w:numPr>
        <w:ind w:left="288" w:hanging="216"/>
        <w:jc w:val="left"/>
      </w:pPr>
      <w:r>
        <w:rPr>
          <w:rFonts w:ascii="Calibri" w:hAnsi="Calibri"/>
          <w:color w:val="000000"/>
        </w:rPr>
        <w:t>A completed Fall Select season counts as one Fall season.</w:t>
      </w:r>
    </w:p>
    <w:p>
      <w:pPr>
        <w:pStyle w:val="ListBullet"/>
        <w:keepLines/>
        <w:widowControl/>
        <w:numPr>
          <w:ilvl w:val="0"/>
          <w:numId w:val="2"/>
        </w:numPr>
        <w:ind w:left="288" w:hanging="216"/>
        <w:jc w:val="left"/>
      </w:pPr>
      <w:r>
        <w:rPr>
          <w:rFonts w:ascii="Calibri" w:hAnsi="Calibri"/>
          <w:color w:val="000000"/>
        </w:rPr>
        <w:t>A completed Spring Rec season counts as one Spring season.</w:t>
      </w:r>
    </w:p>
    <w:p>
      <w:pPr>
        <w:pStyle w:val="ListBullet"/>
        <w:keepLines/>
        <w:widowControl/>
        <w:numPr>
          <w:ilvl w:val="0"/>
          <w:numId w:val="2"/>
        </w:numPr>
        <w:ind w:left="288" w:hanging="216"/>
        <w:jc w:val="left"/>
      </w:pPr>
      <w:r>
        <w:rPr>
          <w:rFonts w:ascii="Calibri" w:hAnsi="Calibri"/>
          <w:color w:val="000000"/>
        </w:rPr>
        <w:t>A player participating in both Fall and Spring may therefore earn up to two seasons of Participation Seniority during a league year.</w:t>
      </w:r>
    </w:p>
    <w:p>
      <w:pPr>
        <w:pStyle w:val="ListBullet"/>
        <w:keepLines/>
        <w:widowControl/>
        <w:numPr>
          <w:ilvl w:val="0"/>
          <w:numId w:val="2"/>
        </w:numPr>
        <w:ind w:left="288" w:hanging="216"/>
        <w:jc w:val="left"/>
      </w:pPr>
      <w:r>
        <w:rPr>
          <w:rFonts w:ascii="Calibri" w:hAnsi="Calibri"/>
          <w:color w:val="000000"/>
        </w:rPr>
        <w:t>A player may receive only one Participation Seniority credit for a particular Fall season and one credit for a particular Spring season.</w:t>
      </w:r>
    </w:p>
    <w:p>
      <w:pPr>
        <w:pStyle w:val="ListBullet"/>
        <w:keepLines/>
        <w:widowControl/>
        <w:numPr>
          <w:ilvl w:val="0"/>
          <w:numId w:val="2"/>
        </w:numPr>
        <w:ind w:left="288" w:hanging="216"/>
        <w:jc w:val="left"/>
      </w:pPr>
      <w:r>
        <w:rPr>
          <w:rFonts w:ascii="Calibri" w:hAnsi="Calibri"/>
          <w:color w:val="000000"/>
        </w:rPr>
        <w:t>Participating in Rec and Select during the same Spring does not create two Spring credits.</w:t>
      </w:r>
    </w:p>
    <w:p>
      <w:pPr>
        <w:pStyle w:val="ListBullet"/>
        <w:keepLines/>
        <w:widowControl/>
        <w:numPr>
          <w:ilvl w:val="0"/>
          <w:numId w:val="2"/>
        </w:numPr>
        <w:spacing w:after="140"/>
        <w:ind w:left="288" w:hanging="216"/>
        <w:jc w:val="left"/>
      </w:pPr>
      <w:r>
        <w:rPr>
          <w:rFonts w:ascii="Calibri" w:hAnsi="Calibri"/>
          <w:color w:val="000000"/>
        </w:rPr>
        <w:t>All-Star participation does not create an additional Spring credit.</w:t>
      </w:r>
    </w:p>
    <w:p>
      <w:pPr>
        <w:pStyle w:val="Heading2"/>
        <w:keepLines/>
        <w:widowControl/>
        <w:jc w:val="left"/>
      </w:pPr>
      <w:r>
        <w:rPr>
          <w:rFonts w:ascii="Calibri" w:hAnsi="Calibri"/>
          <w:color w:val="000000"/>
        </w:rPr>
        <w:t>Fall Select Participation</w:t>
      </w:r>
    </w:p>
    <w:p>
      <w:pPr>
        <w:keepLines/>
        <w:widowControl/>
        <w:jc w:val="left"/>
      </w:pPr>
      <w:r>
        <w:rPr>
          <w:rFonts w:ascii="Calibri" w:hAnsi="Calibri"/>
          <w:color w:val="000000"/>
        </w:rPr>
        <w:t>Because RTGSA's Fall program may require a player to participate in Fall Select instead of Fall Rec, a completed Fall Select season will count the same as a completed Fall Rec season for RTGSA Participation Seniority purposes.</w:t>
      </w:r>
    </w:p>
    <w:p>
      <w:pPr>
        <w:keepLines/>
        <w:widowControl/>
        <w:jc w:val="left"/>
      </w:pPr>
      <w:r>
        <w:rPr>
          <w:rFonts w:ascii="Calibri" w:hAnsi="Calibri"/>
          <w:color w:val="000000"/>
        </w:rPr>
        <w:t>This prevents a player from losing Fall participation credit simply because she participated in RTGSA's Fall Select program rather than Fall Rec.</w:t>
      </w:r>
    </w:p>
    <w:p>
      <w:pPr>
        <w:keepLines/>
        <w:widowControl/>
        <w:jc w:val="left"/>
      </w:pPr>
      <w:r>
        <w:rPr>
          <w:rFonts w:ascii="Calibri" w:hAnsi="Calibri"/>
          <w:color w:val="000000"/>
        </w:rPr>
        <w:t>However, Fall Select participation does not convert Select number history into Rec Number Tenure. Number Tenure remains program-specific as provided below.</w:t>
      </w:r>
    </w:p>
    <w:p>
      <w:pPr>
        <w:pStyle w:val="Heading2"/>
        <w:keepLines/>
        <w:widowControl/>
        <w:jc w:val="left"/>
      </w:pPr>
      <w:r>
        <w:rPr>
          <w:rFonts w:ascii="Calibri" w:hAnsi="Calibri"/>
          <w:color w:val="000000"/>
        </w:rPr>
        <w:t>Consecutive Participation Not Required</w:t>
      </w:r>
    </w:p>
    <w:p>
      <w:pPr>
        <w:keepLines/>
        <w:widowControl/>
        <w:jc w:val="left"/>
      </w:pPr>
      <w:r>
        <w:rPr>
          <w:rFonts w:ascii="Calibri" w:hAnsi="Calibri"/>
          <w:color w:val="000000"/>
        </w:rPr>
        <w:t>RTGSA Participation Seniority is cumulative and does not require consecutive participation.</w:t>
      </w:r>
    </w:p>
    <w:p>
      <w:pPr>
        <w:keepLines/>
        <w:widowControl/>
        <w:jc w:val="left"/>
      </w:pPr>
      <w:r>
        <w:rPr>
          <w:rFonts w:ascii="Calibri" w:hAnsi="Calibri"/>
          <w:color w:val="000000"/>
        </w:rPr>
        <w:t>A player who does not participate in an RTGSA Fall or Spring season retains the Number Tenure and Participation Seniority she previously earned but receives no additional seniority credit for the season missed.</w:t>
      </w:r>
    </w:p>
    <w:p>
      <w:pPr>
        <w:keepLines/>
        <w:widowControl/>
        <w:jc w:val="left"/>
      </w:pPr>
      <w:r>
        <w:rPr>
          <w:rFonts w:ascii="Calibri" w:hAnsi="Calibri"/>
          <w:color w:val="000000"/>
        </w:rPr>
        <w:t>For example, a player who has accumulated four qualifying seasons does not return to zero because she takes a season or year off. Her seniority remains at four while other participating players may continue accumulating additional seniority.</w:t>
      </w:r>
    </w:p>
    <w:p>
      <w:pPr>
        <w:keepLines/>
        <w:widowControl/>
        <w:jc w:val="left"/>
      </w:pPr>
      <w:r>
        <w:rPr>
          <w:rFonts w:ascii="Calibri" w:hAnsi="Calibri"/>
          <w:color w:val="000000"/>
        </w:rPr>
        <w:t>Players who consistently participate in both Fall and Spring can build Participation Seniority faster than players who participate less frequently. Previously earned history remains intact for returning players.</w:t>
      </w:r>
    </w:p>
    <w:p>
      <w:pPr>
        <w:pStyle w:val="Heading1"/>
        <w:keepLines/>
        <w:widowControl/>
        <w:jc w:val="left"/>
      </w:pPr>
      <w:r>
        <w:rPr>
          <w:rFonts w:ascii="Calibri" w:hAnsi="Calibri"/>
          <w:color w:val="000000"/>
        </w:rPr>
        <w:t>5 Rec Select and All Star Number Tenure</w:t>
      </w:r>
    </w:p>
    <w:p>
      <w:pPr>
        <w:keepLines/>
        <w:widowControl/>
        <w:jc w:val="left"/>
      </w:pPr>
      <w:r>
        <w:rPr>
          <w:rFonts w:ascii="Calibri" w:hAnsi="Calibri"/>
          <w:color w:val="000000"/>
        </w:rPr>
        <w:t>Number Tenure will be maintained separately by program.</w:t>
      </w:r>
    </w:p>
    <w:p>
      <w:pPr>
        <w:keepLines/>
        <w:widowControl/>
        <w:jc w:val="left"/>
      </w:pPr>
      <w:r>
        <w:rPr>
          <w:rFonts w:ascii="Calibri" w:hAnsi="Calibri"/>
          <w:color w:val="000000"/>
        </w:rPr>
        <w:t>Rec: Prior use of a number on an RTGSA Rec team establishes Rec Number Tenure.</w:t>
      </w:r>
    </w:p>
    <w:p>
      <w:pPr>
        <w:keepLines/>
        <w:widowControl/>
        <w:jc w:val="left"/>
      </w:pPr>
      <w:r>
        <w:rPr>
          <w:rFonts w:ascii="Calibri" w:hAnsi="Calibri"/>
          <w:color w:val="000000"/>
        </w:rPr>
        <w:t>Select: Prior use of a number on an RTGSA Select team establishes Select Number Tenure.</w:t>
      </w:r>
    </w:p>
    <w:p>
      <w:pPr>
        <w:keepLines/>
        <w:widowControl/>
        <w:jc w:val="left"/>
      </w:pPr>
      <w:r>
        <w:rPr>
          <w:rFonts w:ascii="Calibri" w:hAnsi="Calibri"/>
          <w:color w:val="000000"/>
        </w:rPr>
        <w:t>All-Stars: Prior use of a number on an RTGSA All-Star team establishes All-Star Number Tenure.</w:t>
      </w:r>
    </w:p>
    <w:p>
      <w:pPr>
        <w:keepLines/>
        <w:widowControl/>
        <w:jc w:val="left"/>
      </w:pPr>
      <w:r>
        <w:rPr>
          <w:rFonts w:ascii="Calibri" w:hAnsi="Calibri"/>
          <w:color w:val="000000"/>
        </w:rPr>
        <w:t>Number history earned in Select or All-Stars does not override or increase a player's Rec Number Tenure.</w:t>
      </w:r>
    </w:p>
    <w:p>
      <w:pPr>
        <w:keepLines/>
        <w:widowControl/>
        <w:jc w:val="left"/>
      </w:pPr>
      <w:r>
        <w:rPr>
          <w:rFonts w:ascii="Calibri" w:hAnsi="Calibri"/>
          <w:color w:val="000000"/>
        </w:rPr>
        <w:t>Likewise, Rec or All-Star number history does not independently increase a player's Select Number Tenure, and Rec or Select history does not independently increase a player's All-Star Number Tenure.</w:t>
      </w:r>
    </w:p>
    <w:p>
      <w:pPr>
        <w:keepLines/>
        <w:widowControl/>
        <w:jc w:val="left"/>
      </w:pPr>
      <w:r>
        <w:rPr>
          <w:rFonts w:ascii="Calibri" w:hAnsi="Calibri"/>
          <w:color w:val="000000"/>
        </w:rPr>
        <w:t>Participation in Select or All-Stars does not give a player preferential number status over another player solely because she participated in those programs.</w:t>
      </w:r>
    </w:p>
    <w:p>
      <w:pPr>
        <w:keepLines/>
        <w:widowControl/>
        <w:jc w:val="left"/>
      </w:pPr>
      <w:r>
        <w:rPr>
          <w:rFonts w:ascii="Calibri" w:hAnsi="Calibri"/>
          <w:color w:val="000000"/>
        </w:rPr>
        <w:t>When Number Tenure within the applicable program is tied, overall RTGSA Participation Seniority under Section 4 will be used.</w:t>
      </w:r>
    </w:p>
    <w:p>
      <w:pPr>
        <w:keepLines/>
        <w:widowControl/>
        <w:jc w:val="left"/>
      </w:pPr>
      <w:r>
        <w:rPr>
          <w:rFonts w:ascii="Calibri" w:hAnsi="Calibri"/>
          <w:color w:val="000000"/>
        </w:rPr>
        <w:t>A player's RTGSA number history follows her when she advances to another age division.</w:t>
      </w:r>
    </w:p>
    <w:p>
      <w:pPr>
        <w:pStyle w:val="Heading2"/>
        <w:keepLines/>
        <w:widowControl/>
        <w:jc w:val="left"/>
      </w:pPr>
      <w:r>
        <w:rPr>
          <w:rFonts w:ascii="Calibri" w:hAnsi="Calibri"/>
          <w:color w:val="000000"/>
        </w:rPr>
        <w:t>Example</w:t>
      </w:r>
    </w:p>
    <w:p>
      <w:pPr>
        <w:keepLines/>
        <w:widowControl/>
        <w:jc w:val="left"/>
      </w:pPr>
      <w:r>
        <w:rPr>
          <w:rFonts w:ascii="Calibri" w:hAnsi="Calibri"/>
          <w:color w:val="000000"/>
        </w:rPr>
        <w:t>If two players have each worn #8 for two Spring Rec seasons, their Rec Number Tenure is equal.</w:t>
      </w:r>
    </w:p>
    <w:p>
      <w:pPr>
        <w:keepLines/>
        <w:widowControl/>
        <w:jc w:val="left"/>
      </w:pPr>
      <w:r>
        <w:rPr>
          <w:rFonts w:ascii="Calibri" w:hAnsi="Calibri"/>
          <w:color w:val="000000"/>
        </w:rPr>
        <w:t>If one player also participated in RTGSA during the two intervening Fall seasons, whether in Fall Rec or Fall Select, while the other did not participate in Fall, the year-round player's additional Fall participation would give her greater RTGSA Participation Seniority and priority to #8.</w:t>
      </w:r>
    </w:p>
    <w:p>
      <w:pPr>
        <w:keepLines/>
        <w:widowControl/>
        <w:jc w:val="left"/>
      </w:pPr>
      <w:r>
        <w:rPr>
          <w:rFonts w:ascii="Calibri" w:hAnsi="Calibri"/>
          <w:color w:val="000000"/>
        </w:rPr>
        <w:t>The priority results from her additional RTGSA participation, not from being a Select player.</w:t>
      </w:r>
    </w:p>
    <w:p>
      <w:pPr>
        <w:pStyle w:val="Heading1"/>
        <w:keepLines/>
        <w:widowControl/>
        <w:jc w:val="left"/>
      </w:pPr>
      <w:r>
        <w:rPr>
          <w:rFonts w:ascii="Calibri" w:hAnsi="Calibri"/>
          <w:color w:val="000000"/>
        </w:rPr>
        <w:t>6 New Transferring and Returning Players</w:t>
      </w:r>
    </w:p>
    <w:p>
      <w:pPr>
        <w:keepLines/>
        <w:widowControl/>
        <w:jc w:val="left"/>
      </w:pPr>
      <w:r>
        <w:rPr>
          <w:rFonts w:ascii="Calibri" w:hAnsi="Calibri"/>
          <w:color w:val="000000"/>
        </w:rPr>
        <w:t>Players joining RTGSA from another league may request any available number, but number history or tenure earned with another organization does not establish RTGSA seniority.</w:t>
      </w:r>
    </w:p>
    <w:p>
      <w:pPr>
        <w:keepLines/>
        <w:widowControl/>
        <w:jc w:val="left"/>
      </w:pPr>
      <w:r>
        <w:rPr>
          <w:rFonts w:ascii="Calibri" w:hAnsi="Calibri"/>
          <w:color w:val="000000"/>
        </w:rPr>
        <w:t>A returning RTGSA player retains previously earned Number Tenure and Participation Seniority when that history can reasonably be verified.</w:t>
      </w:r>
    </w:p>
    <w:p>
      <w:pPr>
        <w:keepLines/>
        <w:widowControl/>
        <w:jc w:val="left"/>
      </w:pPr>
      <w:r>
        <w:rPr>
          <w:rFonts w:ascii="Calibri" w:hAnsi="Calibri"/>
          <w:color w:val="000000"/>
        </w:rPr>
        <w:t>Taking a season or year off does not erase previously earned seniority. The player simply does not accumulate additional seniority during the period in which she does not participate.</w:t>
      </w:r>
    </w:p>
    <w:p>
      <w:pPr>
        <w:keepLines/>
        <w:widowControl/>
        <w:jc w:val="left"/>
      </w:pPr>
      <w:r>
        <w:rPr>
          <w:rFonts w:ascii="Calibri" w:hAnsi="Calibri"/>
          <w:color w:val="000000"/>
        </w:rPr>
        <w:t>RTGSA may use prior registrations, rosters, uniform records, TeamSideline, SportsEngine, or other reliable League records to verify historical participation and number use.</w:t>
      </w:r>
    </w:p>
    <w:p>
      <w:pPr>
        <w:pStyle w:val="Heading1"/>
        <w:keepLines/>
        <w:widowControl/>
        <w:jc w:val="left"/>
      </w:pPr>
      <w:r>
        <w:rPr>
          <w:rFonts w:ascii="Calibri" w:hAnsi="Calibri"/>
          <w:color w:val="000000"/>
        </w:rPr>
        <w:t>7 Administration</w:t>
      </w:r>
    </w:p>
    <w:p>
      <w:pPr>
        <w:keepLines/>
        <w:widowControl/>
        <w:jc w:val="left"/>
      </w:pPr>
      <w:r>
        <w:rPr>
          <w:rFonts w:ascii="Calibri" w:hAnsi="Calibri"/>
          <w:color w:val="000000"/>
        </w:rPr>
        <w:t>The RTGSA Uniform/Apparel Coordinator will administer number assignments in accordance with this policy, with assistance from the Registrar or other Board designee as necessary.</w:t>
      </w:r>
    </w:p>
    <w:p>
      <w:pPr>
        <w:keepLines/>
        <w:widowControl/>
        <w:jc w:val="left"/>
      </w:pPr>
      <w:r>
        <w:rPr>
          <w:rFonts w:ascii="Calibri" w:hAnsi="Calibri"/>
          <w:color w:val="000000"/>
        </w:rPr>
        <w:t>Families may voluntarily resolve a number conflict between themselves before the uniform order is submitted. Otherwise, RTGSA will apply the seniority process described in this policy.</w:t>
      </w:r>
    </w:p>
    <w:p>
      <w:pPr>
        <w:keepLines/>
        <w:widowControl/>
        <w:jc w:val="left"/>
      </w:pPr>
      <w:r>
        <w:rPr>
          <w:rFonts w:ascii="Calibri" w:hAnsi="Calibri"/>
          <w:color w:val="000000"/>
        </w:rPr>
        <w:t>If a dispute remains regarding application of this policy, the President and Vice President, or other disinterested Executive Board designees, will make the final determination. Any Board member with a direct family interest in the dispute will recuse themselves.</w:t>
      </w:r>
    </w:p>
    <w:p>
      <w:pPr>
        <w:keepLines/>
        <w:widowControl/>
        <w:jc w:val="left"/>
      </w:pPr>
      <w:r>
        <w:rPr>
          <w:rFonts w:ascii="Calibri" w:hAnsi="Calibri"/>
          <w:color w:val="000000"/>
        </w:rPr>
        <w:t>Once the uniform order has been submitted, number assignments are final except when RTGSA determines that a correction is necessary.</w:t>
      </w:r>
    </w:p>
    <w:p>
      <w:pPr>
        <w:keepLines/>
        <w:widowControl/>
        <w:jc w:val="left"/>
      </w:pPr>
      <w:r>
        <w:rPr>
          <w:rFonts w:ascii="Calibri" w:hAnsi="Calibri"/>
          <w:color w:val="000000"/>
        </w:rPr>
        <w:t>Reference: USA Softball Official Rules of Softball, Rule 3, Section 6D (Uniform Numbers), then-current edition.</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000000"/>
        <w:sz w:val="18"/>
      </w:rPr>
      <w:t xml:space="preserve">RTGSA  |  Uniform Number Policy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
    <w:multiLevelType w:val="singleLevel"/>
    <w:lvl w:ilvl="0">
      <w:start w:val="1"/>
      <w:numFmt w:val="bullet"/>
      <w:lvlText w:val=""/>
      <w:lvlJc w:val="left"/>
      <w:pPr>
        <w:tabs>
          <w:tab w:val="num" w:pos="288"/>
        </w:tabs>
        <w:ind w:left="288" w:hanging="216"/>
      </w:pPr>
      <w:rPr>
        <w:rFonts w:ascii="Symbol" w:hAnsi="Symbol" w:hint="default"/>
        <w:color w:val="000000"/>
      </w:rPr>
    </w:lvl>
  </w:abstractNum>
  <w:num w:numId="1">
    <w:abstractNumId w:val="1"/>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line="252" w:lineRule="auto" w:before="0" w:after="140"/>
    </w:pPr>
    <w:rPr>
      <w:rFonts w:ascii="Calibri" w:hAnsi="Calibri"/>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252" w:lineRule="auto"/>
      <w:outlineLvl w:val="0"/>
    </w:pPr>
    <w:rPr>
      <w:rFonts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40" w:after="100" w:line="252" w:lineRule="auto"/>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sz w:val="28"/>
      <w:szCs w:val="28"/>
    </w:rPr>
  </w:style>
  <w:style w:type="character" w:customStyle="1" w:styleId="Heading2Char">
    <w:name w:val="Heading 2 Char"/>
    <w:basedOn w:val="DefaultParagraphFont"/>
    <w:link w:val="Heading2"/>
    <w:uiPriority w:val="9"/>
    <w:rsid w:val="00FC693F"/>
    <w:rPr>
      <w:rFonts/>
      <w:b/>
      <w:bCs/>
      <w:color w:val="4F81BD"/>
      <w:sz w:val="26"/>
      <w:szCs w:val="26"/>
    </w:rPr>
  </w:style>
  <w:style w:type="character" w:customStyle="1" w:styleId="Heading3Char">
    <w:name w:val="Heading 3 Char"/>
    <w:basedOn w:val="DefaultParagraphFont"/>
    <w:link w:val="Heading3"/>
    <w:uiPriority w:val="9"/>
    <w:rsid w:val="00FC693F"/>
    <w:rPr>
      <w:rFonts/>
      <w:b/>
      <w:bCs/>
      <w:color w:val="4F81BD"/>
    </w:rPr>
  </w:style>
  <w:style w:type="paragraph" w:styleId="Title">
    <w:name w:val="Title"/>
    <w:basedOn w:val="Normal"/>
    <w:next w:val="Normal"/>
    <w:link w:val="TitleChar"/>
    <w:uiPriority w:val="10"/>
    <w:qFormat/>
    <w:rsid w:val="00FC693F"/>
    <w:pPr>
      <w:keepNext/>
      <w:spacing w:after="240" w:line="252" w:lineRule="auto" w:before="0"/>
      <w:contextualSpacing/>
    </w:pPr>
    <w:rPr>
      <w:rFonts w:ascii="Calibri" w:hAnsi="Calibri"/>
      <w:b/>
      <w:color w:val="000000"/>
      <w:spacing w:val="5"/>
      <w:kern w:val="28"/>
      <w:sz w:val="38"/>
      <w:szCs w:val="52"/>
    </w:rPr>
  </w:style>
  <w:style w:type="character" w:customStyle="1" w:styleId="TitleChar">
    <w:name w:val="Title Char"/>
    <w:basedOn w:val="DefaultParagraphFont"/>
    <w:link w:val="Title"/>
    <w:uiPriority w:val="10"/>
    <w:rsid w:val="00FC693F"/>
    <w:rPr>
      <w:rFonts/>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spacing w:val="15"/>
      <w:sz w:val="24"/>
      <w:szCs w:val="24"/>
    </w:rPr>
  </w:style>
  <w:style w:type="character" w:customStyle="1" w:styleId="SubtitleChar">
    <w:name w:val="Subtitle Char"/>
    <w:basedOn w:val="DefaultParagraphFont"/>
    <w:link w:val="Subtitle"/>
    <w:uiPriority w:val="11"/>
    <w:rsid w:val="00FC693F"/>
    <w:rPr>
      <w:rFonts/>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Next w:val="0"/>
      <w:spacing w:line="252" w:lineRule="auto" w:before="0" w:after="40"/>
      <w:contextualSpacing/>
    </w:pPr>
    <w:rPr>
      <w:rFonts w:ascii="Calibri" w:hAnsi="Calibri"/>
      <w:b w:val="0"/>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b/>
      <w:bCs/>
      <w:i/>
      <w:iCs/>
      <w:color w:val="4F81BD"/>
    </w:rPr>
  </w:style>
  <w:style w:type="character" w:customStyle="1" w:styleId="Heading5Char">
    <w:name w:val="Heading 5 Char"/>
    <w:basedOn w:val="DefaultParagraphFont"/>
    <w:link w:val="Heading5"/>
    <w:uiPriority w:val="9"/>
    <w:semiHidden/>
    <w:rsid w:val="00FC693F"/>
    <w:rPr>
      <w:rFonts/>
      <w:color w:val="243F60"/>
    </w:rPr>
  </w:style>
  <w:style w:type="character" w:customStyle="1" w:styleId="Heading6Char">
    <w:name w:val="Heading 6 Char"/>
    <w:basedOn w:val="DefaultParagraphFont"/>
    <w:link w:val="Heading6"/>
    <w:uiPriority w:val="9"/>
    <w:semiHidden/>
    <w:rsid w:val="00FC693F"/>
    <w:rPr>
      <w:rFonts/>
      <w:i/>
      <w:iCs/>
      <w:color w:val="243F60"/>
    </w:rPr>
  </w:style>
  <w:style w:type="character" w:customStyle="1" w:styleId="Heading7Char">
    <w:name w:val="Heading 7 Char"/>
    <w:basedOn w:val="DefaultParagraphFont"/>
    <w:link w:val="Heading7"/>
    <w:uiPriority w:val="9"/>
    <w:semiHidden/>
    <w:rsid w:val="00FC693F"/>
    <w:rPr>
      <w:rFonts/>
      <w:i/>
      <w:iCs/>
      <w:color w:val="404040"/>
    </w:rPr>
  </w:style>
  <w:style w:type="character" w:customStyle="1" w:styleId="Heading8Char">
    <w:name w:val="Heading 8 Char"/>
    <w:basedOn w:val="DefaultParagraphFont"/>
    <w:link w:val="Heading8"/>
    <w:uiPriority w:val="9"/>
    <w:semiHidden/>
    <w:rsid w:val="00FC693F"/>
    <w:rPr>
      <w:rFonts/>
      <w:color w:val="4F81BD"/>
      <w:sz w:val="20"/>
      <w:szCs w:val="20"/>
    </w:rPr>
  </w:style>
  <w:style w:type="character" w:customStyle="1" w:styleId="Heading9Char">
    <w:name w:val="Heading 9 Char"/>
    <w:basedOn w:val="DefaultParagraphFont"/>
    <w:link w:val="Heading9"/>
    <w:uiPriority w:val="9"/>
    <w:semiHidden/>
    <w:rsid w:val="00FC693F"/>
    <w:rPr>
      <w:rFonts/>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tblStylePr>
    <w:tblStylePr w:type="band1Horz">
      <w:tblPr/>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tblStylePr>
    <w:tblStylePr w:type="band1Horz">
      <w:tblPr/>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tblStylePr>
    <w:tblStylePr w:type="band1Horz">
      <w:tblPr/>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tblStylePr>
    <w:tblStylePr w:type="band1Horz">
      <w:tblPr/>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tblStylePr>
    <w:tblStylePr w:type="band1Horz">
      <w:tblPr/>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tblStylePr>
    <w:tblStylePr w:type="band1Horz">
      <w:tblPr/>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tblStylePr>
    <w:tblStylePr w:type="band1Horz">
      <w:tblPr/>
      <w:tcPr/>
    </w:tblStylePr>
  </w:style>
  <w:style w:type="table" w:styleId="MediumList2">
    <w:name w:val="Medium List 2"/>
    <w:basedOn w:val="TableNormal"/>
    <w:uiPriority w:val="66"/>
    <w:rsid w:val="00CB0664"/>
    <w:pPr>
      <w:spacing w:after="0" w:line="240" w:lineRule="auto"/>
    </w:pPr>
    <w:rPr>
      <w:rFonts/>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2">
    <w:name w:val="Medium Grid 2"/>
    <w:basedOn w:val="TableNormal"/>
    <w:uiPriority w:val="68"/>
    <w:rsid w:val="00CB0664"/>
    <w:pPr>
      <w:spacing w:after="0" w:line="240" w:lineRule="auto"/>
    </w:pPr>
    <w:rPr>
      <w:rFonts/>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000000" w:themeColor="text1"/>
          <w:insideV w:val="single" w:sz="6" w:space="0" w:color="000000" w:themeColor="text1"/>
        </w:tcBorders>
      </w:tcPr>
    </w:tblStylePr>
    <w:tblStylePr w:type="nwCell">
      <w:tblPr/>
      <w:tcPr/>
    </w:tblStylePr>
  </w:style>
  <w:style w:type="table" w:styleId="MediumGrid2-Accent1">
    <w:name w:val="Medium Grid 2 Accent 1"/>
    <w:basedOn w:val="TableNormal"/>
    <w:uiPriority w:val="68"/>
    <w:rsid w:val="00CB0664"/>
    <w:pPr>
      <w:spacing w:after="0" w:line="240" w:lineRule="auto"/>
    </w:pPr>
    <w:rPr>
      <w:rFonts/>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4F81BD" w:themeColor="accent1"/>
          <w:insideV w:val="single" w:sz="6" w:space="0" w:color="4F81BD" w:themeColor="accent1"/>
        </w:tcBorders>
      </w:tcPr>
    </w:tblStylePr>
    <w:tblStylePr w:type="nwCell">
      <w:tblPr/>
      <w:tcPr/>
    </w:tblStylePr>
  </w:style>
  <w:style w:type="table" w:styleId="MediumGrid2-Accent2">
    <w:name w:val="Medium Grid 2 Accent 2"/>
    <w:basedOn w:val="TableNormal"/>
    <w:uiPriority w:val="68"/>
    <w:rsid w:val="00CB0664"/>
    <w:pPr>
      <w:spacing w:after="0" w:line="240" w:lineRule="auto"/>
    </w:pPr>
    <w:rPr>
      <w:rFonts/>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C0504D" w:themeColor="accent2"/>
          <w:insideV w:val="single" w:sz="6" w:space="0" w:color="C0504D" w:themeColor="accent2"/>
        </w:tcBorders>
      </w:tcPr>
    </w:tblStylePr>
    <w:tblStylePr w:type="nwCell">
      <w:tblPr/>
      <w:tcPr/>
    </w:tblStylePr>
  </w:style>
  <w:style w:type="table" w:styleId="MediumGrid2-Accent3">
    <w:name w:val="Medium Grid 2 Accent 3"/>
    <w:basedOn w:val="TableNormal"/>
    <w:uiPriority w:val="68"/>
    <w:rsid w:val="00CB0664"/>
    <w:pPr>
      <w:spacing w:after="0" w:line="240" w:lineRule="auto"/>
    </w:pPr>
    <w:rPr>
      <w:rFonts/>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9BBB59" w:themeColor="accent3"/>
          <w:insideV w:val="single" w:sz="6" w:space="0" w:color="9BBB59" w:themeColor="accent3"/>
        </w:tcBorders>
      </w:tcPr>
    </w:tblStylePr>
    <w:tblStylePr w:type="nwCell">
      <w:tblPr/>
      <w:tcPr/>
    </w:tblStylePr>
  </w:style>
  <w:style w:type="table" w:styleId="MediumGrid2-Accent4">
    <w:name w:val="Medium Grid 2 Accent 4"/>
    <w:basedOn w:val="TableNormal"/>
    <w:uiPriority w:val="68"/>
    <w:rsid w:val="00CB0664"/>
    <w:pPr>
      <w:spacing w:after="0" w:line="240" w:lineRule="auto"/>
    </w:pPr>
    <w:rPr>
      <w:rFonts/>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8064A2" w:themeColor="accent4"/>
          <w:insideV w:val="single" w:sz="6" w:space="0" w:color="8064A2" w:themeColor="accent4"/>
        </w:tcBorders>
      </w:tcPr>
    </w:tblStylePr>
    <w:tblStylePr w:type="nwCell">
      <w:tblPr/>
      <w:tcPr/>
    </w:tblStylePr>
  </w:style>
  <w:style w:type="table" w:styleId="MediumGrid2-Accent5">
    <w:name w:val="Medium Grid 2 Accent 5"/>
    <w:basedOn w:val="TableNormal"/>
    <w:uiPriority w:val="68"/>
    <w:rsid w:val="00CB0664"/>
    <w:pPr>
      <w:spacing w:after="0" w:line="240" w:lineRule="auto"/>
    </w:pPr>
    <w:rPr>
      <w:rFonts/>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4BACC6" w:themeColor="accent5"/>
          <w:insideV w:val="single" w:sz="6" w:space="0" w:color="4BACC6" w:themeColor="accent5"/>
        </w:tcBorders>
      </w:tcPr>
    </w:tblStylePr>
    <w:tblStylePr w:type="nwCell">
      <w:tblPr/>
      <w:tcPr/>
    </w:tblStylePr>
  </w:style>
  <w:style w:type="table" w:styleId="MediumGrid2-Accent6">
    <w:name w:val="Medium Grid 2 Accent 6"/>
    <w:basedOn w:val="TableNormal"/>
    <w:uiPriority w:val="68"/>
    <w:rsid w:val="00CB0664"/>
    <w:pPr>
      <w:spacing w:after="0" w:line="240" w:lineRule="auto"/>
    </w:pPr>
    <w:rPr>
      <w:rFonts/>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F79646" w:themeColor="accent6"/>
          <w:insideV w:val="single" w:sz="6" w:space="0" w:color="F79646" w:themeColor="accent6"/>
        </w:tcBorders>
      </w:tcPr>
    </w:tblStylePr>
    <w:tblStylePr w:type="nwCell">
      <w:tblPr/>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000000" w:themeColor="text1"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2C4C74" w:themeColor="accent1"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772C2A" w:themeColor="accent2"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5E7530" w:themeColor="accent3"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4C3B62" w:themeColor="accent4"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276A7C" w:themeColor="accent5"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B65608" w:themeColor="accent6"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9E3A38"/>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9E3A38"/>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9E3A38"/>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664E82"/>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7E9C40"/>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F2730A"/>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348DA5"/>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RTGSA Uniform Number Policy</dc:title>
  <dc:subject>Uniform number requests program tenure participation seniority and conflict resolution</dc:subject>
  <dc:creator>RTGSA</dc:creator>
  <cp:keywords/>
  <dc:description/>
  <cp:lastModifiedBy>RTGSA</cp:lastModifiedBy>
  <cp:revision>1</cp:revision>
  <dcterms:created xsi:type="dcterms:W3CDTF">2013-12-23T23:15:00Z</dcterms:created>
  <dcterms:modified xsi:type="dcterms:W3CDTF">2013-12-23T23:15:00Z</dcterms:modified>
  <cp:category/>
</cp:coreProperties>
</file>