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widowControl/>
        <w:jc w:val="left"/>
      </w:pPr>
      <w:r>
        <w:rPr>
          <w:rFonts w:ascii="Calibri" w:hAnsi="Calibri"/>
          <w:color w:val="000000"/>
        </w:rPr>
        <w:t>RTGSA Sportsmanship Conduct and Ejection Policy</w:t>
      </w:r>
    </w:p>
    <w:p>
      <w:pPr>
        <w:pStyle w:val="Heading1"/>
        <w:keepLines/>
        <w:widowControl/>
      </w:pPr>
      <w:r>
        <w:rPr>
          <w:rFonts w:ascii="Calibri" w:hAnsi="Calibri"/>
          <w:color w:val="000000"/>
        </w:rPr>
        <w:t>1 Purpose and Scope</w:t>
      </w:r>
    </w:p>
    <w:p>
      <w:pPr>
        <w:keepLines/>
        <w:widowControl/>
      </w:pPr>
      <w:r>
        <w:rPr>
          <w:rFonts w:ascii="Calibri" w:hAnsi="Calibri"/>
          <w:color w:val="000000"/>
        </w:rPr>
        <w:t>Rancho Trabuco Girls Softball Association (RTGSA) is committed to providing a safe, positive, competitive, and respectful environment for players, families, coaches, umpires, volunteers, and opposing teams.</w:t>
      </w:r>
    </w:p>
    <w:p>
      <w:pPr>
        <w:keepLines/>
        <w:widowControl/>
      </w:pPr>
      <w:r>
        <w:rPr>
          <w:rFonts w:ascii="Calibri" w:hAnsi="Calibri"/>
          <w:color w:val="000000"/>
        </w:rPr>
        <w:t>This policy establishes league-wide expectations for sportsmanship and conduct and a consistent process for addressing ejections, unsportsmanlike behavior, and other significant conduct concerns.</w:t>
      </w:r>
    </w:p>
    <w:p>
      <w:pPr>
        <w:keepNext/>
        <w:keepLines/>
        <w:widowControl/>
      </w:pPr>
      <w:r>
        <w:rPr>
          <w:rFonts w:ascii="Calibri" w:hAnsi="Calibri"/>
          <w:color w:val="000000"/>
        </w:rPr>
        <w:t>This policy applies to:</w:t>
      </w:r>
    </w:p>
    <w:p>
      <w:pPr>
        <w:pStyle w:val="ListBullet"/>
        <w:keepLines/>
        <w:widowControl/>
        <w:spacing/>
        <w:ind w:left="288" w:hanging="216"/>
      </w:pPr>
      <w:r>
        <w:rPr>
          <w:rFonts w:ascii="Calibri" w:hAnsi="Calibri"/>
          <w:color w:val="000000"/>
        </w:rPr>
        <w:t>Players;</w:t>
      </w:r>
    </w:p>
    <w:p>
      <w:pPr>
        <w:pStyle w:val="ListBullet"/>
        <w:keepLines/>
        <w:widowControl/>
        <w:spacing/>
        <w:ind w:left="288" w:hanging="216"/>
      </w:pPr>
      <w:r>
        <w:rPr>
          <w:rFonts w:ascii="Calibri" w:hAnsi="Calibri"/>
          <w:color w:val="000000"/>
        </w:rPr>
        <w:t>Head Coaches and Assistant Coaches;</w:t>
      </w:r>
    </w:p>
    <w:p>
      <w:pPr>
        <w:pStyle w:val="ListBullet"/>
        <w:keepLines/>
        <w:widowControl/>
        <w:spacing/>
        <w:ind w:left="288" w:hanging="216"/>
      </w:pPr>
      <w:r>
        <w:rPr>
          <w:rFonts w:ascii="Calibri" w:hAnsi="Calibri"/>
          <w:color w:val="000000"/>
        </w:rPr>
        <w:t>Team Parents and other team volunteers;</w:t>
      </w:r>
    </w:p>
    <w:p>
      <w:pPr>
        <w:pStyle w:val="ListBullet"/>
        <w:keepLines/>
        <w:widowControl/>
        <w:spacing/>
        <w:ind w:left="288" w:hanging="216"/>
      </w:pPr>
      <w:r>
        <w:rPr>
          <w:rFonts w:ascii="Calibri" w:hAnsi="Calibri"/>
          <w:color w:val="000000"/>
        </w:rPr>
        <w:t>Parents, guardians, and spectators;</w:t>
      </w:r>
    </w:p>
    <w:p>
      <w:pPr>
        <w:pStyle w:val="ListBullet"/>
        <w:keepLines/>
        <w:widowControl/>
        <w:spacing/>
        <w:ind w:left="288" w:hanging="216"/>
      </w:pPr>
      <w:r>
        <w:rPr>
          <w:rFonts w:ascii="Calibri" w:hAnsi="Calibri"/>
          <w:color w:val="000000"/>
        </w:rPr>
        <w:t>Board members and league volunteers; and</w:t>
      </w:r>
    </w:p>
    <w:p>
      <w:pPr>
        <w:pStyle w:val="ListBullet"/>
        <w:keepLines/>
        <w:widowControl/>
        <w:spacing w:after="140"/>
        <w:ind w:left="288" w:hanging="216"/>
      </w:pPr>
      <w:r>
        <w:rPr>
          <w:rFonts w:ascii="Calibri" w:hAnsi="Calibri"/>
          <w:color w:val="000000"/>
        </w:rPr>
        <w:t>Any other individual participating in, attending, or representing RTGSA at a league-related activity.</w:t>
      </w:r>
    </w:p>
    <w:p>
      <w:pPr>
        <w:keepLines/>
        <w:widowControl/>
      </w:pPr>
      <w:r>
        <w:rPr>
          <w:rFonts w:ascii="Calibri" w:hAnsi="Calibri"/>
          <w:color w:val="000000"/>
        </w:rPr>
        <w:t>This policy applies across RTGSA Rec, Select, and All-Star programs. It covers practices, games, tournaments, evaluations, meetings, league events, team travel, overnight tournaments, lodging, team meals, team gatherings, recreational activities, and other activities in which an individual participates in or represents RTGSA.</w:t>
      </w:r>
    </w:p>
    <w:p>
      <w:pPr>
        <w:keepLines/>
        <w:widowControl/>
      </w:pPr>
      <w:r>
        <w:rPr>
          <w:rFonts w:ascii="Calibri" w:hAnsi="Calibri"/>
          <w:color w:val="000000"/>
        </w:rPr>
        <w:t>This policy also applies to league-related communications, including electronic and social media communications, when the conduct directly affects RTGSA participants, team operations, league activities, or player safety.</w:t>
      </w:r>
    </w:p>
    <w:p>
      <w:pPr>
        <w:keepLines/>
        <w:widowControl/>
      </w:pPr>
      <w:r>
        <w:rPr>
          <w:rFonts w:ascii="Calibri" w:hAnsi="Calibri"/>
          <w:color w:val="000000"/>
        </w:rPr>
        <w:t>RTGSA shall follow all applicable USA Softball of Southern California, interleague, tournament, and host-league rules. When a governing rule imposes a greater or more specific consequence than this policy, the governing rule shall control.</w:t>
      </w:r>
    </w:p>
    <w:p>
      <w:pPr>
        <w:pStyle w:val="Heading1"/>
        <w:keepLines/>
        <w:widowControl/>
      </w:pPr>
      <w:r>
        <w:rPr>
          <w:rFonts w:ascii="Calibri" w:hAnsi="Calibri"/>
          <w:color w:val="000000"/>
        </w:rPr>
        <w:t>2 Sportsmanship and Conduct Standards</w:t>
      </w:r>
    </w:p>
    <w:p>
      <w:pPr>
        <w:keepLines/>
        <w:widowControl/>
      </w:pPr>
      <w:r>
        <w:rPr>
          <w:rFonts w:ascii="Calibri" w:hAnsi="Calibri"/>
          <w:color w:val="000000"/>
        </w:rPr>
        <w:t>All RTGSA participants and spectators are expected to demonstrate good sportsmanship and treat players, coaches, umpires, league officials, volunteers, spectators, and opposing teams with respect.</w:t>
      </w:r>
    </w:p>
    <w:p>
      <w:pPr>
        <w:pStyle w:val="Heading2"/>
        <w:keepLines/>
        <w:widowControl/>
      </w:pPr>
      <w:r>
        <w:rPr>
          <w:rFonts w:ascii="Calibri" w:hAnsi="Calibri"/>
          <w:color w:val="000000"/>
        </w:rPr>
        <w:t>Prohibited Conduct</w:t>
      </w:r>
    </w:p>
    <w:p>
      <w:pPr>
        <w:keepNext/>
        <w:keepLines/>
        <w:widowControl/>
      </w:pPr>
      <w:r>
        <w:rPr>
          <w:rFonts w:ascii="Calibri" w:hAnsi="Calibri"/>
          <w:color w:val="000000"/>
        </w:rPr>
        <w:t>The following conduct is prohibited:</w:t>
      </w:r>
    </w:p>
    <w:p>
      <w:pPr>
        <w:pStyle w:val="ListBullet"/>
        <w:keepLines/>
        <w:widowControl/>
        <w:spacing/>
        <w:ind w:left="288" w:hanging="216"/>
      </w:pPr>
      <w:r>
        <w:rPr>
          <w:rFonts w:ascii="Calibri" w:hAnsi="Calibri"/>
          <w:color w:val="000000"/>
        </w:rPr>
        <w:t>Derogatory, demeaning, taunting, or unsportsmanlike cheers, chants, or comments;</w:t>
      </w:r>
    </w:p>
    <w:p>
      <w:pPr>
        <w:pStyle w:val="ListBullet"/>
        <w:keepLines/>
        <w:widowControl/>
        <w:spacing/>
        <w:ind w:left="288" w:hanging="216"/>
      </w:pPr>
      <w:r>
        <w:rPr>
          <w:rFonts w:ascii="Calibri" w:hAnsi="Calibri"/>
          <w:color w:val="000000"/>
        </w:rPr>
        <w:t>Cheers or comments directed at an individual opposing player, coach, spectator, or umpire for the purpose of ridicule, intimidation, or harassment;</w:t>
      </w:r>
    </w:p>
    <w:p>
      <w:pPr>
        <w:pStyle w:val="ListBullet"/>
        <w:keepLines/>
        <w:widowControl/>
        <w:spacing/>
        <w:ind w:left="288" w:hanging="216"/>
      </w:pPr>
      <w:r>
        <w:rPr>
          <w:rFonts w:ascii="Calibri" w:hAnsi="Calibri"/>
          <w:color w:val="000000"/>
        </w:rPr>
        <w:t>Deliberate attempts to distract a pitcher, catcher, batter, or other player beyond normal positive team cheering and lawful game activity;</w:t>
      </w:r>
    </w:p>
    <w:p>
      <w:pPr>
        <w:pStyle w:val="ListBullet"/>
        <w:keepLines/>
        <w:widowControl/>
        <w:spacing/>
        <w:ind w:left="288" w:hanging="216"/>
      </w:pPr>
      <w:r>
        <w:rPr>
          <w:rFonts w:ascii="Calibri" w:hAnsi="Calibri"/>
          <w:color w:val="000000"/>
        </w:rPr>
        <w:t>Profane, obscene, threatening, intimidating, discriminatory, or abusive language or gestures directed toward another person;</w:t>
      </w:r>
    </w:p>
    <w:p>
      <w:pPr>
        <w:pStyle w:val="ListBullet"/>
        <w:keepLines/>
        <w:widowControl/>
        <w:spacing/>
        <w:ind w:left="288" w:hanging="216"/>
      </w:pPr>
      <w:r>
        <w:rPr>
          <w:rFonts w:ascii="Calibri" w:hAnsi="Calibri"/>
          <w:color w:val="000000"/>
        </w:rPr>
        <w:t>Personal attacks, bullying, or harassment;</w:t>
      </w:r>
    </w:p>
    <w:p>
      <w:pPr>
        <w:pStyle w:val="ListBullet"/>
        <w:keepLines/>
        <w:widowControl/>
        <w:spacing/>
        <w:ind w:left="288" w:hanging="216"/>
      </w:pPr>
      <w:r>
        <w:rPr>
          <w:rFonts w:ascii="Calibri" w:hAnsi="Calibri"/>
          <w:color w:val="000000"/>
        </w:rPr>
        <w:t>Threatening or engaging in physical confrontation, fighting, unwanted physical contact, or violence;</w:t>
      </w:r>
    </w:p>
    <w:p>
      <w:pPr>
        <w:pStyle w:val="ListBullet"/>
        <w:keepLines/>
        <w:widowControl/>
        <w:spacing/>
        <w:ind w:left="288" w:hanging="216"/>
      </w:pPr>
      <w:r>
        <w:t>Repeated, prolonged, or aggressive arguing with an umpire or league official, and arguing with a youth umpire as defined in Section 3;</w:t>
      </w:r>
    </w:p>
    <w:p>
      <w:pPr>
        <w:pStyle w:val="ListBullet"/>
        <w:keepLines/>
        <w:widowControl/>
        <w:spacing/>
        <w:ind w:left="288" w:hanging="216"/>
      </w:pPr>
      <w:r>
        <w:rPr>
          <w:rFonts w:ascii="Calibri" w:hAnsi="Calibri"/>
          <w:color w:val="000000"/>
        </w:rPr>
        <w:t>Following, confronting, threatening, or verbally attacking an umpire before, during, or after a game;</w:t>
      </w:r>
    </w:p>
    <w:p>
      <w:pPr>
        <w:pStyle w:val="ListBullet"/>
        <w:keepLines/>
        <w:widowControl/>
        <w:spacing/>
        <w:ind w:left="288" w:hanging="216"/>
      </w:pPr>
      <w:r>
        <w:rPr>
          <w:rFonts w:ascii="Calibri" w:hAnsi="Calibri"/>
          <w:color w:val="000000"/>
        </w:rPr>
        <w:t>Encouraging players, coaches, or spectators to engage in unsportsmanlike conduct;</w:t>
      </w:r>
    </w:p>
    <w:p>
      <w:pPr>
        <w:pStyle w:val="ListBullet"/>
        <w:keepLines/>
        <w:widowControl/>
        <w:spacing/>
        <w:ind w:left="288" w:hanging="216"/>
      </w:pPr>
      <w:r>
        <w:rPr>
          <w:rFonts w:ascii="Calibri" w:hAnsi="Calibri"/>
          <w:color w:val="000000"/>
        </w:rPr>
        <w:t>Intentional damage to league, field, facility, or personal property;</w:t>
      </w:r>
    </w:p>
    <w:p>
      <w:pPr>
        <w:pStyle w:val="ListBullet"/>
        <w:keepLines/>
        <w:widowControl/>
        <w:spacing/>
        <w:ind w:left="288" w:hanging="216"/>
      </w:pPr>
      <w:r>
        <w:rPr>
          <w:rFonts w:ascii="Calibri" w:hAnsi="Calibri"/>
          <w:color w:val="000000"/>
        </w:rPr>
        <w:t>Conduct intended to interfere with or disrupt a game, practice, tournament, evaluation, or league event; and</w:t>
      </w:r>
    </w:p>
    <w:p>
      <w:pPr>
        <w:pStyle w:val="ListBullet"/>
        <w:keepLines/>
        <w:widowControl/>
        <w:spacing w:after="140"/>
        <w:ind w:left="288" w:hanging="216"/>
      </w:pPr>
      <w:r>
        <w:rPr>
          <w:rFonts w:ascii="Calibri" w:hAnsi="Calibri"/>
          <w:color w:val="000000"/>
        </w:rPr>
        <w:t>Other conduct materially inconsistent with RTGSA, USA Softball, or applicable interleague sportsmanship standards.</w:t>
      </w:r>
    </w:p>
    <w:p>
      <w:pPr>
        <w:keepLines/>
        <w:widowControl/>
      </w:pPr>
      <w:r>
        <w:rPr>
          <w:rFonts w:ascii="Calibri" w:hAnsi="Calibri"/>
          <w:color w:val="000000"/>
        </w:rPr>
        <w:t>Positive cheering, team encouragement, and enthusiastic support of players are encouraged. Spectators and teams do not need to remain quiet, but their support must remain appropriate and must not intimidate, humiliate, or harass another participant.</w:t>
      </w:r>
    </w:p>
    <w:p>
      <w:pPr>
        <w:pStyle w:val="Heading1"/>
        <w:keepLines/>
        <w:widowControl/>
      </w:pPr>
      <w:r>
        <w:rPr>
          <w:rFonts w:ascii="Calibri" w:hAnsi="Calibri"/>
          <w:color w:val="000000"/>
        </w:rPr>
        <w:t>3 Coach Parent and Spectator Responsibility</w:t>
      </w:r>
    </w:p>
    <w:p>
      <w:pPr>
        <w:keepNext/>
        <w:keepLines/>
        <w:widowControl/>
      </w:pPr>
      <w:r>
        <w:rPr>
          <w:rFonts w:ascii="Calibri" w:hAnsi="Calibri"/>
          <w:color w:val="000000"/>
        </w:rPr>
        <w:t>Head Coaches are expected to set the standard for sportsmanship and make reasonable efforts to maintain appropriate conduct among their:</w:t>
      </w:r>
    </w:p>
    <w:p>
      <w:pPr>
        <w:pStyle w:val="ListBullet"/>
        <w:keepLines/>
        <w:widowControl/>
        <w:spacing/>
        <w:ind w:left="288" w:hanging="216"/>
      </w:pPr>
      <w:r>
        <w:rPr>
          <w:rFonts w:ascii="Calibri" w:hAnsi="Calibri"/>
          <w:color w:val="000000"/>
        </w:rPr>
        <w:t>Coaching staff;</w:t>
      </w:r>
    </w:p>
    <w:p>
      <w:pPr>
        <w:pStyle w:val="ListBullet"/>
        <w:keepLines/>
        <w:widowControl/>
        <w:spacing/>
        <w:ind w:left="288" w:hanging="216"/>
      </w:pPr>
      <w:r>
        <w:rPr>
          <w:rFonts w:ascii="Calibri" w:hAnsi="Calibri"/>
          <w:color w:val="000000"/>
        </w:rPr>
        <w:t>Players;</w:t>
      </w:r>
    </w:p>
    <w:p>
      <w:pPr>
        <w:pStyle w:val="ListBullet"/>
        <w:keepLines/>
        <w:widowControl/>
        <w:spacing/>
        <w:ind w:left="288" w:hanging="216"/>
      </w:pPr>
      <w:r>
        <w:rPr>
          <w:rFonts w:ascii="Calibri" w:hAnsi="Calibri"/>
          <w:color w:val="000000"/>
        </w:rPr>
        <w:t>Team volunteers; and</w:t>
      </w:r>
    </w:p>
    <w:p>
      <w:pPr>
        <w:pStyle w:val="ListBullet"/>
        <w:keepLines/>
        <w:widowControl/>
        <w:spacing w:after="140"/>
        <w:ind w:left="288" w:hanging="216"/>
      </w:pPr>
      <w:r>
        <w:rPr>
          <w:rFonts w:ascii="Calibri" w:hAnsi="Calibri"/>
          <w:color w:val="000000"/>
        </w:rPr>
        <w:t>Team spectators.</w:t>
      </w:r>
    </w:p>
    <w:p>
      <w:pPr>
        <w:keepLines/>
        <w:widowControl/>
      </w:pPr>
      <w:r>
        <w:rPr>
          <w:rFonts w:ascii="Calibri" w:hAnsi="Calibri"/>
          <w:color w:val="000000"/>
        </w:rPr>
        <w:t>Parents and guardians are responsible for their own conduct and for making reasonable efforts to ensure that guests attending on their behalf comply with RTGSA expectations.</w:t>
      </w:r>
    </w:p>
    <w:p>
      <w:pPr>
        <w:keepLines/>
        <w:widowControl/>
      </w:pPr>
      <w:r>
        <w:rPr>
          <w:rFonts w:ascii="Calibri" w:hAnsi="Calibri"/>
          <w:color w:val="000000"/>
        </w:rPr>
        <w:t>When requested by an umpire or authorized league official, a Head Coach shall make a reasonable effort to address inappropriate conduct involving the coach's team, dugout, or spectators.</w:t>
      </w:r>
    </w:p>
    <w:p>
      <w:pPr>
        <w:keepLines/>
        <w:widowControl/>
      </w:pPr>
      <w:r>
        <w:rPr>
          <w:rFonts w:ascii="Calibri" w:hAnsi="Calibri"/>
          <w:color w:val="000000"/>
        </w:rPr>
        <w:t>A coach shall not automatically be disciplined solely because a parent or spectator behaves improperly. However, a coach’s refusal or failure to make reasonable efforts to assist after being directed to address continued misconduct may be reviewed separately.</w:t>
      </w:r>
    </w:p>
    <w:p>
      <w:pPr>
        <w:keepLines/>
        <w:widowControl/>
      </w:pPr>
      <w:r>
        <w:rPr>
          <w:rFonts w:ascii="Calibri" w:hAnsi="Calibri"/>
          <w:color w:val="000000"/>
        </w:rPr>
        <w:t>Only the Head Coach, or another individual expressly permitted by the applicable playing rules, should address an umpire regarding game-related rulings. Parents and spectators shall not enter the field, dugout, or other restricted area to dispute an umpire's decision.</w:t>
      </w:r>
    </w:p>
    <w:p>
      <w:pPr>
        <w:pStyle w:val="Heading2"/>
        <w:keepLines/>
        <w:widowControl/>
      </w:pPr>
      <w:r>
        <w:t>Zero Tolerance for Arguing with Youth Umpires</w:t>
      </w:r>
    </w:p>
    <w:p>
      <w:pPr>
        <w:keepLines/>
        <w:widowControl/>
      </w:pPr>
      <w:r>
        <w:t>A youth umpire is an umpire under age 18. RTGSA has zero tolerance for managers, Head Coaches, Assistant Coaches, parents, guardians, spectators, or other participants arguing with, berating, intimidating, or confronting a youth umpire. This protection applies before, during, and after games, including conduct from the dugout or spectator areas.</w:t>
      </w:r>
    </w:p>
    <w:p>
      <w:pPr>
        <w:keepLines/>
        <w:widowControl/>
      </w:pPr>
      <w:r>
        <w:t>A brief, respectful question or expression of disagreement by the Head Coach, or another individual expressly permitted by the applicable playing rules, does not, by itself, constitute arguing. The permitted individual may briefly ask what the umpire saw or which rule applies, receive the explanation, and allow play to continue. Any rules clarification or appeal remains subject to the applicable playing rules.</w:t>
      </w:r>
    </w:p>
    <w:p>
      <w:pPr>
        <w:keepLines/>
        <w:widowControl/>
      </w:pPr>
      <w:r>
        <w:t>Arguing includes continued disputing after an explanation or direction to resume play, repeated challenges to the same ruling, or confrontational, insulting, intimidating, or abusive conduct. A single threat, personal insult, or intimidating confrontation may violate this policy without repeated conduct.</w:t>
      </w:r>
    </w:p>
    <w:p>
      <w:pPr>
        <w:keepLines/>
        <w:widowControl/>
      </w:pPr>
      <w:r>
        <w:t>A brief emotional reaction or raised voice alone does not automatically establish a violation. The umpire, authorized official, or reviewing league officials should consider the words used, the conduct, the context, and whether the individual promptly stops and complies with directions. Emotion does not excuse threatening, insulting, intimidating, or abusive conduct.</w:t>
      </w:r>
    </w:p>
    <w:p>
      <w:pPr>
        <w:keepLines/>
        <w:widowControl/>
      </w:pPr>
      <w:r>
        <w:t>Parents and spectators shall bring game-related questions to their Head Coach rather than directly challenge the youth umpire. Unresolved questions about rule application should be referred to the Umpire in Chief or an authorized adult game official through the applicable game procedure.</w:t>
      </w:r>
    </w:p>
    <w:p>
      <w:pPr>
        <w:keepLines/>
        <w:widowControl/>
      </w:pPr>
      <w:r>
        <w:t>A violation may result in immediate ejection or removal by an umpire or other authorized official, without a prior warning, subject to applicable playing rules. The existing suspension requirements in Section 5 apply when an ejection or removal occurs. Alleged violations that do not result in an ejection or removal shall be reported and reviewed under Sections 6 and 7. A permitted respectful question or disagreement does not trigger discipline under this clause.</w:t>
      </w:r>
    </w:p>
    <w:p>
      <w:pPr>
        <w:pStyle w:val="Heading1"/>
        <w:keepLines/>
        <w:widowControl/>
      </w:pPr>
      <w:r>
        <w:rPr>
          <w:rFonts w:ascii="Calibri" w:hAnsi="Calibri"/>
          <w:color w:val="000000"/>
        </w:rPr>
        <w:t>4 Overnight Travel Lodging and Off Field Team Activities</w:t>
      </w:r>
    </w:p>
    <w:p>
      <w:pPr>
        <w:keepLines/>
        <w:widowControl/>
      </w:pPr>
      <w:r>
        <w:rPr>
          <w:rFonts w:ascii="Calibri" w:hAnsi="Calibri"/>
          <w:color w:val="000000"/>
        </w:rPr>
        <w:t>RTGSA's conduct expectations apply throughout league-related travel and team activities, including overnight tournaments, hotels or other lodging, team meals, transportation, recreational activities, team gatherings, and other off-field settings associated with an RTGSA team or event.</w:t>
      </w:r>
    </w:p>
    <w:p>
      <w:pPr>
        <w:keepLines/>
        <w:widowControl/>
      </w:pPr>
      <w:r>
        <w:rPr>
          <w:rFonts w:ascii="Calibri" w:hAnsi="Calibri"/>
          <w:color w:val="000000"/>
        </w:rPr>
        <w:t>Conduct away from the field may still reflect on the team and RTGSA. Coaches, parents, guardians, volunteers, and spectators are expected to follow RTGSA sportsmanship standards and comply with applicable law, tournament rules, facility rules, lodging rules, USA Softball requirements, and Safe Softball or SafeSport requirements.</w:t>
      </w:r>
    </w:p>
    <w:p>
      <w:pPr>
        <w:pStyle w:val="Heading2"/>
        <w:keepLines/>
        <w:widowControl/>
      </w:pPr>
      <w:r>
        <w:rPr>
          <w:rFonts w:ascii="Calibri" w:hAnsi="Calibri"/>
          <w:color w:val="000000"/>
        </w:rPr>
        <w:t>Alcohol Impairment and Adult Conduct</w:t>
      </w:r>
    </w:p>
    <w:p>
      <w:pPr>
        <w:keepLines/>
        <w:widowControl/>
      </w:pPr>
      <w:r>
        <w:rPr>
          <w:rFonts w:ascii="Calibri" w:hAnsi="Calibri"/>
          <w:color w:val="000000"/>
        </w:rPr>
        <w:t>Lawful alcohol consumption by adults during personal time is not, by itself, prohibited by this policy unless prohibited by applicable law, tournament rules, facility rules, lodging rules, or another governing requirement.</w:t>
      </w:r>
    </w:p>
    <w:p>
      <w:pPr>
        <w:keepLines/>
        <w:widowControl/>
      </w:pPr>
      <w:r>
        <w:rPr>
          <w:rFonts w:ascii="Calibri" w:hAnsi="Calibri"/>
          <w:color w:val="000000"/>
        </w:rPr>
        <w:t>However, no adult may attend, participate in, supervise, transport, or otherwise perform RTGSA-related responsibilities while impaired by alcohol, illegal drugs, or other intoxicating substances in a manner that affects judgment, conduct, safety, supervision, or the experience of other participants.</w:t>
      </w:r>
    </w:p>
    <w:p>
      <w:pPr>
        <w:keepNext/>
        <w:keepLines/>
        <w:widowControl/>
      </w:pPr>
      <w:r>
        <w:rPr>
          <w:rFonts w:ascii="Calibri" w:hAnsi="Calibri"/>
          <w:color w:val="000000"/>
        </w:rPr>
        <w:t>Alcohol-related or impairment-related misconduct is prohibited, including:</w:t>
      </w:r>
    </w:p>
    <w:p>
      <w:pPr>
        <w:pStyle w:val="ListBullet"/>
        <w:keepLines/>
        <w:widowControl/>
        <w:spacing/>
        <w:ind w:left="288" w:hanging="216"/>
      </w:pPr>
      <w:r>
        <w:rPr>
          <w:rFonts w:ascii="Calibri" w:hAnsi="Calibri"/>
          <w:color w:val="000000"/>
        </w:rPr>
        <w:t>Creating a disturbance at a hotel, restaurant, tournament venue, team gathering, or other league-related location;</w:t>
      </w:r>
    </w:p>
    <w:p>
      <w:pPr>
        <w:pStyle w:val="ListBullet"/>
        <w:keepLines/>
        <w:widowControl/>
        <w:spacing/>
        <w:ind w:left="288" w:hanging="216"/>
      </w:pPr>
      <w:r>
        <w:rPr>
          <w:rFonts w:ascii="Calibri" w:hAnsi="Calibri"/>
          <w:color w:val="000000"/>
        </w:rPr>
        <w:t>Engaging in arguments, confrontations, harassment, threatening behavior, abusive or profane conduct, or unwanted physical contact;</w:t>
      </w:r>
    </w:p>
    <w:p>
      <w:pPr>
        <w:pStyle w:val="ListBullet"/>
        <w:keepLines/>
        <w:widowControl/>
        <w:spacing/>
        <w:ind w:left="288" w:hanging="216"/>
      </w:pPr>
      <w:r>
        <w:rPr>
          <w:rFonts w:ascii="Calibri" w:hAnsi="Calibri"/>
          <w:color w:val="000000"/>
        </w:rPr>
        <w:t>Disrupting team activities or interfering with the reasonable enjoyment or participation of players, families, coaches, or other teams;</w:t>
      </w:r>
    </w:p>
    <w:p>
      <w:pPr>
        <w:pStyle w:val="ListBullet"/>
        <w:keepLines/>
        <w:widowControl/>
        <w:spacing/>
        <w:ind w:left="288" w:hanging="216"/>
      </w:pPr>
      <w:r>
        <w:rPr>
          <w:rFonts w:ascii="Calibri" w:hAnsi="Calibri"/>
          <w:color w:val="000000"/>
        </w:rPr>
        <w:t>Conduct requiring intervention by hotel staff, tournament personnel, law enforcement, league officials, or other responsible parties; or</w:t>
      </w:r>
    </w:p>
    <w:p>
      <w:pPr>
        <w:pStyle w:val="ListBullet"/>
        <w:keepLines/>
        <w:widowControl/>
        <w:spacing w:after="140"/>
        <w:ind w:left="288" w:hanging="216"/>
      </w:pPr>
      <w:r>
        <w:rPr>
          <w:rFonts w:ascii="Calibri" w:hAnsi="Calibri"/>
          <w:color w:val="000000"/>
        </w:rPr>
        <w:t>Other behavior that materially reflects poorly on the team or RTGSA or is inconsistent with the standards in this policy.</w:t>
      </w:r>
    </w:p>
    <w:p>
      <w:pPr>
        <w:keepLines/>
        <w:widowControl/>
      </w:pPr>
      <w:r>
        <w:rPr>
          <w:rFonts w:ascii="Calibri" w:hAnsi="Calibri"/>
          <w:color w:val="000000"/>
        </w:rPr>
        <w:t>No adult may provide alcohol or other age-restricted intoxicating substances to a minor.</w:t>
      </w:r>
    </w:p>
    <w:p>
      <w:pPr>
        <w:pStyle w:val="Heading2"/>
        <w:keepLines/>
        <w:widowControl/>
      </w:pPr>
      <w:r>
        <w:rPr>
          <w:rFonts w:ascii="Calibri" w:hAnsi="Calibri"/>
          <w:color w:val="000000"/>
        </w:rPr>
        <w:t>Coach and Volunteer Expectations During Travel</w:t>
      </w:r>
    </w:p>
    <w:p>
      <w:pPr>
        <w:keepLines/>
        <w:widowControl/>
      </w:pPr>
      <w:r>
        <w:rPr>
          <w:rFonts w:ascii="Calibri" w:hAnsi="Calibri"/>
          <w:color w:val="000000"/>
        </w:rPr>
        <w:t>Head Coaches, Assistant Coaches, Team Parents, and other designated volunteers are held to a heightened standard when acting in an official RTGSA capacity.</w:t>
      </w:r>
    </w:p>
    <w:p>
      <w:pPr>
        <w:keepLines/>
        <w:widowControl/>
      </w:pPr>
      <w:r>
        <w:rPr>
          <w:rFonts w:ascii="Calibri" w:hAnsi="Calibri"/>
          <w:color w:val="000000"/>
        </w:rPr>
        <w:t>A coach or designated volunteer shall not be impaired while supervising players, transporting players, conducting a team activity, performing team responsibilities, or otherwise exercising responsibility for minors.</w:t>
      </w:r>
    </w:p>
    <w:p>
      <w:pPr>
        <w:keepLines/>
        <w:widowControl/>
      </w:pPr>
      <w:r>
        <w:rPr>
          <w:rFonts w:ascii="Calibri" w:hAnsi="Calibri"/>
          <w:color w:val="000000"/>
        </w:rPr>
        <w:t>Coaches and volunteers shall maintain appropriate adult-minor boundaries and comply with applicable USA Softball Safe Softball and U.S. Center for SafeSport requirements concerning lodging, transportation, one-on-one interactions, supervision, electronic communications, and other interactions with minor athletes.</w:t>
      </w:r>
    </w:p>
    <w:p>
      <w:pPr>
        <w:keepLines/>
        <w:widowControl/>
      </w:pPr>
      <w:r>
        <w:rPr>
          <w:rFonts w:ascii="Calibri" w:hAnsi="Calibri"/>
          <w:color w:val="000000"/>
        </w:rPr>
        <w:t>Before an overnight tournament or organized travel event, the Head Coach should communicate applicable RTGSA conduct expectations to the coaching staff, volunteers, players, and families.</w:t>
      </w:r>
    </w:p>
    <w:p>
      <w:pPr>
        <w:keepLines/>
        <w:widowControl/>
      </w:pPr>
      <w:r>
        <w:rPr>
          <w:rFonts w:ascii="Calibri" w:hAnsi="Calibri"/>
          <w:color w:val="000000"/>
        </w:rPr>
        <w:t>A Head Coach is not automatically responsible for another adult’s independent misconduct. However, a coach who becomes aware of significant misconduct affecting the team should take reasonable steps within the coach’s authority to address the immediate situation and report the matter when required by this policy.</w:t>
      </w:r>
    </w:p>
    <w:p>
      <w:pPr>
        <w:keepLines/>
        <w:widowControl/>
      </w:pPr>
      <w:r>
        <w:rPr>
          <w:rFonts w:ascii="Calibri" w:hAnsi="Calibri"/>
          <w:color w:val="000000"/>
        </w:rPr>
        <w:t>Conduct during travel, lodging, or another off-field team activity may be reviewed and disciplined under this policy even if it does not result in an umpire ejection or occur at a playing field.</w:t>
      </w:r>
    </w:p>
    <w:p>
      <w:pPr>
        <w:pStyle w:val="Heading1"/>
        <w:keepLines/>
        <w:widowControl/>
      </w:pPr>
      <w:r>
        <w:rPr>
          <w:rFonts w:ascii="Calibri" w:hAnsi="Calibri"/>
          <w:color w:val="000000"/>
        </w:rPr>
        <w:t>5 Ejections and Immediate Consequences</w:t>
      </w:r>
    </w:p>
    <w:p>
      <w:pPr>
        <w:keepLines/>
        <w:widowControl/>
      </w:pPr>
      <w:r>
        <w:rPr>
          <w:rFonts w:ascii="Calibri" w:hAnsi="Calibri"/>
          <w:color w:val="000000"/>
        </w:rPr>
        <w:t>An ejection is an on-field decision by the umpire or other authorized game official and shall be respected immediately.</w:t>
      </w:r>
    </w:p>
    <w:p>
      <w:pPr>
        <w:keepLines/>
        <w:widowControl/>
      </w:pPr>
      <w:r>
        <w:rPr>
          <w:rFonts w:ascii="Calibri" w:hAnsi="Calibri"/>
          <w:color w:val="000000"/>
        </w:rPr>
        <w:t>RTGSA’s disciplinary process will not reconsider whether an umpire should have issued an ejection. RTGSA may review the surrounding circumstances to determine whether additional league discipline is warranted.</w:t>
      </w:r>
    </w:p>
    <w:p>
      <w:pPr>
        <w:pStyle w:val="Heading2"/>
        <w:keepLines/>
        <w:widowControl/>
      </w:pPr>
      <w:r>
        <w:rPr>
          <w:rFonts w:ascii="Calibri" w:hAnsi="Calibri"/>
          <w:color w:val="000000"/>
        </w:rPr>
        <w:t>Immediate Removal</w:t>
      </w:r>
    </w:p>
    <w:p>
      <w:pPr>
        <w:keepLines/>
        <w:widowControl/>
      </w:pPr>
      <w:r>
        <w:rPr>
          <w:rFonts w:ascii="Calibri" w:hAnsi="Calibri"/>
          <w:color w:val="000000"/>
        </w:rPr>
        <w:t>Any player, coach, or other participant ejected from a game must immediately comply with the applicable playing rules and the direction of the umpire or site authority.</w:t>
      </w:r>
    </w:p>
    <w:p>
      <w:pPr>
        <w:keepNext/>
        <w:keepLines/>
        <w:widowControl/>
      </w:pPr>
      <w:r>
        <w:rPr>
          <w:rFonts w:ascii="Calibri" w:hAnsi="Calibri"/>
          <w:color w:val="000000"/>
        </w:rPr>
        <w:t>When required by USA Softball or applicable interleague rules, the ejected individual must:</w:t>
      </w:r>
    </w:p>
    <w:p>
      <w:pPr>
        <w:pStyle w:val="ListBullet"/>
        <w:keepLines/>
        <w:widowControl/>
        <w:spacing/>
        <w:ind w:left="288" w:hanging="216"/>
      </w:pPr>
      <w:r>
        <w:rPr>
          <w:rFonts w:ascii="Calibri" w:hAnsi="Calibri"/>
          <w:color w:val="000000"/>
        </w:rPr>
        <w:t>Leave the playing grounds;</w:t>
      </w:r>
    </w:p>
    <w:p>
      <w:pPr>
        <w:pStyle w:val="ListBullet"/>
        <w:keepLines/>
        <w:widowControl/>
        <w:spacing/>
        <w:ind w:left="288" w:hanging="216"/>
      </w:pPr>
      <w:r>
        <w:rPr>
          <w:rFonts w:ascii="Calibri" w:hAnsi="Calibri"/>
          <w:color w:val="000000"/>
        </w:rPr>
        <w:t>Have no further contact with the team or umpires; and</w:t>
      </w:r>
    </w:p>
    <w:p>
      <w:pPr>
        <w:pStyle w:val="ListBullet"/>
        <w:keepLines/>
        <w:widowControl/>
        <w:spacing w:after="140"/>
        <w:ind w:left="288" w:hanging="216"/>
      </w:pPr>
      <w:r>
        <w:rPr>
          <w:rFonts w:ascii="Calibri" w:hAnsi="Calibri"/>
          <w:color w:val="000000"/>
        </w:rPr>
        <w:t>Remain outside the general vicinity of the game for the remainder of the contest.</w:t>
      </w:r>
    </w:p>
    <w:p>
      <w:pPr>
        <w:keepLines/>
        <w:widowControl/>
      </w:pPr>
      <w:r>
        <w:rPr>
          <w:rFonts w:ascii="Calibri" w:hAnsi="Calibri"/>
          <w:color w:val="000000"/>
        </w:rPr>
        <w:t>A parent or spectator directed to leave by an umpire, tournament official, or authorized league/site representative must immediately leave the facility or area as directed.</w:t>
      </w:r>
    </w:p>
    <w:p>
      <w:pPr>
        <w:keepLines/>
        <w:widowControl/>
      </w:pPr>
      <w:r>
        <w:rPr>
          <w:rFonts w:ascii="Calibri" w:hAnsi="Calibri"/>
          <w:color w:val="000000"/>
        </w:rPr>
        <w:t>Failure to leave promptly or continued contact with the team, officials, or participants after an ejection may result in additional discipline and may affect continuation of the game under the applicable playing rules.</w:t>
      </w:r>
    </w:p>
    <w:p>
      <w:pPr>
        <w:pStyle w:val="Heading2"/>
        <w:keepLines/>
        <w:widowControl/>
      </w:pPr>
      <w:r>
        <w:rPr>
          <w:rFonts w:ascii="Calibri" w:hAnsi="Calibri"/>
          <w:color w:val="000000"/>
        </w:rPr>
        <w:t>First Ejection</w:t>
      </w:r>
    </w:p>
    <w:p>
      <w:pPr>
        <w:keepLines/>
        <w:widowControl/>
      </w:pPr>
      <w:r>
        <w:rPr>
          <w:rFonts w:ascii="Calibri" w:hAnsi="Calibri"/>
          <w:color w:val="000000"/>
        </w:rPr>
        <w:t>Any RTGSA player, coach, or team participant ejected from a game shall serve at least the suspension required by the applicable governing rules. Under this policy, the minimum consequence is suspension from the team’s next scheduled game. Any greater penalty required by the governing rules shall apply.</w:t>
      </w:r>
    </w:p>
    <w:p>
      <w:pPr>
        <w:keepLines/>
        <w:widowControl/>
      </w:pPr>
      <w:r>
        <w:rPr>
          <w:rFonts w:ascii="Calibri" w:hAnsi="Calibri"/>
          <w:color w:val="000000"/>
        </w:rPr>
      </w:r>
      <w:r>
        <w:rPr>
          <w:rFonts w:ascii="Calibri" w:hAnsi="Calibri"/>
          <w:color w:val="000000"/>
        </w:rPr>
        <w:t xml:space="preserve">A parent or spectator removed or ejected from a game shall, at minimum, be prohibited from attending the associated player's </w:t>
      </w:r>
      <w:r>
        <w:rPr>
          <w:rFonts w:ascii="Calibri" w:hAnsi="Calibri"/>
          <w:color w:val="000000"/>
        </w:rPr>
        <w:t>next scheduled game</w:t>
      </w:r>
      <w:r>
        <w:rPr>
          <w:rFonts w:ascii="Calibri" w:hAnsi="Calibri"/>
          <w:color w:val="000000"/>
        </w:rPr>
        <w:t>.</w:t>
      </w:r>
    </w:p>
    <w:p>
      <w:pPr>
        <w:keepLines/>
        <w:widowControl/>
      </w:pPr>
      <w:r>
        <w:rPr>
          <w:rFonts w:ascii="Calibri" w:hAnsi="Calibri"/>
          <w:color w:val="000000"/>
        </w:rPr>
        <w:t>Unless otherwise directed by the applicable governing body, a suspension applies to the next scheduled game of the team involved, whether the game is Rec, Select, All-Star, interleague, tournament, or championship play.</w:t>
      </w:r>
    </w:p>
    <w:p>
      <w:pPr>
        <w:pStyle w:val="Heading2"/>
        <w:keepLines/>
        <w:widowControl/>
      </w:pPr>
      <w:r>
        <w:rPr>
          <w:rFonts w:ascii="Calibri" w:hAnsi="Calibri"/>
          <w:color w:val="000000"/>
        </w:rPr>
        <w:t>Second Ejection</w:t>
      </w:r>
    </w:p>
    <w:p>
      <w:pPr>
        <w:keepNext/>
        <w:keepLines/>
        <w:widowControl/>
      </w:pPr>
      <w:r>
        <w:rPr>
          <w:rFonts w:ascii="Calibri" w:hAnsi="Calibri"/>
          <w:color w:val="000000"/>
        </w:rPr>
        <w:t>A second ejection or removal involving the same individual during the same RTGSA season shall result in:</w:t>
      </w:r>
    </w:p>
    <w:p>
      <w:pPr>
        <w:pStyle w:val="ListBullet"/>
        <w:keepLines/>
        <w:widowControl/>
        <w:spacing/>
        <w:ind w:left="288" w:hanging="216"/>
      </w:pPr>
      <w:r>
        <w:rPr>
          <w:rFonts w:ascii="Calibri" w:hAnsi="Calibri"/>
          <w:color w:val="000000"/>
        </w:rPr>
        <w:t>A minimum additional two-game suspension; and</w:t>
      </w:r>
    </w:p>
    <w:p>
      <w:pPr>
        <w:pStyle w:val="ListBullet"/>
        <w:keepLines/>
        <w:widowControl/>
        <w:spacing w:after="140"/>
        <w:ind w:left="288" w:hanging="216"/>
      </w:pPr>
      <w:r>
        <w:rPr>
          <w:rFonts w:ascii="Calibri" w:hAnsi="Calibri"/>
          <w:color w:val="000000"/>
        </w:rPr>
        <w:t>Mandatory review before the individual returns to RTGSA activities.</w:t>
      </w:r>
    </w:p>
    <w:p>
      <w:pPr>
        <w:keepLines/>
        <w:widowControl/>
      </w:pPr>
      <w:r>
        <w:rPr>
          <w:rFonts w:ascii="Calibri" w:hAnsi="Calibri"/>
          <w:color w:val="000000"/>
        </w:rPr>
        <w:t>The reviewing officials may impose additional discipline based upon the circumstances and prior conduct history.</w:t>
      </w:r>
    </w:p>
    <w:p>
      <w:pPr>
        <w:pStyle w:val="Heading2"/>
        <w:keepLines/>
        <w:widowControl/>
      </w:pPr>
      <w:r>
        <w:rPr>
          <w:rFonts w:ascii="Calibri" w:hAnsi="Calibri"/>
          <w:color w:val="000000"/>
        </w:rPr>
        <w:t>Major Misconduct</w:t>
      </w:r>
    </w:p>
    <w:p>
      <w:pPr>
        <w:keepLines/>
        <w:widowControl/>
      </w:pPr>
      <w:r>
        <w:rPr>
          <w:rFonts w:ascii="Calibri" w:hAnsi="Calibri"/>
          <w:color w:val="000000"/>
        </w:rPr>
        <w:t>RTGSA is not required to use progressive discipline when conduct involves a serious incident.</w:t>
      </w:r>
    </w:p>
    <w:p>
      <w:pPr>
        <w:keepLines/>
        <w:widowControl/>
      </w:pPr>
      <w:r>
        <w:rPr>
          <w:rFonts w:ascii="Calibri" w:hAnsi="Calibri"/>
          <w:color w:val="000000"/>
        </w:rPr>
        <w:t>Threats, violence, fighting, physical aggression, severe verbal abuse, misconduct directed at a minor, serious harassment of an umpire or participant, refusal to leave following an ejection, retaliation against a person who reports misconduct, or other major misconduct may result in an immediate temporary restriction or suspension pending review.</w:t>
      </w:r>
    </w:p>
    <w:p>
      <w:pPr>
        <w:keepLines/>
        <w:widowControl/>
      </w:pPr>
      <w:r>
        <w:rPr>
          <w:rFonts w:ascii="Calibri" w:hAnsi="Calibri"/>
          <w:color w:val="000000"/>
        </w:rPr>
        <w:t>Major misconduct may result in a multi-game suspension, removal from a coaching or volunteer position, suspension for the remainder of a season, or removal from RTGSA activities when warranted.</w:t>
      </w:r>
    </w:p>
    <w:p>
      <w:pPr>
        <w:pStyle w:val="Heading1"/>
        <w:keepLines/>
        <w:widowControl/>
      </w:pPr>
      <w:r>
        <w:rPr>
          <w:rFonts w:ascii="Calibri" w:hAnsi="Calibri"/>
          <w:color w:val="000000"/>
        </w:rPr>
        <w:t>6 Reporting and Interleague Ejections</w:t>
      </w:r>
    </w:p>
    <w:p>
      <w:pPr>
        <w:pStyle w:val="Heading2"/>
        <w:keepLines/>
        <w:widowControl/>
      </w:pPr>
      <w:r>
        <w:rPr>
          <w:rFonts w:ascii="Calibri" w:hAnsi="Calibri"/>
          <w:color w:val="000000"/>
        </w:rPr>
        <w:t>RTGSA Participants</w:t>
      </w:r>
    </w:p>
    <w:p>
      <w:pPr>
        <w:keepLines/>
        <w:widowControl/>
      </w:pPr>
      <w:r>
        <w:rPr>
          <w:rFonts w:ascii="Calibri" w:hAnsi="Calibri"/>
          <w:color w:val="000000"/>
        </w:rPr>
      </w:r>
      <w:r>
        <w:rPr>
          <w:rFonts w:ascii="Calibri" w:hAnsi="Calibri"/>
          <w:color w:val="000000"/>
        </w:rPr>
        <w:t xml:space="preserve">Any RTGSA Head Coach who becomes aware that an RTGSA player, coach, parent, spectator, or team volunteer has been ejected or removed from a game shall notify the </w:t>
      </w:r>
      <w:r>
        <w:rPr>
          <w:rFonts w:ascii="Calibri" w:hAnsi="Calibri"/>
          <w:color w:val="000000"/>
        </w:rPr>
        <w:t>RTGSA President and Vice President within 24 hours</w:t>
      </w:r>
      <w:r>
        <w:rPr>
          <w:rFonts w:ascii="Calibri" w:hAnsi="Calibri"/>
          <w:color w:val="000000"/>
        </w:rPr>
        <w:t>.</w:t>
      </w:r>
    </w:p>
    <w:p>
      <w:pPr>
        <w:keepLines/>
        <w:widowControl/>
      </w:pPr>
      <w:r>
        <w:t>A Head Coach who becomes aware of an alleged violation of the youth-umpire protections in Section 3 involving an RTGSA participant or spectator shall also notify the President, Vice President, and Umpire in Chief within 24 hours, even when no ejection or removal occurs. Other witnesses should report the concern promptly to those officials. Reports shall describe the specific words and conduct, rather than treat every question or disagreement as arguing.</w:t>
      </w:r>
    </w:p>
    <w:p>
      <w:pPr>
        <w:keepLines/>
        <w:widowControl/>
      </w:pPr>
      <w:r>
        <w:rPr>
          <w:rFonts w:ascii="Calibri" w:hAnsi="Calibri"/>
          <w:color w:val="000000"/>
        </w:rPr>
        <w:t>The RTGSA Umpire in Chief should also be notified when the incident involves an umpire, game ejection, or playing-rule issue.</w:t>
      </w:r>
    </w:p>
    <w:p>
      <w:pPr>
        <w:keepLines/>
        <w:widowControl/>
      </w:pPr>
      <w:r>
        <w:rPr>
          <w:rFonts w:ascii="Calibri" w:hAnsi="Calibri"/>
          <w:color w:val="000000"/>
        </w:rPr>
        <w:t>RTGSA should obtain and retain the umpire's incident or ejection report when one is available.</w:t>
      </w:r>
    </w:p>
    <w:p>
      <w:pPr>
        <w:pStyle w:val="Heading2"/>
        <w:keepLines/>
        <w:widowControl/>
      </w:pPr>
      <w:r>
        <w:rPr>
          <w:rFonts w:ascii="Calibri" w:hAnsi="Calibri"/>
          <w:color w:val="000000"/>
        </w:rPr>
        <w:t>Away and Interleague Games</w:t>
      </w:r>
    </w:p>
    <w:p>
      <w:pPr>
        <w:keepLines/>
        <w:widowControl/>
      </w:pPr>
      <w:r>
        <w:rPr>
          <w:rFonts w:ascii="Calibri" w:hAnsi="Calibri"/>
          <w:color w:val="000000"/>
        </w:rPr>
        <w:t>When an RTGSA participant is ejected or removed during a game hosted by another league, RTGSA shall request or accept the umpire or host-league report and shall enforce the minimum discipline required by the governing rules and this policy.</w:t>
      </w:r>
    </w:p>
    <w:p>
      <w:pPr>
        <w:keepLines/>
        <w:widowControl/>
      </w:pPr>
      <w:r>
        <w:rPr>
          <w:rFonts w:ascii="Calibri" w:hAnsi="Calibri"/>
          <w:color w:val="000000"/>
        </w:rPr>
        <w:t>When a participant from another league is ejected or removed during an RTGSA-hosted interleague game, RTGSA shall provide the appropriate incident or umpire report to that individual's home league when required or appropriate.</w:t>
      </w:r>
    </w:p>
    <w:p>
      <w:pPr>
        <w:keepLines/>
        <w:widowControl/>
      </w:pPr>
      <w:r>
        <w:rPr>
          <w:rFonts w:ascii="Calibri" w:hAnsi="Calibri"/>
          <w:color w:val="000000"/>
        </w:rPr>
        <w:t>The individual's home league shall generally be responsible for administering its own disciplinary process unless the applicable interleague, tournament, or USA Softball rules provide otherwise.</w:t>
      </w:r>
    </w:p>
    <w:p>
      <w:pPr>
        <w:pStyle w:val="Heading2"/>
        <w:keepLines/>
        <w:widowControl/>
      </w:pPr>
      <w:r>
        <w:rPr>
          <w:rFonts w:ascii="Calibri" w:hAnsi="Calibri"/>
          <w:color w:val="000000"/>
        </w:rPr>
        <w:t>Other Conduct Complaints</w:t>
      </w:r>
    </w:p>
    <w:p>
      <w:pPr>
        <w:keepLines/>
        <w:widowControl/>
      </w:pPr>
      <w:r>
        <w:rPr>
          <w:rFonts w:ascii="Calibri" w:hAnsi="Calibri"/>
          <w:color w:val="000000"/>
        </w:rPr>
      </w:r>
      <w:r>
        <w:rPr>
          <w:rFonts w:ascii="Calibri" w:hAnsi="Calibri"/>
          <w:color w:val="000000"/>
        </w:rPr>
        <w:t xml:space="preserve">A complaint involving conduct that did not result in an ejection, including conduct during travel, lodging, team gatherings, or other off-field league-related activities, should be submitted in writing to the RTGSA President and Vice President as soon as reasonably possible, preferably within </w:t>
      </w:r>
      <w:r>
        <w:rPr>
          <w:rFonts w:ascii="Calibri" w:hAnsi="Calibri"/>
          <w:color w:val="000000"/>
        </w:rPr>
        <w:t>48 hours of the incident</w:t>
      </w:r>
      <w:r>
        <w:rPr>
          <w:rFonts w:ascii="Calibri" w:hAnsi="Calibri"/>
          <w:color w:val="000000"/>
        </w:rPr>
        <w:t>.</w:t>
      </w:r>
    </w:p>
    <w:p>
      <w:pPr>
        <w:keepNext/>
        <w:keepLines/>
        <w:widowControl/>
      </w:pPr>
      <w:r>
        <w:rPr>
          <w:rFonts w:ascii="Calibri" w:hAnsi="Calibri"/>
          <w:color w:val="000000"/>
        </w:rPr>
        <w:t>The report should include, when available:</w:t>
      </w:r>
    </w:p>
    <w:p>
      <w:pPr>
        <w:pStyle w:val="ListBullet"/>
        <w:keepLines/>
        <w:widowControl/>
        <w:spacing/>
        <w:ind w:left="288" w:hanging="216"/>
      </w:pPr>
      <w:r>
        <w:rPr>
          <w:rFonts w:ascii="Calibri" w:hAnsi="Calibri"/>
          <w:color w:val="000000"/>
        </w:rPr>
        <w:t>Date and location of the incident;</w:t>
      </w:r>
    </w:p>
    <w:p>
      <w:pPr>
        <w:pStyle w:val="ListBullet"/>
        <w:keepLines/>
        <w:widowControl/>
        <w:spacing/>
        <w:ind w:left="288" w:hanging="216"/>
      </w:pPr>
      <w:r>
        <w:rPr>
          <w:rFonts w:ascii="Calibri" w:hAnsi="Calibri"/>
          <w:color w:val="000000"/>
        </w:rPr>
        <w:t>Individuals involved;</w:t>
      </w:r>
    </w:p>
    <w:p>
      <w:pPr>
        <w:pStyle w:val="ListBullet"/>
        <w:keepLines/>
        <w:widowControl/>
        <w:spacing/>
        <w:ind w:left="288" w:hanging="216"/>
      </w:pPr>
      <w:r>
        <w:rPr>
          <w:rFonts w:ascii="Calibri" w:hAnsi="Calibri"/>
          <w:color w:val="000000"/>
        </w:rPr>
        <w:t>A factual description of the conduct;</w:t>
      </w:r>
    </w:p>
    <w:p>
      <w:pPr>
        <w:pStyle w:val="ListBullet"/>
        <w:keepLines/>
        <w:widowControl/>
        <w:spacing/>
        <w:ind w:left="288" w:hanging="216"/>
      </w:pPr>
      <w:r>
        <w:rPr>
          <w:rFonts w:ascii="Calibri" w:hAnsi="Calibri"/>
          <w:color w:val="000000"/>
        </w:rPr>
        <w:t>Known witnesses; and</w:t>
      </w:r>
    </w:p>
    <w:p>
      <w:pPr>
        <w:pStyle w:val="ListBullet"/>
        <w:keepLines/>
        <w:widowControl/>
        <w:spacing w:after="140"/>
        <w:ind w:left="288" w:hanging="216"/>
      </w:pPr>
      <w:r>
        <w:rPr>
          <w:rFonts w:ascii="Calibri" w:hAnsi="Calibri"/>
          <w:color w:val="000000"/>
        </w:rPr>
        <w:t>Relevant supporting information, such as photographs, video, messages, or other documentation.</w:t>
      </w:r>
    </w:p>
    <w:p>
      <w:pPr>
        <w:keepLines/>
        <w:widowControl/>
      </w:pPr>
      <w:r>
        <w:rPr>
          <w:rFonts w:ascii="Calibri" w:hAnsi="Calibri"/>
          <w:color w:val="000000"/>
        </w:rPr>
        <w:t>A delay in reporting does not automatically prevent RTGSA from reviewing a serious conduct or safety concern.</w:t>
      </w:r>
    </w:p>
    <w:p>
      <w:pPr>
        <w:pStyle w:val="Heading1"/>
        <w:keepLines/>
        <w:widowControl/>
      </w:pPr>
      <w:r>
        <w:rPr>
          <w:rFonts w:ascii="Calibri" w:hAnsi="Calibri"/>
          <w:color w:val="000000"/>
        </w:rPr>
        <w:t>7 Conduct Review and Discipline</w:t>
      </w:r>
    </w:p>
    <w:p>
      <w:pPr>
        <w:keepLines/>
        <w:widowControl/>
      </w:pPr>
      <w:r>
        <w:rPr>
          <w:rFonts w:ascii="Calibri" w:hAnsi="Calibri"/>
          <w:color w:val="000000"/>
        </w:rPr>
        <w:t>An umpire ejection automatically triggers the minimum consequence required by the applicable governing rules and this policy. Additional RTGSA discipline may be imposed based upon the nature, severity, and circumstances of the conduct.</w:t>
      </w:r>
    </w:p>
    <w:p>
      <w:pPr>
        <w:pStyle w:val="Heading2"/>
        <w:keepLines/>
        <w:widowControl/>
      </w:pPr>
      <w:r>
        <w:rPr>
          <w:rFonts w:ascii="Calibri" w:hAnsi="Calibri"/>
          <w:color w:val="000000"/>
        </w:rPr>
        <w:t>Conduct Review</w:t>
      </w:r>
    </w:p>
    <w:p>
      <w:pPr>
        <w:keepNext/>
        <w:keepLines/>
        <w:widowControl/>
      </w:pPr>
      <w:r>
        <w:rPr>
          <w:rFonts w:ascii="Calibri" w:hAnsi="Calibri"/>
          <w:color w:val="000000"/>
        </w:rPr>
        <w:t>When additional discipline may be appropriate, the matter should be reviewed by a three-person, non-conflicted group consisting of:</w:t>
      </w:r>
    </w:p>
    <w:p>
      <w:pPr>
        <w:pStyle w:val="ListBullet"/>
        <w:keepLines/>
        <w:widowControl/>
        <w:spacing/>
        <w:ind w:left="288" w:hanging="216"/>
      </w:pPr>
      <w:r>
        <w:rPr>
          <w:rFonts w:ascii="Calibri" w:hAnsi="Calibri"/>
          <w:color w:val="000000"/>
        </w:rPr>
        <w:t>The President;</w:t>
      </w:r>
    </w:p>
    <w:p>
      <w:pPr>
        <w:pStyle w:val="ListBullet"/>
        <w:keepLines/>
        <w:widowControl/>
        <w:spacing/>
        <w:ind w:left="288" w:hanging="216"/>
      </w:pPr>
      <w:r>
        <w:rPr>
          <w:rFonts w:ascii="Calibri" w:hAnsi="Calibri"/>
          <w:color w:val="000000"/>
        </w:rPr>
        <w:t>The Vice President; and</w:t>
      </w:r>
    </w:p>
    <w:p>
      <w:pPr>
        <w:pStyle w:val="ListBullet"/>
        <w:keepLines/>
        <w:widowControl/>
        <w:spacing w:after="140"/>
        <w:ind w:left="288" w:hanging="216"/>
      </w:pPr>
      <w:r>
        <w:rPr>
          <w:rFonts w:ascii="Calibri" w:hAnsi="Calibri"/>
          <w:color w:val="000000"/>
        </w:rPr>
        <w:t>One appropriate Board representative, such as the Umpire in Chief or Coaches Representative.</w:t>
      </w:r>
    </w:p>
    <w:p>
      <w:pPr>
        <w:keepLines/>
        <w:widowControl/>
      </w:pPr>
      <w:r>
        <w:rPr>
          <w:rFonts w:ascii="Calibri" w:hAnsi="Calibri"/>
          <w:color w:val="000000"/>
        </w:rPr>
        <w:t>If any designated reviewer is directly involved in the incident, is the subject of the complaint, or otherwise has a material conflict of interest, another non-conflicted Board member shall serve in that person's place.</w:t>
      </w:r>
    </w:p>
    <w:p>
      <w:pPr>
        <w:keepLines/>
        <w:widowControl/>
      </w:pPr>
      <w:r>
        <w:rPr>
          <w:rFonts w:ascii="Calibri" w:hAnsi="Calibri"/>
          <w:color w:val="000000"/>
        </w:rPr>
        <w:t>Before additional RTGSA discipline is imposed, the individual whose conduct is under review shall be given a reasonable opportunity to provide their account of the incident. An immediate temporary restriction may be imposed before that opportunity when reasonably necessary to protect participants or league operations while the review is pending.</w:t>
      </w:r>
    </w:p>
    <w:p>
      <w:pPr>
        <w:keepNext/>
        <w:keepLines/>
        <w:widowControl/>
      </w:pPr>
      <w:r>
        <w:rPr>
          <w:rFonts w:ascii="Calibri" w:hAnsi="Calibri"/>
          <w:color w:val="000000"/>
        </w:rPr>
        <w:t>The review may consider:</w:t>
      </w:r>
    </w:p>
    <w:p>
      <w:pPr>
        <w:pStyle w:val="ListBullet"/>
        <w:keepLines/>
        <w:widowControl/>
        <w:spacing/>
        <w:ind w:left="288" w:hanging="216"/>
      </w:pPr>
      <w:r>
        <w:rPr>
          <w:rFonts w:ascii="Calibri" w:hAnsi="Calibri"/>
          <w:color w:val="000000"/>
        </w:rPr>
        <w:t>Umpire or tournament reports;</w:t>
      </w:r>
    </w:p>
    <w:p>
      <w:pPr>
        <w:pStyle w:val="ListBullet"/>
        <w:keepLines/>
        <w:widowControl/>
        <w:spacing/>
        <w:ind w:left="288" w:hanging="216"/>
      </w:pPr>
      <w:r>
        <w:rPr>
          <w:rFonts w:ascii="Calibri" w:hAnsi="Calibri"/>
          <w:color w:val="000000"/>
        </w:rPr>
        <w:t>Written statements;</w:t>
      </w:r>
    </w:p>
    <w:p>
      <w:pPr>
        <w:pStyle w:val="ListBullet"/>
        <w:keepLines/>
        <w:widowControl/>
        <w:spacing/>
        <w:ind w:left="288" w:hanging="216"/>
      </w:pPr>
      <w:r>
        <w:rPr>
          <w:rFonts w:ascii="Calibri" w:hAnsi="Calibri"/>
          <w:color w:val="000000"/>
        </w:rPr>
        <w:t>Statements from coaches, league officials, or witnesses;</w:t>
      </w:r>
    </w:p>
    <w:p>
      <w:pPr>
        <w:pStyle w:val="ListBullet"/>
        <w:keepLines/>
        <w:widowControl/>
        <w:spacing/>
        <w:ind w:left="288" w:hanging="216"/>
      </w:pPr>
      <w:r>
        <w:rPr>
          <w:rFonts w:ascii="Calibri" w:hAnsi="Calibri"/>
          <w:color w:val="000000"/>
        </w:rPr>
        <w:t>Photographs or video when legitimately available;</w:t>
      </w:r>
    </w:p>
    <w:p>
      <w:pPr>
        <w:pStyle w:val="ListBullet"/>
        <w:keepLines/>
        <w:widowControl/>
        <w:spacing/>
        <w:ind w:left="288" w:hanging="216"/>
      </w:pPr>
      <w:r>
        <w:rPr>
          <w:rFonts w:ascii="Calibri" w:hAnsi="Calibri"/>
          <w:color w:val="000000"/>
        </w:rPr>
        <w:t>Relevant electronic communications; and</w:t>
      </w:r>
    </w:p>
    <w:p>
      <w:pPr>
        <w:pStyle w:val="ListBullet"/>
        <w:keepLines/>
        <w:widowControl/>
        <w:spacing w:after="140"/>
        <w:ind w:left="288" w:hanging="216"/>
      </w:pPr>
      <w:r>
        <w:rPr>
          <w:rFonts w:ascii="Calibri" w:hAnsi="Calibri"/>
          <w:color w:val="000000"/>
        </w:rPr>
        <w:t>Relevant prior RTGSA conduct history.</w:t>
      </w:r>
    </w:p>
    <w:p>
      <w:pPr>
        <w:keepLines/>
        <w:widowControl/>
      </w:pPr>
      <w:r>
        <w:rPr>
          <w:rFonts w:ascii="Calibri" w:hAnsi="Calibri"/>
          <w:color w:val="000000"/>
        </w:rPr>
        <w:t>The review should focus on the conduct at issue and apply this policy consistently, regardless of team, player, coach, or Board relationships.</w:t>
      </w:r>
    </w:p>
    <w:p>
      <w:pPr>
        <w:pStyle w:val="Heading2"/>
        <w:keepLines/>
        <w:widowControl/>
      </w:pPr>
      <w:r>
        <w:rPr>
          <w:rFonts w:ascii="Calibri" w:hAnsi="Calibri"/>
          <w:color w:val="000000"/>
        </w:rPr>
        <w:t>Available Discipline</w:t>
      </w:r>
    </w:p>
    <w:p>
      <w:pPr>
        <w:keepNext/>
        <w:keepLines/>
        <w:widowControl/>
      </w:pPr>
      <w:r>
        <w:rPr>
          <w:rFonts w:ascii="Calibri" w:hAnsi="Calibri"/>
          <w:color w:val="000000"/>
        </w:rPr>
        <w:t>Depending upon the circumstances, RTGSA discipline may include:</w:t>
      </w:r>
    </w:p>
    <w:p>
      <w:pPr>
        <w:pStyle w:val="ListBullet"/>
        <w:keepLines/>
        <w:widowControl/>
        <w:spacing/>
        <w:ind w:left="288" w:hanging="216"/>
      </w:pPr>
      <w:r>
        <w:rPr>
          <w:rFonts w:ascii="Calibri" w:hAnsi="Calibri"/>
          <w:color w:val="000000"/>
        </w:rPr>
        <w:t>Verbal warning;</w:t>
      </w:r>
    </w:p>
    <w:p>
      <w:pPr>
        <w:pStyle w:val="ListBullet"/>
        <w:keepLines/>
        <w:widowControl/>
        <w:spacing/>
        <w:ind w:left="288" w:hanging="216"/>
      </w:pPr>
      <w:r>
        <w:rPr>
          <w:rFonts w:ascii="Calibri" w:hAnsi="Calibri"/>
          <w:color w:val="000000"/>
        </w:rPr>
        <w:t>Written warning;</w:t>
      </w:r>
    </w:p>
    <w:p>
      <w:pPr>
        <w:pStyle w:val="ListBullet"/>
        <w:keepLines/>
        <w:widowControl/>
        <w:spacing/>
        <w:ind w:left="288" w:hanging="216"/>
      </w:pPr>
      <w:r>
        <w:rPr>
          <w:rFonts w:ascii="Calibri" w:hAnsi="Calibri"/>
          <w:color w:val="000000"/>
        </w:rPr>
        <w:t>One-game suspension;</w:t>
      </w:r>
    </w:p>
    <w:p>
      <w:pPr>
        <w:pStyle w:val="ListBullet"/>
        <w:keepLines/>
        <w:widowControl/>
        <w:spacing/>
        <w:ind w:left="288" w:hanging="216"/>
      </w:pPr>
      <w:r>
        <w:rPr>
          <w:rFonts w:ascii="Calibri" w:hAnsi="Calibri"/>
          <w:color w:val="000000"/>
        </w:rPr>
        <w:t>Multiple-game suspension;</w:t>
      </w:r>
    </w:p>
    <w:p>
      <w:pPr>
        <w:pStyle w:val="ListBullet"/>
        <w:keepLines/>
        <w:widowControl/>
        <w:spacing/>
        <w:ind w:left="288" w:hanging="216"/>
      </w:pPr>
      <w:r>
        <w:rPr>
          <w:rFonts w:ascii="Calibri" w:hAnsi="Calibri"/>
          <w:color w:val="000000"/>
        </w:rPr>
        <w:t>Restriction from attending practices, games, tournaments, evaluations, team travel, lodging-related team activities, or other league events;</w:t>
      </w:r>
    </w:p>
    <w:p>
      <w:pPr>
        <w:pStyle w:val="ListBullet"/>
        <w:keepLines/>
        <w:widowControl/>
        <w:spacing/>
        <w:ind w:left="288" w:hanging="216"/>
      </w:pPr>
      <w:r>
        <w:rPr>
          <w:rFonts w:ascii="Calibri" w:hAnsi="Calibri"/>
          <w:color w:val="000000"/>
        </w:rPr>
        <w:t>Removal from a coaching, team, or volunteer role;</w:t>
      </w:r>
    </w:p>
    <w:p>
      <w:pPr>
        <w:pStyle w:val="ListBullet"/>
        <w:keepLines/>
        <w:widowControl/>
        <w:spacing/>
        <w:ind w:left="288" w:hanging="216"/>
      </w:pPr>
      <w:r>
        <w:rPr>
          <w:rFonts w:ascii="Calibri" w:hAnsi="Calibri"/>
          <w:color w:val="000000"/>
        </w:rPr>
        <w:t>Suspension for the remainder of a season; or</w:t>
      </w:r>
    </w:p>
    <w:p>
      <w:pPr>
        <w:pStyle w:val="ListBullet"/>
        <w:keepLines/>
        <w:widowControl/>
        <w:spacing w:after="140"/>
        <w:ind w:left="288" w:hanging="216"/>
      </w:pPr>
      <w:r>
        <w:rPr>
          <w:rFonts w:ascii="Calibri" w:hAnsi="Calibri"/>
          <w:color w:val="000000"/>
        </w:rPr>
        <w:t>Removal from RTGSA participation or attendance when warranted.</w:t>
      </w:r>
    </w:p>
    <w:p>
      <w:pPr>
        <w:keepLines/>
        <w:widowControl/>
      </w:pPr>
      <w:r>
        <w:rPr>
          <w:rFonts w:ascii="Calibri" w:hAnsi="Calibri"/>
          <w:color w:val="000000"/>
        </w:rPr>
        <w:t>Serious, repeated, or unresolved misconduct may be referred to the full Board of Directors for further action consistent with the RTGSA Bylaws and other governing requirements.</w:t>
      </w:r>
    </w:p>
    <w:p>
      <w:pPr>
        <w:keepLines/>
        <w:widowControl/>
      </w:pPr>
      <w:r>
        <w:rPr>
          <w:rFonts w:ascii="Calibri" w:hAnsi="Calibri"/>
          <w:color w:val="000000"/>
        </w:rPr>
        <w:t>RTGSA should strive for consistent treatment of comparable conduct while retaining discretion to consider the severity of the incident, prior conduct history, safety concerns, cooperation following the incident, and other relevant circumstances.</w:t>
      </w:r>
    </w:p>
    <w:p>
      <w:pPr>
        <w:pStyle w:val="Heading2"/>
        <w:keepLines/>
        <w:widowControl/>
      </w:pPr>
      <w:r>
        <w:rPr>
          <w:rFonts w:ascii="Calibri" w:hAnsi="Calibri"/>
          <w:color w:val="000000"/>
        </w:rPr>
        <w:t>Player Impact</w:t>
      </w:r>
    </w:p>
    <w:p>
      <w:pPr>
        <w:keepLines/>
        <w:widowControl/>
      </w:pPr>
      <w:r>
        <w:rPr>
          <w:rFonts w:ascii="Calibri" w:hAnsi="Calibri"/>
          <w:color w:val="000000"/>
        </w:rPr>
      </w:r>
      <w:r>
        <w:rPr>
          <w:rFonts w:ascii="Calibri" w:hAnsi="Calibri"/>
          <w:color w:val="000000"/>
        </w:rPr>
        <w:t xml:space="preserve">Discipline imposed upon a parent, guardian, or spectator normally applies to that individual and </w:t>
      </w:r>
      <w:r>
        <w:rPr>
          <w:rFonts w:ascii="Calibri" w:hAnsi="Calibri"/>
          <w:color w:val="000000"/>
        </w:rPr>
        <w:t>will not automatically result in discipline against the associated player</w:t>
      </w:r>
      <w:r>
        <w:rPr>
          <w:rFonts w:ascii="Calibri" w:hAnsi="Calibri"/>
          <w:color w:val="000000"/>
        </w:rPr>
        <w:t>.</w:t>
      </w:r>
    </w:p>
    <w:p>
      <w:pPr>
        <w:keepLines/>
        <w:widowControl/>
      </w:pPr>
      <w:r>
        <w:rPr>
          <w:rFonts w:ascii="Calibri" w:hAnsi="Calibri"/>
          <w:color w:val="000000"/>
        </w:rPr>
        <w:t>A player's participation may be affected only when independently warranted by the player's own conduct, applicable governing rules, legitimate safety considerations, or circumstances that make continued participation impracticable.</w:t>
      </w:r>
    </w:p>
    <w:p>
      <w:pPr>
        <w:pStyle w:val="Heading1"/>
        <w:keepLines/>
        <w:widowControl/>
      </w:pPr>
      <w:r>
        <w:rPr>
          <w:rFonts w:ascii="Calibri" w:hAnsi="Calibri"/>
          <w:color w:val="000000"/>
        </w:rPr>
        <w:t>8 SafeSport and Player Safety Matters</w:t>
      </w:r>
    </w:p>
    <w:p>
      <w:pPr>
        <w:keepLines/>
        <w:widowControl/>
      </w:pPr>
      <w:r>
        <w:rPr>
          <w:rFonts w:ascii="Calibri" w:hAnsi="Calibri"/>
          <w:color w:val="000000"/>
        </w:rPr>
        <w:t>This policy is intended to address ordinary sportsmanship, behavioral, and ejection matters.</w:t>
      </w:r>
    </w:p>
    <w:p>
      <w:pPr>
        <w:keepLines/>
        <w:widowControl/>
      </w:pPr>
      <w:r>
        <w:rPr>
          <w:rFonts w:ascii="Calibri" w:hAnsi="Calibri"/>
          <w:color w:val="000000"/>
        </w:rPr>
        <w:t>Allegations involving abuse, sexual misconduct, child abuse, certain physical or emotional misconduct, or other matters subject to USA Softball Safe Softball, U.S. Center for SafeSport, law-enforcement, or mandatory-reporting requirements shall not be handled solely as an RTGSA sportsmanship complaint.</w:t>
      </w:r>
    </w:p>
    <w:p>
      <w:pPr>
        <w:keepLines/>
        <w:widowControl/>
      </w:pPr>
      <w:r>
        <w:rPr>
          <w:rFonts w:ascii="Calibri" w:hAnsi="Calibri"/>
          <w:color w:val="000000"/>
        </w:rPr>
        <w:t>Such matters shall be reported and handled in accordance with applicable law, USA Softball requirements, SafeSport requirements, and any mandatory-reporting obligations.</w:t>
      </w:r>
    </w:p>
    <w:p>
      <w:pPr>
        <w:keepLines/>
        <w:widowControl/>
      </w:pPr>
      <w:r>
        <w:rPr>
          <w:rFonts w:ascii="Calibri" w:hAnsi="Calibri"/>
          <w:color w:val="000000"/>
        </w:rPr>
        <w:t>Nothing in this policy limits, replaces, or delays any required report involving player safety.</w:t>
      </w:r>
    </w:p>
    <w:p>
      <w:pPr>
        <w:pStyle w:val="Heading1"/>
        <w:keepLines/>
        <w:widowControl/>
      </w:pPr>
      <w:r>
        <w:rPr>
          <w:rFonts w:ascii="Calibri" w:hAnsi="Calibri"/>
          <w:color w:val="000000"/>
        </w:rPr>
        <w:t>9 Acknowledgment Communication and Recordkeeping</w:t>
      </w:r>
    </w:p>
    <w:p>
      <w:pPr>
        <w:keepLines/>
        <w:widowControl/>
      </w:pPr>
      <w:r>
        <w:rPr>
          <w:rFonts w:ascii="Calibri" w:hAnsi="Calibri"/>
          <w:color w:val="000000"/>
        </w:rPr>
        <w:t>RTGSA should incorporate this policy’s expectations into its registration, coaching, and volunteer processes so participants understand the standards before the season begins. The current policy should be available through a direct link in the applicable TeamSideline registration process and, where practical, in coach and volunteer registration or application materials.</w:t>
      </w:r>
    </w:p>
    <w:p>
      <w:pPr>
        <w:pStyle w:val="Heading2"/>
        <w:keepLines/>
        <w:widowControl/>
      </w:pPr>
      <w:r>
        <w:rPr>
          <w:rFonts w:ascii="Calibri" w:hAnsi="Calibri"/>
          <w:color w:val="000000"/>
        </w:rPr>
        <w:t>Parents and Players</w:t>
      </w:r>
    </w:p>
    <w:p>
      <w:pPr>
        <w:keepLines/>
        <w:widowControl/>
      </w:pPr>
      <w:r>
        <w:rPr>
          <w:rFonts w:ascii="Calibri" w:hAnsi="Calibri"/>
          <w:color w:val="000000"/>
        </w:rPr>
        <w:t>A Parent/Player Code of Conduct acknowledgment should be incorporated into registration or the applicable seasonal participation process. It should provide access to this policy and require electronic confirmation that the parent or guardian has reviewed and agrees to comply with the applicable standards.</w:t>
      </w:r>
    </w:p>
    <w:p>
      <w:pPr>
        <w:keepNext/>
        <w:keepLines/>
        <w:widowControl/>
      </w:pPr>
      <w:r>
        <w:rPr>
          <w:rFonts w:ascii="Calibri" w:hAnsi="Calibri"/>
          <w:color w:val="000000"/>
        </w:rPr>
        <w:t>The acknowledgment should confirm that parents and guardians understand:</w:t>
      </w:r>
    </w:p>
    <w:p>
      <w:pPr>
        <w:pStyle w:val="ListBullet"/>
        <w:keepLines/>
        <w:widowControl/>
        <w:spacing/>
        <w:ind w:left="288" w:hanging="216"/>
      </w:pPr>
      <w:r>
        <w:rPr>
          <w:rFonts w:ascii="Calibri" w:hAnsi="Calibri"/>
          <w:color w:val="000000"/>
        </w:rPr>
        <w:t>RTGSA's sportsmanship and conduct expectations;</w:t>
      </w:r>
    </w:p>
    <w:p>
      <w:pPr>
        <w:pStyle w:val="ListBullet"/>
        <w:keepLines/>
        <w:widowControl/>
        <w:spacing/>
        <w:ind w:left="288" w:hanging="216"/>
      </w:pPr>
      <w:r>
        <w:t>The protections for youth umpires, including the distinction between permitted respectful questions and prohibited arguing, and the requirement to bring spectator questions through the Head Coach;</w:t>
      </w:r>
    </w:p>
    <w:p>
      <w:pPr>
        <w:pStyle w:val="ListBullet"/>
        <w:keepLines/>
        <w:widowControl/>
        <w:spacing/>
        <w:ind w:left="288" w:hanging="216"/>
      </w:pPr>
      <w:r>
        <w:rPr>
          <w:rFonts w:ascii="Calibri" w:hAnsi="Calibri"/>
          <w:color w:val="000000"/>
        </w:rPr>
        <w:t>They are responsible for their own conduct and for making reasonable efforts to ensure appropriate conduct by their guests;</w:t>
      </w:r>
    </w:p>
    <w:p>
      <w:pPr>
        <w:pStyle w:val="ListBullet"/>
        <w:keepLines/>
        <w:widowControl/>
        <w:spacing/>
        <w:ind w:left="288" w:hanging="216"/>
      </w:pPr>
      <w:r>
        <w:rPr>
          <w:rFonts w:ascii="Calibri" w:hAnsi="Calibri"/>
          <w:color w:val="000000"/>
        </w:rPr>
        <w:t>RTGSA conduct expectations may apply to overnight tournaments, travel, lodging, team meals, team gatherings, and other off-field team activities;</w:t>
      </w:r>
    </w:p>
    <w:p>
      <w:pPr>
        <w:pStyle w:val="ListBullet"/>
        <w:keepLines/>
        <w:widowControl/>
        <w:spacing/>
        <w:ind w:left="288" w:hanging="216"/>
      </w:pPr>
      <w:r>
        <w:rPr>
          <w:rFonts w:ascii="Calibri" w:hAnsi="Calibri"/>
          <w:color w:val="000000"/>
        </w:rPr>
        <w:t>Lawful adult alcohol consumption does not excuse disruptive, abusive, unsafe, or otherwise inappropriate conduct;</w:t>
      </w:r>
    </w:p>
    <w:p>
      <w:pPr>
        <w:pStyle w:val="ListBullet"/>
        <w:keepLines/>
        <w:widowControl/>
        <w:spacing/>
        <w:ind w:left="288" w:hanging="216"/>
      </w:pPr>
      <w:r>
        <w:rPr>
          <w:rFonts w:ascii="Calibri" w:hAnsi="Calibri"/>
          <w:color w:val="000000"/>
        </w:rPr>
        <w:t>Ejection or removal may result in suspension from subsequent games or league activities; and</w:t>
      </w:r>
    </w:p>
    <w:p>
      <w:pPr>
        <w:pStyle w:val="ListBullet"/>
        <w:keepLines/>
        <w:widowControl/>
        <w:spacing w:after="140"/>
        <w:ind w:left="288" w:hanging="216"/>
      </w:pPr>
      <w:r>
        <w:rPr>
          <w:rFonts w:ascii="Calibri" w:hAnsi="Calibri"/>
          <w:color w:val="000000"/>
        </w:rPr>
        <w:t>Serious or repeated misconduct may result in additional league discipline.</w:t>
      </w:r>
    </w:p>
    <w:p>
      <w:pPr>
        <w:pStyle w:val="Heading2"/>
        <w:keepLines/>
        <w:widowControl/>
      </w:pPr>
      <w:r>
        <w:rPr>
          <w:rFonts w:ascii="Calibri" w:hAnsi="Calibri"/>
          <w:color w:val="000000"/>
        </w:rPr>
        <w:t>Coaches and Volunteers</w:t>
      </w:r>
    </w:p>
    <w:p>
      <w:pPr>
        <w:keepLines/>
        <w:widowControl/>
      </w:pPr>
      <w:r>
        <w:t>Head Coaches, Assistant Coaches, and other designated team volunteers shall acknowledge the applicable Coach or Volunteer Code of Conduct and this policy before participating each season. The acknowledgment should include the heightened expectations applicable to supervision, travel, lodging, off-field activities, impairment, and compliance with applicable USA Softball Safe Softball and U.S. Center for SafeSport requirements. It shall also include the youth-umpire protections, permitted communication standards, and incident-reporting requirements in this policy.</w:t>
      </w:r>
    </w:p>
    <w:p>
      <w:pPr>
        <w:pStyle w:val="Heading2"/>
        <w:keepLines/>
        <w:widowControl/>
      </w:pPr>
      <w:r>
        <w:rPr>
          <w:rFonts w:ascii="Calibri" w:hAnsi="Calibri"/>
          <w:color w:val="000000"/>
        </w:rPr>
        <w:t>Communication of Discipline</w:t>
      </w:r>
    </w:p>
    <w:p>
      <w:pPr>
        <w:keepLines/>
        <w:widowControl/>
      </w:pPr>
      <w:r>
        <w:rPr>
          <w:rFonts w:ascii="Calibri" w:hAnsi="Calibri"/>
          <w:color w:val="000000"/>
        </w:rPr>
        <w:t>When RTGSA imposes a suspension or other material restriction, the affected individual should be informed of the decision, the duration of the restriction, and any conditions for return to participation.</w:t>
      </w:r>
    </w:p>
    <w:p>
      <w:pPr>
        <w:keepLines/>
        <w:widowControl/>
      </w:pPr>
      <w:r>
        <w:rPr>
          <w:rFonts w:ascii="Calibri" w:hAnsi="Calibri"/>
          <w:color w:val="000000"/>
        </w:rPr>
        <w:t>When necessary for administration or safety, RTGSA may also notify appropriate coaches, Board members, umpires, tournament officials, host leagues, or other responsible parties of the restriction. Information should be limited to what is reasonably necessary to enforce the decision.</w:t>
      </w:r>
    </w:p>
    <w:p>
      <w:pPr>
        <w:pStyle w:val="Heading2"/>
        <w:keepLines/>
        <w:widowControl/>
      </w:pPr>
      <w:r>
        <w:rPr>
          <w:rFonts w:ascii="Calibri" w:hAnsi="Calibri"/>
          <w:color w:val="000000"/>
        </w:rPr>
        <w:t>Recordkeeping</w:t>
      </w:r>
    </w:p>
    <w:p>
      <w:pPr>
        <w:keepLines/>
        <w:widowControl/>
      </w:pPr>
      <w:r>
        <w:rPr>
          <w:rFonts w:ascii="Calibri" w:hAnsi="Calibri"/>
          <w:color w:val="000000"/>
        </w:rPr>
        <w:t>Material ejection reports, conduct decisions, and disciplinary actions shall be maintained with RTGSA's official league records in a manner reasonably designed to protect confidentiality.</w:t>
      </w:r>
    </w:p>
    <w:p>
      <w:pPr>
        <w:keepLines/>
        <w:widowControl/>
      </w:pPr>
      <w:r>
        <w:rPr>
          <w:rFonts w:ascii="Calibri" w:hAnsi="Calibri"/>
          <w:color w:val="000000"/>
        </w:rPr>
        <w:t>These records support consistent treatment of repeated or similar conduct, help identify recurring issues, and provide continuity between seasons and future Boards.</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000000"/>
        <w:sz w:val="18"/>
      </w:rPr>
      <w:t xml:space="preserve">RTGSA  |  Sportsmanship Conduct and Ejection Policy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52" w:lineRule="auto" w:before="0"/>
    </w:pPr>
    <w:rPr>
      <w:rFonts w:ascii="Calibri" w:hAnsi="Calibri"/>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252" w:lineRule="auto"/>
      <w:outlineLvl w:val="0"/>
    </w:pPr>
    <w:rPr>
      <w:rFonts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40" w:after="100" w:line="252" w:lineRule="auto"/>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sz w:val="28"/>
      <w:szCs w:val="28"/>
    </w:rPr>
  </w:style>
  <w:style w:type="character" w:customStyle="1" w:styleId="Heading2Char">
    <w:name w:val="Heading 2 Char"/>
    <w:basedOn w:val="DefaultParagraphFont"/>
    <w:link w:val="Heading2"/>
    <w:uiPriority w:val="9"/>
    <w:rsid w:val="00FC693F"/>
    <w:rPr>
      <w:rFonts/>
      <w:b/>
      <w:bCs/>
      <w:color w:val="4F81BD"/>
      <w:sz w:val="26"/>
      <w:szCs w:val="26"/>
    </w:rPr>
  </w:style>
  <w:style w:type="character" w:customStyle="1" w:styleId="Heading3Char">
    <w:name w:val="Heading 3 Char"/>
    <w:basedOn w:val="DefaultParagraphFont"/>
    <w:link w:val="Heading3"/>
    <w:uiPriority w:val="9"/>
    <w:rsid w:val="00FC693F"/>
    <w:rPr>
      <w:rFonts/>
      <w:b/>
      <w:bCs/>
      <w:color w:val="4F81BD"/>
    </w:rPr>
  </w:style>
  <w:style w:type="paragraph" w:styleId="Title">
    <w:name w:val="Title"/>
    <w:basedOn w:val="Normal"/>
    <w:next w:val="Normal"/>
    <w:link w:val="TitleChar"/>
    <w:uiPriority w:val="10"/>
    <w:qFormat/>
    <w:rsid w:val="00FC693F"/>
    <w:pPr>
      <w:keepNext/>
      <w:spacing w:after="240" w:line="252" w:lineRule="auto" w:before="0"/>
      <w:contextualSpacing/>
    </w:pPr>
    <w:rPr>
      <w:rFonts w:ascii="Calibri" w:hAnsi="Calibri"/>
      <w:b/>
      <w:color w:val="000000"/>
      <w:spacing w:val="5"/>
      <w:kern w:val="28"/>
      <w:sz w:val="38"/>
      <w:szCs w:val="52"/>
    </w:rPr>
  </w:style>
  <w:style w:type="character" w:customStyle="1" w:styleId="TitleChar">
    <w:name w:val="Title Char"/>
    <w:basedOn w:val="DefaultParagraphFont"/>
    <w:link w:val="Title"/>
    <w:uiPriority w:val="10"/>
    <w:rsid w:val="00FC693F"/>
    <w:rPr>
      <w:rFonts/>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spacing w:val="15"/>
      <w:sz w:val="24"/>
      <w:szCs w:val="24"/>
    </w:rPr>
  </w:style>
  <w:style w:type="character" w:customStyle="1" w:styleId="SubtitleChar">
    <w:name w:val="Subtitle Char"/>
    <w:basedOn w:val="DefaultParagraphFont"/>
    <w:link w:val="Subtitle"/>
    <w:uiPriority w:val="11"/>
    <w:rsid w:val="00FC693F"/>
    <w:rPr>
      <w:rFonts/>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Next w:val="0"/>
      <w:numPr>
        <w:numId w:val="1"/>
      </w:numPr>
      <w:spacing w:line="252" w:lineRule="auto" w:before="0" w:after="40"/>
      <w:contextualSpacing/>
    </w:pPr>
    <w:rPr>
      <w:rFonts w:ascii="Calibri" w:hAnsi="Calibri"/>
      <w:b w:val="0"/>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b/>
      <w:bCs/>
      <w:i/>
      <w:iCs/>
      <w:color w:val="4F81BD"/>
    </w:rPr>
  </w:style>
  <w:style w:type="character" w:customStyle="1" w:styleId="Heading5Char">
    <w:name w:val="Heading 5 Char"/>
    <w:basedOn w:val="DefaultParagraphFont"/>
    <w:link w:val="Heading5"/>
    <w:uiPriority w:val="9"/>
    <w:semiHidden/>
    <w:rsid w:val="00FC693F"/>
    <w:rPr>
      <w:rFonts/>
      <w:color w:val="243F60"/>
    </w:rPr>
  </w:style>
  <w:style w:type="character" w:customStyle="1" w:styleId="Heading6Char">
    <w:name w:val="Heading 6 Char"/>
    <w:basedOn w:val="DefaultParagraphFont"/>
    <w:link w:val="Heading6"/>
    <w:uiPriority w:val="9"/>
    <w:semiHidden/>
    <w:rsid w:val="00FC693F"/>
    <w:rPr>
      <w:rFonts/>
      <w:i/>
      <w:iCs/>
      <w:color w:val="243F60"/>
    </w:rPr>
  </w:style>
  <w:style w:type="character" w:customStyle="1" w:styleId="Heading7Char">
    <w:name w:val="Heading 7 Char"/>
    <w:basedOn w:val="DefaultParagraphFont"/>
    <w:link w:val="Heading7"/>
    <w:uiPriority w:val="9"/>
    <w:semiHidden/>
    <w:rsid w:val="00FC693F"/>
    <w:rPr>
      <w:rFonts/>
      <w:i/>
      <w:iCs/>
      <w:color w:val="404040"/>
    </w:rPr>
  </w:style>
  <w:style w:type="character" w:customStyle="1" w:styleId="Heading8Char">
    <w:name w:val="Heading 8 Char"/>
    <w:basedOn w:val="DefaultParagraphFont"/>
    <w:link w:val="Heading8"/>
    <w:uiPriority w:val="9"/>
    <w:semiHidden/>
    <w:rsid w:val="00FC693F"/>
    <w:rPr>
      <w:rFonts/>
      <w:color w:val="4F81BD"/>
      <w:sz w:val="20"/>
      <w:szCs w:val="20"/>
    </w:rPr>
  </w:style>
  <w:style w:type="character" w:customStyle="1" w:styleId="Heading9Char">
    <w:name w:val="Heading 9 Char"/>
    <w:basedOn w:val="DefaultParagraphFont"/>
    <w:link w:val="Heading9"/>
    <w:uiPriority w:val="9"/>
    <w:semiHidden/>
    <w:rsid w:val="00FC693F"/>
    <w:rPr>
      <w:rFonts/>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Subtitle">
    <w:name w:val="Policy Subtitle"/>
    <w:pPr>
      <w:spacing w:after="240"/>
    </w:pPr>
    <w:rPr>
      <w:rFonts w:ascii="Aptos" w:hAnsi="Aptos"/>
      <w:i/>
      <w:color w:val="595959"/>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RTGSA Sportsmanship Conduct and Ejection Policy</dc:title>
  <dc:subject>Sportsmanship expectations and conduct reporting review and discipline</dc:subject>
  <dc:creator>RTGSA</dc:creator>
  <cp:keywords/>
  <dc:description/>
  <cp:lastModifiedBy>RTGSA</cp:lastModifiedBy>
  <cp:revision>1</cp:revision>
  <dcterms:created xsi:type="dcterms:W3CDTF">2013-12-23T23:15:00Z</dcterms:created>
  <dcterms:modified xsi:type="dcterms:W3CDTF">2013-12-23T23:15:00Z</dcterms:modified>
  <cp:category/>
</cp:coreProperties>
</file>