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widowControl/>
        <w:spacing w:after="100"/>
        <w:jc w:val="left"/>
      </w:pPr>
      <w:r>
        <w:rPr>
          <w:rFonts w:ascii="Calibri" w:hAnsi="Calibri"/>
          <w:color w:val="000000"/>
        </w:rPr>
        <w:t>RTGSA Registration and Refund Policy</w:t>
      </w:r>
    </w:p>
    <w:p>
      <w:pPr>
        <w:keepNext/>
        <w:keepLines/>
        <w:widowControl/>
        <w:spacing w:after="240"/>
        <w:jc w:val="left"/>
      </w:pPr>
      <w:r>
        <w:rPr>
          <w:rFonts w:ascii="Calibri" w:hAnsi="Calibri"/>
          <w:color w:val="000000"/>
          <w:sz w:val="20"/>
        </w:rPr>
        <w:t>Spring 2027 Registration</w:t>
      </w:r>
    </w:p>
    <w:p>
      <w:pPr>
        <w:keepLines/>
        <w:widowControl/>
        <w:jc w:val="left"/>
      </w:pPr>
      <w:r>
        <w:rPr>
          <w:rFonts w:ascii="Calibri" w:hAnsi="Calibri"/>
          <w:color w:val="000000"/>
        </w:rPr>
        <w:t>By completing registration with Rancho Trabuco Girls Softball Association (RTGSA), I understand that registration fees support the costs of operating the league, including insurance, field use and maintenance, uniforms, equipment, umpires, administration, and other program expenses.</w:t>
      </w:r>
    </w:p>
    <w:p>
      <w:pPr>
        <w:keepLines/>
        <w:widowControl/>
        <w:jc w:val="left"/>
      </w:pPr>
      <w:r>
        <w:rPr>
          <w:rFonts w:ascii="Calibri" w:hAnsi="Calibri"/>
          <w:color w:val="000000"/>
        </w:rPr>
        <w:t>Registration is complete only when all required information has been submitted and all applicable fees have been paid or an approved payment arrangement has been established.</w:t>
      </w:r>
    </w:p>
    <w:p>
      <w:pPr>
        <w:pStyle w:val="Heading1"/>
        <w:keepLines/>
        <w:widowControl/>
        <w:spacing/>
        <w:jc w:val="left"/>
      </w:pPr>
      <w:r>
        <w:rPr>
          <w:rFonts w:ascii="Calibri" w:hAnsi="Calibri"/>
          <w:color w:val="000000"/>
        </w:rPr>
        <w:t>Refund Requests</w:t>
      </w:r>
    </w:p>
    <w:p>
      <w:pPr>
        <w:keepLines/>
        <w:widowControl/>
        <w:jc w:val="left"/>
      </w:pPr>
      <w:r>
        <w:rPr>
          <w:rFonts w:ascii="Calibri" w:hAnsi="Calibri"/>
          <w:color w:val="000000"/>
        </w:rPr>
        <w:t>All refund requests must be submitted in writing to the RTGSA President or Vice President. A request is considered received only when it has been delivered to either officer. Refund eligibility is based on when the request is received in relation to team formation.</w:t>
      </w:r>
    </w:p>
    <w:p>
      <w:pPr>
        <w:pStyle w:val="ListBullet"/>
        <w:keepLines/>
        <w:widowControl/>
        <w:spacing/>
        <w:ind w:left="288" w:hanging="216"/>
        <w:jc w:val="left"/>
      </w:pPr>
      <w:r>
        <w:rPr>
          <w:b/>
        </w:rPr>
        <w:t>Before teams are formed:</w:t>
      </w:r>
      <w:r>
        <w:t xml:space="preserve"> A player who withdraws before team formation may receive a refund of registration fees, less a $25 administrative fee and any non-refundable payment-processing fees or other non-refundable charges already incurred by RTGSA.</w:t>
      </w:r>
    </w:p>
    <w:p>
      <w:pPr>
        <w:pStyle w:val="ListBullet"/>
        <w:keepLines/>
        <w:widowControl/>
        <w:spacing/>
        <w:ind w:left="288" w:hanging="216"/>
        <w:jc w:val="left"/>
      </w:pPr>
      <w:r>
        <w:rPr>
          <w:b/>
        </w:rPr>
        <w:t>After teams are formed:</w:t>
      </w:r>
      <w:r>
        <w:t xml:space="preserve"> Registration fees are non-refundable after team formation, except when RTGSA specifically approves an exception for a documented season-ending medical condition or other extraordinary circumstance.</w:t>
      </w:r>
    </w:p>
    <w:p>
      <w:pPr>
        <w:pStyle w:val="Heading1"/>
        <w:keepLines/>
        <w:widowControl/>
        <w:spacing/>
        <w:jc w:val="left"/>
      </w:pPr>
      <w:r>
        <w:rPr>
          <w:rFonts w:ascii="Calibri" w:hAnsi="Calibri"/>
          <w:color w:val="000000"/>
        </w:rPr>
        <w:t>Nonrefundable Circumstances</w:t>
      </w:r>
    </w:p>
    <w:p>
      <w:pPr>
        <w:keepLines/>
        <w:widowControl/>
        <w:jc w:val="left"/>
      </w:pPr>
      <w:r>
        <w:rPr>
          <w:rFonts w:ascii="Calibri" w:hAnsi="Calibri"/>
          <w:color w:val="000000"/>
        </w:rPr>
        <w:t>Unless RTGSA approves an exception under this policy, refunds will not be issued because of team placement, coach assignment, teammate or friend requests, practice or game schedules, personal scheduling conflicts, missed practices or games, dissatisfaction with a player’s assigned team or division, or a decision to withdraw after teams have been formed.</w:t>
      </w:r>
    </w:p>
    <w:p>
      <w:pPr>
        <w:pStyle w:val="Heading1"/>
        <w:keepLines/>
        <w:widowControl/>
        <w:spacing/>
        <w:jc w:val="left"/>
      </w:pPr>
      <w:r>
        <w:rPr>
          <w:rFonts w:ascii="Calibri" w:hAnsi="Calibri"/>
          <w:color w:val="000000"/>
        </w:rPr>
        <w:t>League or Program Cancellation</w:t>
      </w:r>
    </w:p>
    <w:p>
      <w:pPr>
        <w:keepLines/>
        <w:widowControl/>
        <w:jc w:val="left"/>
      </w:pPr>
      <w:r>
        <w:rPr>
          <w:rFonts w:ascii="Calibri" w:hAnsi="Calibri"/>
          <w:color w:val="000000"/>
        </w:rPr>
        <w:t>If RTGSA is unable to provide a registered player with a reasonable playing opportunity because a division or program cannot be offered, RTGSA will determine an appropriate refund or credit based on the circumstances and any costs already incurred.</w:t>
      </w:r>
    </w:p>
    <w:p>
      <w:pPr>
        <w:pStyle w:val="Heading1"/>
        <w:keepLines/>
        <w:widowControl/>
        <w:spacing/>
        <w:jc w:val="left"/>
      </w:pPr>
      <w:r>
        <w:rPr>
          <w:rFonts w:ascii="Calibri" w:hAnsi="Calibri"/>
          <w:color w:val="000000"/>
        </w:rPr>
        <w:t>Exceptions</w:t>
      </w:r>
    </w:p>
    <w:p>
      <w:pPr>
        <w:keepLines/>
        <w:widowControl/>
        <w:jc w:val="left"/>
      </w:pPr>
      <w:r>
        <w:rPr>
          <w:rFonts w:ascii="Calibri" w:hAnsi="Calibri"/>
          <w:color w:val="000000"/>
        </w:rPr>
        <w:t>RTGSA will review requests for medical or extraordinary-circumstance exceptions on a case-by-case basis. Approval of an exception does not obligate RTGSA to approve the same or a similar exception in the future.</w:t>
      </w:r>
    </w:p>
    <w:p>
      <w:pPr>
        <w:spacing w:before="180"/>
        <w:keepLines/>
        <w:widowControl/>
        <w:ind/>
        <w:jc w:val="left"/>
      </w:pPr>
      <w:r>
        <w:rPr>
          <w:b/>
        </w:rPr>
        <w:t>Acknowledgment:</w:t>
      </w:r>
      <w:r>
        <w:t xml:space="preserve"> I acknowledge that I have read and understand the RTGSA Registration and Refund Policy and agree to its terms.</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000000"/>
        <w:sz w:val="18"/>
      </w:rPr>
      <w:t xml:space="preserve">RTGSA  |  Registration and Refund Policy  |  Spring 2027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52" w:lineRule="auto" w:before="0"/>
    </w:pPr>
    <w:rPr>
      <w:rFonts w:ascii="Calibri" w:hAnsi="Calibri"/>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2" w:lineRule="auto"/>
      <w:outlineLvl w:val="0"/>
    </w:pPr>
    <w:rPr>
      <w:rFonts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sz w:val="28"/>
      <w:szCs w:val="28"/>
    </w:rPr>
  </w:style>
  <w:style w:type="character" w:customStyle="1" w:styleId="Heading2Char">
    <w:name w:val="Heading 2 Char"/>
    <w:basedOn w:val="DefaultParagraphFont"/>
    <w:link w:val="Heading2"/>
    <w:uiPriority w:val="9"/>
    <w:rsid w:val="00FC693F"/>
    <w:rPr>
      <w:rFonts/>
      <w:b/>
      <w:bCs/>
      <w:color w:val="4F81BD"/>
      <w:sz w:val="26"/>
      <w:szCs w:val="26"/>
    </w:rPr>
  </w:style>
  <w:style w:type="character" w:customStyle="1" w:styleId="Heading3Char">
    <w:name w:val="Heading 3 Char"/>
    <w:basedOn w:val="DefaultParagraphFont"/>
    <w:link w:val="Heading3"/>
    <w:uiPriority w:val="9"/>
    <w:rsid w:val="00FC693F"/>
    <w:rPr>
      <w:rFonts/>
      <w:b/>
      <w:bCs/>
      <w:color w:val="4F81BD"/>
    </w:rPr>
  </w:style>
  <w:style w:type="paragraph" w:styleId="Title">
    <w:name w:val="Title"/>
    <w:basedOn w:val="Normal"/>
    <w:next w:val="Normal"/>
    <w:link w:val="TitleChar"/>
    <w:uiPriority w:val="10"/>
    <w:qFormat/>
    <w:rsid w:val="00FC693F"/>
    <w:pPr>
      <w:keepNext/>
      <w:spacing w:after="140" w:line="252" w:lineRule="auto" w:before="0"/>
      <w:contextualSpacing/>
    </w:pPr>
    <w:rPr>
      <w:rFonts w:ascii="Calibri" w:hAnsi="Calibri"/>
      <w:b/>
      <w:color w:val="000000"/>
      <w:spacing w:val="5"/>
      <w:kern w:val="28"/>
      <w:sz w:val="38"/>
      <w:szCs w:val="52"/>
    </w:rPr>
  </w:style>
  <w:style w:type="character" w:customStyle="1" w:styleId="TitleChar">
    <w:name w:val="Title Char"/>
    <w:basedOn w:val="DefaultParagraphFont"/>
    <w:link w:val="Title"/>
    <w:uiPriority w:val="10"/>
    <w:rsid w:val="00FC693F"/>
    <w:rPr>
      <w:rFonts/>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spacing w:val="15"/>
      <w:sz w:val="24"/>
      <w:szCs w:val="24"/>
    </w:rPr>
  </w:style>
  <w:style w:type="character" w:customStyle="1" w:styleId="SubtitleChar">
    <w:name w:val="Subtitle Char"/>
    <w:basedOn w:val="DefaultParagraphFont"/>
    <w:link w:val="Subtitle"/>
    <w:uiPriority w:val="11"/>
    <w:rsid w:val="00FC693F"/>
    <w:rPr>
      <w:rFonts/>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numPr>
        <w:numId w:val="1"/>
      </w:numPr>
      <w:spacing w:line="252" w:lineRule="auto" w:before="0" w:after="140"/>
      <w:contextualSpacing/>
    </w:pPr>
    <w:rPr>
      <w:rFonts w:ascii="Calibri" w:hAnsi="Calibri"/>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b/>
      <w:bCs/>
      <w:i/>
      <w:iCs/>
      <w:color w:val="4F81BD"/>
    </w:rPr>
  </w:style>
  <w:style w:type="character" w:customStyle="1" w:styleId="Heading5Char">
    <w:name w:val="Heading 5 Char"/>
    <w:basedOn w:val="DefaultParagraphFont"/>
    <w:link w:val="Heading5"/>
    <w:uiPriority w:val="9"/>
    <w:semiHidden/>
    <w:rsid w:val="00FC693F"/>
    <w:rPr>
      <w:rFonts/>
      <w:color w:val="243F60"/>
    </w:rPr>
  </w:style>
  <w:style w:type="character" w:customStyle="1" w:styleId="Heading6Char">
    <w:name w:val="Heading 6 Char"/>
    <w:basedOn w:val="DefaultParagraphFont"/>
    <w:link w:val="Heading6"/>
    <w:uiPriority w:val="9"/>
    <w:semiHidden/>
    <w:rsid w:val="00FC693F"/>
    <w:rPr>
      <w:rFonts/>
      <w:i/>
      <w:iCs/>
      <w:color w:val="243F60"/>
    </w:rPr>
  </w:style>
  <w:style w:type="character" w:customStyle="1" w:styleId="Heading7Char">
    <w:name w:val="Heading 7 Char"/>
    <w:basedOn w:val="DefaultParagraphFont"/>
    <w:link w:val="Heading7"/>
    <w:uiPriority w:val="9"/>
    <w:semiHidden/>
    <w:rsid w:val="00FC693F"/>
    <w:rPr>
      <w:rFonts/>
      <w:i/>
      <w:iCs/>
      <w:color w:val="404040"/>
    </w:rPr>
  </w:style>
  <w:style w:type="character" w:customStyle="1" w:styleId="Heading8Char">
    <w:name w:val="Heading 8 Char"/>
    <w:basedOn w:val="DefaultParagraphFont"/>
    <w:link w:val="Heading8"/>
    <w:uiPriority w:val="9"/>
    <w:semiHidden/>
    <w:rsid w:val="00FC693F"/>
    <w:rPr>
      <w:rFonts/>
      <w:color w:val="4F81BD"/>
      <w:sz w:val="20"/>
      <w:szCs w:val="20"/>
    </w:rPr>
  </w:style>
  <w:style w:type="character" w:customStyle="1" w:styleId="Heading9Char">
    <w:name w:val="Heading 9 Char"/>
    <w:basedOn w:val="DefaultParagraphFont"/>
    <w:link w:val="Heading9"/>
    <w:uiPriority w:val="9"/>
    <w:semiHidden/>
    <w:rsid w:val="00FC693F"/>
    <w:rPr>
      <w:rFonts/>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tblStylePr>
    <w:tblStylePr w:type="band1Horz">
      <w:tblPr/>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tblStylePr>
    <w:tblStylePr w:type="band1Horz">
      <w:tblPr/>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tblStylePr>
    <w:tblStylePr w:type="band1Horz">
      <w:tblPr/>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tblStylePr>
    <w:tblStylePr w:type="band1Horz">
      <w:tblPr/>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tblStylePr>
    <w:tblStylePr w:type="band1Horz">
      <w:tblPr/>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tblStylePr>
    <w:tblStylePr w:type="band1Horz">
      <w:tblPr/>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tblStylePr>
    <w:tblStylePr w:type="band1Horz">
      <w:tblPr/>
      <w:tcPr/>
    </w:tblStylePr>
  </w:style>
  <w:style w:type="table" w:styleId="MediumList2">
    <w:name w:val="Medium Lis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2">
    <w:name w:val="Medium Grid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000000" w:themeColor="text1"/>
          <w:insideV w:val="single" w:sz="6" w:space="0" w:color="000000" w:themeColor="text1"/>
        </w:tcBorders>
      </w:tcPr>
    </w:tblStylePr>
    <w:tblStylePr w:type="nwCell">
      <w:tblPr/>
      <w:tcPr/>
    </w:tblStylePr>
  </w:style>
  <w:style w:type="table" w:styleId="MediumGrid2-Accent1">
    <w:name w:val="Medium Grid 2 Accent 1"/>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F81BD" w:themeColor="accent1"/>
          <w:insideV w:val="single" w:sz="6" w:space="0" w:color="4F81BD" w:themeColor="accent1"/>
        </w:tcBorders>
      </w:tcPr>
    </w:tblStylePr>
    <w:tblStylePr w:type="nwCell">
      <w:tblPr/>
      <w:tcPr/>
    </w:tblStylePr>
  </w:style>
  <w:style w:type="table" w:styleId="MediumGrid2-Accent2">
    <w:name w:val="Medium Grid 2 Accent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C0504D" w:themeColor="accent2"/>
          <w:insideV w:val="single" w:sz="6" w:space="0" w:color="C0504D" w:themeColor="accent2"/>
        </w:tcBorders>
      </w:tcPr>
    </w:tblStylePr>
    <w:tblStylePr w:type="nwCell">
      <w:tblPr/>
      <w:tcPr/>
    </w:tblStylePr>
  </w:style>
  <w:style w:type="table" w:styleId="MediumGrid2-Accent3">
    <w:name w:val="Medium Grid 2 Accent 3"/>
    <w:basedOn w:val="TableNormal"/>
    <w:uiPriority w:val="68"/>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9BBB59" w:themeColor="accent3"/>
          <w:insideV w:val="single" w:sz="6" w:space="0" w:color="9BBB59" w:themeColor="accent3"/>
        </w:tcBorders>
      </w:tcPr>
    </w:tblStylePr>
    <w:tblStylePr w:type="nwCell">
      <w:tblPr/>
      <w:tcPr/>
    </w:tblStylePr>
  </w:style>
  <w:style w:type="table" w:styleId="MediumGrid2-Accent4">
    <w:name w:val="Medium Grid 2 Accent 4"/>
    <w:basedOn w:val="TableNormal"/>
    <w:uiPriority w:val="68"/>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8064A2" w:themeColor="accent4"/>
          <w:insideV w:val="single" w:sz="6" w:space="0" w:color="8064A2" w:themeColor="accent4"/>
        </w:tcBorders>
      </w:tcPr>
    </w:tblStylePr>
    <w:tblStylePr w:type="nwCell">
      <w:tblPr/>
      <w:tcPr/>
    </w:tblStylePr>
  </w:style>
  <w:style w:type="table" w:styleId="MediumGrid2-Accent5">
    <w:name w:val="Medium Grid 2 Accent 5"/>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BACC6" w:themeColor="accent5"/>
          <w:insideV w:val="single" w:sz="6" w:space="0" w:color="4BACC6" w:themeColor="accent5"/>
        </w:tcBorders>
      </w:tcPr>
    </w:tblStylePr>
    <w:tblStylePr w:type="nwCell">
      <w:tblPr/>
      <w:tcPr/>
    </w:tblStylePr>
  </w:style>
  <w:style w:type="table" w:styleId="MediumGrid2-Accent6">
    <w:name w:val="Medium Grid 2 Accent 6"/>
    <w:basedOn w:val="TableNormal"/>
    <w:uiPriority w:val="68"/>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F79646" w:themeColor="accent6"/>
          <w:insideV w:val="single" w:sz="6" w:space="0" w:color="F79646" w:themeColor="accent6"/>
        </w:tcBorders>
      </w:tcPr>
    </w:tblStylePr>
    <w:tblStylePr w:type="nwCell">
      <w:tblPr/>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000000" w:themeColor="text1"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2C4C74" w:themeColor="accent1"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772C2A" w:themeColor="accent2"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5E7530" w:themeColor="accent3"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4C3B62" w:themeColor="accent4"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276A7C" w:themeColor="accent5"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B65608" w:themeColor="accent6"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664E82"/>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7E9C4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F2730A"/>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348DA5"/>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paragraph" w:customStyle="1" w:styleId="RTGSASubtitle">
    <w:name w:val="RTGSA Subtitle"/>
    <w:rPr>
      <w:rFonts w:ascii="Aptos" w:hAnsi="Aptos"/>
      <w: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RTGSA Registration and Refund Policy</dc:title>
  <dc:subject>Spring 2027 registration requirements and refund terms</dc:subject>
  <dc:creator>RTGSA</dc:creator>
  <cp:keywords/>
  <dc:description>generated by python-docx</dc:description>
  <cp:lastModifiedBy>RTGSA</cp:lastModifiedBy>
  <cp:revision>1</cp:revision>
  <dcterms:created xsi:type="dcterms:W3CDTF">2013-12-23T23:15:00Z</dcterms:created>
  <dcterms:modified xsi:type="dcterms:W3CDTF">2013-12-23T23:15:00Z</dcterms:modified>
  <cp:category/>
</cp:coreProperties>
</file>