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November 15, 2025</w:t>
      </w:r>
    </w:p>
    <w:p w:rsidR="00000000" w:rsidDel="00000000" w:rsidP="00000000" w:rsidRDefault="00000000" w:rsidRPr="00000000" w14:paraId="00000002">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Monthly Board Meeting</w:t>
      </w:r>
    </w:p>
    <w:p w:rsidR="00000000" w:rsidDel="00000000" w:rsidP="00000000" w:rsidRDefault="00000000" w:rsidRPr="00000000" w14:paraId="00000003">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Annual Board Meeting</w:t>
      </w:r>
    </w:p>
    <w:p w:rsidR="00000000" w:rsidDel="00000000" w:rsidP="00000000" w:rsidRDefault="00000000" w:rsidRPr="00000000" w14:paraId="00000004">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Montessori School of Englewood</w:t>
      </w:r>
    </w:p>
    <w:p w:rsidR="00000000" w:rsidDel="00000000" w:rsidP="00000000" w:rsidRDefault="00000000" w:rsidRPr="00000000" w14:paraId="0000000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Location: </w:t>
        <w:tab/>
        <w:t xml:space="preserve">Montessori School of Englewood</w:t>
      </w:r>
    </w:p>
    <w:p w:rsidR="00000000" w:rsidDel="00000000" w:rsidP="00000000" w:rsidRDefault="00000000" w:rsidRPr="00000000" w14:paraId="00000007">
      <w:pPr>
        <w:ind w:left="720" w:firstLine="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6936 S. Hermitage</w:t>
      </w:r>
    </w:p>
    <w:p w:rsidR="00000000" w:rsidDel="00000000" w:rsidP="00000000" w:rsidRDefault="00000000" w:rsidRPr="00000000" w14:paraId="00000008">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ab/>
        <w:t xml:space="preserve">           Chicago, IL. 60601</w:t>
      </w:r>
    </w:p>
    <w:p w:rsidR="00000000" w:rsidDel="00000000" w:rsidP="00000000" w:rsidRDefault="00000000" w:rsidRPr="00000000" w14:paraId="00000009">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A">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Present:</w:t>
      </w:r>
    </w:p>
    <w:p w:rsidR="00000000" w:rsidDel="00000000" w:rsidP="00000000" w:rsidRDefault="00000000" w:rsidRPr="00000000" w14:paraId="0000000B">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C">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Board Members: Karen Anderson; Jim Sulzer; Gabrielle Sansonetti, Peter Cunningham (absent), Peter Talmers, Jaime Knight, Joe Motto, Ebonie Townsend, Lari Dierks, Kathy Bailey (absent), Lauren Furland, Jade Williams, Raven Garrett (Staff Representative)</w:t>
      </w:r>
    </w:p>
    <w:p w:rsidR="00000000" w:rsidDel="00000000" w:rsidP="00000000" w:rsidRDefault="00000000" w:rsidRPr="00000000" w14:paraId="0000000D">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Executive Director &amp; School Staff: Chris Shue, Rita Nolan; Maggie Mikuzis, Stephanie Toon, Felicia Lang, Dr. Bradford (HR)</w:t>
      </w:r>
    </w:p>
    <w:p w:rsidR="00000000" w:rsidDel="00000000" w:rsidP="00000000" w:rsidRDefault="00000000" w:rsidRPr="00000000" w14:paraId="0000000E">
      <w:pPr>
        <w:spacing w:after="240" w:lineRule="auto"/>
        <w:ind w:left="720" w:firstLine="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Meeting minutes and recording taken by: Gabrielle R. Sansonetti</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Call to Order: 9:15 a.m.</w:t>
      </w:r>
    </w:p>
    <w:p w:rsidR="00000000" w:rsidDel="00000000" w:rsidP="00000000" w:rsidRDefault="00000000" w:rsidRPr="00000000" w14:paraId="00000010">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Anderson called the meeting to order.   </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Welcome &amp; Introductions: Karen Approval of Minutes </w:t>
      </w:r>
    </w:p>
    <w:p w:rsidR="00000000" w:rsidDel="00000000" w:rsidP="00000000" w:rsidRDefault="00000000" w:rsidRPr="00000000" w14:paraId="00000012">
      <w:pPr>
        <w:ind w:firstLine="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Townsend moved to approve the Board Meeting minutes from September, 2025. Sulzer seconded. Passed unanimously. </w:t>
      </w:r>
    </w:p>
    <w:p w:rsidR="00000000" w:rsidDel="00000000" w:rsidP="00000000" w:rsidRDefault="00000000" w:rsidRPr="00000000" w14:paraId="00000013">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Spotlight: </w:t>
      </w:r>
      <w:r w:rsidDel="00000000" w:rsidR="00000000" w:rsidRPr="00000000">
        <w:rPr>
          <w:rFonts w:ascii="Palatino Linotype" w:cs="Palatino Linotype" w:eastAsia="Palatino Linotype" w:hAnsi="Palatino Linotype"/>
          <w:color w:val="000000"/>
          <w:rtl w:val="0"/>
        </w:rPr>
        <w:t xml:space="preserve">(see attached Principal Report)</w:t>
      </w:r>
      <w:r w:rsidDel="00000000" w:rsidR="00000000" w:rsidRPr="00000000">
        <w:rPr>
          <w:rtl w:val="0"/>
        </w:rPr>
      </w:r>
    </w:p>
    <w:p w:rsidR="00000000" w:rsidDel="00000000" w:rsidP="00000000" w:rsidRDefault="00000000" w:rsidRPr="00000000" w14:paraId="00000015">
      <w:pP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Felicia Lang. </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Board Meeting Training</w:t>
      </w:r>
      <w:r w:rsidDel="00000000" w:rsidR="00000000" w:rsidRPr="00000000">
        <w:rPr>
          <w:rFonts w:ascii="Palatino Linotype" w:cs="Palatino Linotype" w:eastAsia="Palatino Linotype" w:hAnsi="Palatino Linotype"/>
          <w:color w:val="000000"/>
          <w:rtl w:val="0"/>
        </w:rPr>
        <w:t xml:space="preserve"> – Karen Anderson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Reminder to board members that they need to complete two hours of training each year. </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Executive Committee Report</w:t>
      </w:r>
      <w:r w:rsidDel="00000000" w:rsidR="00000000" w:rsidRPr="00000000">
        <w:rPr>
          <w:rFonts w:ascii="Palatino Linotype" w:cs="Palatino Linotype" w:eastAsia="Palatino Linotype" w:hAnsi="Palatino Linotype"/>
          <w:color w:val="000000"/>
          <w:rtl w:val="0"/>
        </w:rPr>
        <w:t xml:space="preserve"> – Succession Committee (Ebonie Townsend) (Highlights – see attached).</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 Succession Committee met last week, on November 5, 2025. It was created by the Executive Board. Ebonie and Jaime are co-chairs. Karen, Thom Hale, Joe Motto, Jade Williams and Stephanie Toon, the school principal, are members.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 committee is exploring whether the Executive Director position is needed anymore. Now that we have Stephanie and have competent leadership at the school, the issue is whether we need an Executive Director? Thom challenged the committee to look at different structure.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 the Fine Arts, there is frequently dual heads: Artistic and Business.  Ebonie offered opening this up to discussion.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Lauren requested additional information regarding what exactly the Executive Director did.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Karen said, she is not objective on this. So, she wanted to engage an outside consultant. Karen talked to School First, a consulting firm that the committee liked best. The committee wants to make sure that all the points of contact with the Executive Director are taken care of, even if we don’t have one. They will be remapping the responsibilities.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Jaime stated that this is such a unique type of school, the combination of having to oversee the Montessori aspect of the school and also the CPS public school model; with a traditional search for a traditional ED, we run the risk of putting the Montessori aspect of the school at risk.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Karen referred to the School First proposal (attached). There are different packages. Package A provides a basic package for providing review and recommendation regarding the potential of eliminating the ED position and moving to a dual leadership model. Then Package B and Package C provide additional consulting and coaching. Karen indicated that the board could authorize a contract up to the level of B and C, and then authorize a couple of board members to flesh out a decision.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Discussion was had with respect to whether we want to proceed with the School First company and which package made the most sense. Board members discussed whether we want to go back to School First and request an additional package that may be a combined version of Package A and B.</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color w:val="000000"/>
        </w:rPr>
      </w:pPr>
      <w:bookmarkStart w:colFirst="0" w:colLast="0" w:name="_i60359m5rlct" w:id="0"/>
      <w:bookmarkEnd w:id="0"/>
      <w:r w:rsidDel="00000000" w:rsidR="00000000" w:rsidRPr="00000000">
        <w:rPr>
          <w:rFonts w:ascii="Palatino Linotype" w:cs="Palatino Linotype" w:eastAsia="Palatino Linotype" w:hAnsi="Palatino Linotype"/>
          <w:b w:val="1"/>
          <w:bCs w:val="1"/>
          <w:color w:val="000000"/>
          <w:rtl w:val="0"/>
        </w:rPr>
        <w:t xml:space="preserve">Sansonetti made a motion to Authorize the Board President and Co-Chairs of the Succession Committee to Engage School First for all services included Package A to also include the full role architecture piece of Package B.  Townsend seconded. Passed unanimously (attached School First Proposal incorporated herein). </w:t>
      </w:r>
      <w:r w:rsidDel="00000000" w:rsidR="00000000" w:rsidRPr="00000000">
        <w:rPr>
          <w:rtl w:val="0"/>
        </w:rPr>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u w:val="single"/>
          <w:rtl w:val="0"/>
        </w:rPr>
        <w:t xml:space="preserve">Human Resources</w:t>
      </w:r>
      <w:r w:rsidDel="00000000" w:rsidR="00000000" w:rsidRPr="00000000">
        <w:rPr>
          <w:rFonts w:ascii="Palatino Linotype" w:cs="Palatino Linotype" w:eastAsia="Palatino Linotype" w:hAnsi="Palatino Linotype"/>
          <w:color w:val="000000"/>
          <w:rtl w:val="0"/>
        </w:rPr>
        <w:t xml:space="preserve"> (Dr. Bradford)</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Dr. Bradford will continue to gather data and share with the board. See attached report for more detail.</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MTSS stands for Multi-tiered systems of support. </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u w:val="single"/>
          <w:rtl w:val="0"/>
        </w:rPr>
        <w:t xml:space="preserve">Executive Director’s Report</w:t>
      </w:r>
      <w:r w:rsidDel="00000000" w:rsidR="00000000" w:rsidRPr="00000000">
        <w:rPr>
          <w:rFonts w:ascii="Palatino Linotype" w:cs="Palatino Linotype" w:eastAsia="Palatino Linotype" w:hAnsi="Palatino Linotype"/>
          <w:color w:val="000000"/>
          <w:rtl w:val="0"/>
        </w:rPr>
        <w:t xml:space="preserve"> (see attached report)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Fundraising to date is $45,069; there is another $30,000 coming in. In kind – Felicia has been very fastidious and has calculated at $38,862.87.</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We have a new donor system. We have been adding and collating donors.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 leadership is creating a Charter Renewal Playbook. Next time, there will be a different board and there is a new formula. So, the Playbook will remain flexible for these reasons. A Board Member is coming to the school on December 5, 2025. Board Member Velez, he represents our district on the CPS School Board.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Enrollment is fine.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 leadership wants the Finance Committee to manage how we are managing representing our Head Start financing and the value of Head Start, whether there are other models we may be able to access.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We have submitted our SPED appeal. It’s around $280K. We will probably get ½ of it, and then the other ½ at the end of the year.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Rule="auto"/>
        <w:ind w:firstLine="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Lari Dierks is going to be the board liaison to the Charter Renewal Committee.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Rule="auto"/>
        <w:ind w:left="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Seth Kaufman presented on the ISBE Summative Designation (Illinois rating of schools on academic and non-academic metrics). There are four ratings: </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after="0" w:afterAutospacing="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Exemplary</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0" w:afterAutospacing="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Commendable</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afterAutospacing="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Targeted</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Comprehensive Support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Cutoffs for "Exemplary" and "Comprehensive Support” are based upon where the top 10% and bottom 5% of schools score on the scale, respectively. The summative designation metrics are based upon academic factors, attendance, and the school climate survey.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At this time, MSE falls in the “Targeted” level. Its overall score dropped about ten points since last school year. </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afterAutospacing="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ELA and math growth were very high last year. Both decreased in the most recent school year, along with proficiency. </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Seth noted that the proficiency measurements are changing slightly in the future, which will be discussed in detail at another time.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MSE has seen great improvements in reducing absenteeism.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Seth reviewed the scores for each metric by subgroup. </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afterAutospacing="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All students in all subgroups improved in attendance. Attendance at MSE is better than the state average and much better than the city average. Englewood’s chronic absenteeism is close to 50%; MSE is currently seeing 20%. </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afterAutospacing="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ELA proficiency improved among black students </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afterAutospacing="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ELA growth - MSE was doing better than the state and district in the last 3 years, but dropped this last school year. The same was true of many schools in Englewood. </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240" w:lineRule="auto"/>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The same was true in math - comparison schools in the area dropped in math growth, as did MSE.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There was discussion about shifts in the makeup of MSE’s subgroups. In 2021, 7.7% of the student population was Hispanic or Latino. SY 2025 that percentage increased to 21.5%.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Rita spoke to the additional costs of ELL programming. The school is looking to hire additional bilingual staff in the new year. Providing for bilingual students will be extremely important in effort to move out of “targeted” status.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MSE has hired more teachers with PELs, particularly in the upper grades and middle school.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Rita and Stephanie identified hiring an additional teacher at the 4th - 6th level to support the ELL community&gt; Would need a PEL certification.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lineRule="auto"/>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Rita praised the SEL team and noted that services to address student behavior are working. The new MTSS staff are helpful. Classroom culture is stable and there are fewer disruptions to learning. Supporting students who struggle with dysregulation is still a priority and presents a challenge for teachers pursuing rigorous academic instruction. </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Fundraising</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lineRule="auto"/>
        <w:ind w:left="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question of a development role in the succession plan was raised. The School First proposal highlighted this need as a priority. Rita highlighted Felicia’s work in tracking fundraising.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lineRule="auto"/>
        <w:ind w:left="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question of how to maintain donor relationships that Rita has cultivated was discussed. Rita noted she is working to introduce her current team to some stakeholders and is willing to assist in maintaining relationships after stepping out of her role.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lineRule="auto"/>
        <w:ind w:left="0" w:firstLine="0"/>
        <w:rPr>
          <w:rFonts w:ascii="Palatino Linotype" w:cs="Palatino Linotype" w:eastAsia="Palatino Linotype" w:hAnsi="Palatino Linotype"/>
          <w:u w:val="single"/>
        </w:rPr>
      </w:pPr>
      <w:r w:rsidDel="00000000" w:rsidR="00000000" w:rsidRPr="00000000">
        <w:rPr>
          <w:rtl w:val="0"/>
        </w:rPr>
      </w:r>
    </w:p>
    <w:p w:rsidR="00000000" w:rsidDel="00000000" w:rsidP="00000000" w:rsidRDefault="00000000" w:rsidRPr="00000000" w14:paraId="00000045">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Finance.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MSE is operating at a $70K deficit through September. Head Start is presently operating at a huge loss. Since MSE lost Preschool for All funding, the school has not been able to address the deficit; MSE has exhausted all avenues including increasing charter enrollment to offset the cost of Head Start.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It was posed whether cutting Head Start would lead to more focus on early learning in kindergarten classes. Stephanie raised a concern about siblings if that were the strategy - would families leave if Head Start wasn’t available?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Two teachers have said they will not accept a Head Start Position.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Cash deficits present a challenge - there is a $100K surplus on CPS; $76K deficit in SPED and $96K in early childhood. We need to address these losses.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Need to match 30% of head start costs with non federal funds or we will lose this program</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We are outperforming our budget to date, but this will quickly be eroded by healthcare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SPED costs are projected to be 400 or 500K </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MSE submitted its SPED appeal early. 259K of costs that we will have that we need to get from CPS. Historically, CPS paid that - it is not currently reflected.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CPS Scorecard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MSE’s lack of long-term debt gives it an edge in comparison to other schools. We need to meet 3 of 4 criteria on the CPS score card; right now, 2 of 4 are met. Cash on hand is the issue to fix; Chris feels confident MSE can meet 3 of the 4 scorecard criteria.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There was discussion of why assets deceased in FY 2025. MSE faced deficits in 2024; the charter school had to float much of the cost of Head Start and budget revisions to the Head Start grant.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240" w:lineRule="auto"/>
        <w:ind w:left="1440" w:hanging="720"/>
        <w:rPr>
          <w:rFonts w:ascii="Palatino Linotype" w:cs="Palatino Linotype" w:eastAsia="Palatino Linotype" w:hAnsi="Palatino Linotype"/>
          <w:color w:val="000000"/>
          <w:u w:val="single"/>
        </w:rPr>
      </w:pPr>
      <w:r w:rsidDel="00000000" w:rsidR="00000000" w:rsidRPr="00000000">
        <w:rPr>
          <w:rFonts w:ascii="Palatino Linotype" w:cs="Palatino Linotype" w:eastAsia="Palatino Linotype" w:hAnsi="Palatino Linotype"/>
          <w:color w:val="000000"/>
          <w:u w:val="single"/>
          <w:rtl w:val="0"/>
        </w:rPr>
        <w:t xml:space="preserve">Public Participation</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40" w:lineRule="auto"/>
        <w:ind w:left="1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members of the public were present.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40" w:lineRule="auto"/>
        <w:ind w:left="144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40" w:lineRule="auto"/>
        <w:ind w:left="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ab/>
        <w:t xml:space="preserve">Karen Anderson moved to adjourn the meeting. Ebonie Townsend seconded. The meeting adjourned at 11:50 AM. </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The Montessori Network</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6936 South Hermitage Ave., Chicago, Illinois 60636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Fonts w:ascii="Cambria" w:cs="Cambria" w:eastAsia="Cambria" w:hAnsi="Cambria"/>
        <w:color w:val="000000"/>
      </w:rPr>
      <w:drawing>
        <wp:inline distB="0" distT="0" distL="0" distR="0">
          <wp:extent cx="1143000" cy="155590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15559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pPr>
    <w:rPr/>
  </w:style>
  <w:style w:type="paragraph" w:styleId="Heading2">
    <w:name w:val="heading 2"/>
    <w:basedOn w:val="Normal"/>
    <w:next w:val="Normal"/>
    <w:pPr>
      <w:spacing w:after="240" w:lineRule="auto"/>
    </w:pPr>
    <w:rPr/>
  </w:style>
  <w:style w:type="paragraph" w:styleId="Heading3">
    <w:name w:val="heading 3"/>
    <w:basedOn w:val="Normal"/>
    <w:next w:val="Normal"/>
    <w:pPr>
      <w:spacing w:after="240" w:lineRule="auto"/>
    </w:pPr>
    <w:rPr/>
  </w:style>
  <w:style w:type="paragraph" w:styleId="Heading4">
    <w:name w:val="heading 4"/>
    <w:basedOn w:val="Normal"/>
    <w:next w:val="Normal"/>
    <w:pPr>
      <w:spacing w:after="240" w:lineRule="auto"/>
    </w:pPr>
    <w:rPr/>
  </w:style>
  <w:style w:type="paragraph" w:styleId="Heading5">
    <w:name w:val="heading 5"/>
    <w:basedOn w:val="Normal"/>
    <w:next w:val="Normal"/>
    <w:pPr>
      <w:spacing w:after="240" w:lineRule="auto"/>
    </w:pPr>
    <w:rPr/>
  </w:style>
  <w:style w:type="paragraph" w:styleId="Heading6">
    <w:name w:val="heading 6"/>
    <w:basedOn w:val="Normal"/>
    <w:next w:val="Normal"/>
    <w:pPr>
      <w:spacing w:after="240" w:lineRule="auto"/>
    </w:pPr>
    <w:rPr/>
  </w:style>
  <w:style w:type="paragraph" w:styleId="Title">
    <w:name w:val="Title"/>
    <w:basedOn w:val="Normal"/>
    <w:next w:val="Normal"/>
    <w:pPr>
      <w:keepNext w:val="1"/>
      <w:spacing w:after="240" w:lineRule="auto"/>
      <w:jc w:val="center"/>
    </w:pPr>
    <w:rPr>
      <w:b w:val="1"/>
      <w:bCs w:val="1"/>
      <w:smallCaps w:val="1"/>
      <w:sz w:val="28"/>
      <w:szCs w:val="28"/>
    </w:rPr>
  </w:style>
  <w:style w:type="paragraph" w:styleId="Subtitle">
    <w:name w:val="Subtitle"/>
    <w:basedOn w:val="Normal"/>
    <w:next w:val="Normal"/>
    <w:pPr/>
    <w:rPr>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