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6BD3" w14:textId="0D4CA595" w:rsidR="001106B2" w:rsidRPr="00E81F1F" w:rsidRDefault="002D4FFD" w:rsidP="00E81F1F">
      <w:pPr>
        <w:pStyle w:val="LTASub-heading1"/>
        <w:jc w:val="left"/>
        <w:rPr>
          <w:sz w:val="36"/>
          <w:szCs w:val="36"/>
        </w:rPr>
      </w:pPr>
      <w:r>
        <w:rPr>
          <w:sz w:val="36"/>
          <w:szCs w:val="36"/>
        </w:rPr>
        <w:t>KILMACOLM TENNIS CLUB</w:t>
      </w:r>
      <w:r w:rsidR="002C3228">
        <w:rPr>
          <w:sz w:val="36"/>
          <w:szCs w:val="36"/>
        </w:rPr>
        <w:t xml:space="preserve"> </w:t>
      </w:r>
      <w:r w:rsidR="0554878D"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(EDI) </w:t>
      </w:r>
      <w:r w:rsidR="5E1BAD8B" w:rsidRPr="000E6EF7">
        <w:rPr>
          <w:sz w:val="36"/>
          <w:szCs w:val="36"/>
        </w:rPr>
        <w:t xml:space="preserve">Policy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77C9449D" w:rsidR="22566B02" w:rsidRDefault="0A122D75" w:rsidP="22566B02">
      <w:pPr>
        <w:jc w:val="both"/>
        <w:rPr>
          <w:rFonts w:ascii="Arial" w:hAnsi="Arial" w:cs="Arial"/>
        </w:rPr>
      </w:pPr>
      <w:r w:rsidRPr="21649431">
        <w:rPr>
          <w:rFonts w:ascii="Arial" w:hAnsi="Arial" w:cs="Arial"/>
        </w:rPr>
        <w:t xml:space="preserve">This policy sets out </w:t>
      </w:r>
      <w:r w:rsidR="002D4FFD">
        <w:rPr>
          <w:rFonts w:ascii="Arial" w:hAnsi="Arial" w:cs="Arial"/>
        </w:rPr>
        <w:t>Kilmacolm Tennis Club</w:t>
      </w:r>
      <w:r w:rsidR="1D50176C" w:rsidRPr="21649431">
        <w:rPr>
          <w:rFonts w:ascii="Arial" w:hAnsi="Arial" w:cs="Arial"/>
        </w:rPr>
        <w:t xml:space="preserve">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7035555E"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002D4FFD">
        <w:rPr>
          <w:rFonts w:ascii="Arial" w:hAnsi="Arial" w:cs="Arial"/>
        </w:rPr>
        <w:t>Kilmacolm Tennis Club</w:t>
      </w:r>
      <w:r w:rsidRPr="21649431">
        <w:rPr>
          <w:rFonts w:ascii="Arial" w:hAnsi="Arial" w:cs="Arial"/>
        </w:rPr>
        <w:t xml:space="preserve"> 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4788E0AE" w:rsidR="0026314F" w:rsidRDefault="25E3F1AC" w:rsidP="0330D449">
      <w:pPr>
        <w:jc w:val="both"/>
        <w:rPr>
          <w:rFonts w:ascii="Arial" w:hAnsi="Arial" w:cs="Arial"/>
        </w:rPr>
      </w:pPr>
      <w:r w:rsidRPr="21649431">
        <w:rPr>
          <w:rFonts w:ascii="Arial" w:hAnsi="Arial" w:cs="Arial"/>
        </w:rPr>
        <w:t xml:space="preserve">This policy applies to all aspects of </w:t>
      </w:r>
      <w:r w:rsidR="002D4FFD">
        <w:rPr>
          <w:rFonts w:ascii="Arial" w:hAnsi="Arial" w:cs="Arial"/>
        </w:rPr>
        <w:t>Kilmacolm Tennis Club</w:t>
      </w:r>
      <w:r w:rsidRPr="21649431">
        <w:rPr>
          <w:rFonts w:ascii="Arial" w:hAnsi="Arial" w:cs="Arial"/>
        </w:rPr>
        <w:t xml:space="preserve"> 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tennis related activity which </w:t>
      </w:r>
      <w:r w:rsidR="002D4FFD">
        <w:rPr>
          <w:rFonts w:ascii="Arial" w:hAnsi="Arial" w:cs="Arial"/>
        </w:rPr>
        <w:t>Kilmacolm Tennis Club</w:t>
      </w:r>
      <w:r w:rsidR="48CD8BEF" w:rsidRPr="21649431">
        <w:rPr>
          <w:rFonts w:ascii="Arial" w:hAnsi="Arial" w:cs="Arial"/>
        </w:rPr>
        <w:t xml:space="preserve"> is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r w:rsidR="002F5680" w:rsidRPr="21649431">
        <w:rPr>
          <w:rFonts w:ascii="Arial" w:hAnsi="Arial" w:cs="Arial"/>
        </w:rPr>
        <w:t>ultimate goal</w:t>
      </w:r>
      <w:bookmarkEnd w:id="3"/>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3C937C74" w:rsidR="007B7F4A" w:rsidRPr="00C50754" w:rsidRDefault="002D4FFD" w:rsidP="00E81F1F">
      <w:pPr>
        <w:jc w:val="both"/>
        <w:rPr>
          <w:rFonts w:ascii="Arial" w:hAnsi="Arial" w:cs="Arial"/>
        </w:rPr>
      </w:pPr>
      <w:r>
        <w:rPr>
          <w:rFonts w:ascii="Arial" w:hAnsi="Arial" w:cs="Arial"/>
        </w:rPr>
        <w:t>Kilmacolm Tennis Club</w:t>
      </w:r>
      <w:r w:rsidR="5E1BAD8B" w:rsidRPr="21649431">
        <w:rPr>
          <w:rFonts w:ascii="Arial" w:hAnsi="Arial" w:cs="Arial"/>
        </w:rPr>
        <w:t xml:space="preserve"> 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4C0B824C" w14:textId="77777777" w:rsidR="002C3228" w:rsidRDefault="002C3228" w:rsidP="00E81F1F">
      <w:pPr>
        <w:pStyle w:val="LTASub-heading2"/>
      </w:pPr>
    </w:p>
    <w:p w14:paraId="41644144" w14:textId="77777777" w:rsidR="002C3228" w:rsidRDefault="002C3228" w:rsidP="00E81F1F">
      <w:pPr>
        <w:pStyle w:val="LTASub-heading2"/>
      </w:pPr>
    </w:p>
    <w:p w14:paraId="088278FF" w14:textId="70928E26" w:rsidR="00E81F1F" w:rsidRDefault="00AA3630" w:rsidP="00E81F1F">
      <w:pPr>
        <w:pStyle w:val="LTASub-heading2"/>
      </w:pPr>
      <w:r>
        <w:lastRenderedPageBreak/>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r w:rsidRPr="21649431">
        <w:rPr>
          <w:rFonts w:ascii="Arial" w:hAnsi="Arial" w:cs="Arial"/>
        </w:rPr>
        <w:t>diversity</w:t>
      </w:r>
      <w:bookmarkEnd w:id="6"/>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3AD0DFAB" w14:textId="642F7FC4" w:rsidR="00073F0A" w:rsidRDefault="5E1BAD8B" w:rsidP="009570CC">
      <w:pPr>
        <w:pStyle w:val="ListParagraph"/>
        <w:numPr>
          <w:ilvl w:val="0"/>
          <w:numId w:val="28"/>
        </w:numPr>
        <w:jc w:val="both"/>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2934061A" w:rsidRPr="21649431">
        <w:rPr>
          <w:rFonts w:ascii="Arial" w:hAnsi="Arial" w:cs="Arial"/>
        </w:rPr>
        <w:t xml:space="preserve">complaints </w:t>
      </w:r>
      <w:r w:rsidR="66178D7B" w:rsidRPr="21649431">
        <w:rPr>
          <w:rFonts w:ascii="Arial" w:hAnsi="Arial" w:cs="Arial"/>
        </w:rPr>
        <w:t>policy</w:t>
      </w:r>
      <w:r w:rsidR="7718B655" w:rsidRPr="21649431">
        <w:rPr>
          <w:rFonts w:ascii="Arial" w:hAnsi="Arial" w:cs="Arial"/>
        </w:rPr>
        <w:t xml:space="preserve"> </w:t>
      </w:r>
      <w:r w:rsidR="05B2F3A5" w:rsidRPr="21649431">
        <w:rPr>
          <w:rFonts w:ascii="Arial" w:hAnsi="Arial" w:cs="Arial"/>
        </w:rPr>
        <w:t xml:space="preserve">and,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0D446573"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 xml:space="preserve">y the </w:t>
      </w:r>
      <w:r w:rsidR="002C3228">
        <w:rPr>
          <w:rFonts w:ascii="Arial" w:hAnsi="Arial" w:cs="Arial"/>
        </w:rPr>
        <w:t xml:space="preserve">KTC </w:t>
      </w:r>
      <w:r w:rsidR="008C2F07" w:rsidRPr="21649431">
        <w:rPr>
          <w:rFonts w:ascii="Arial" w:hAnsi="Arial" w:cs="Arial"/>
        </w:rPr>
        <w:t>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5FEBEEED" w:rsidR="007744BF" w:rsidRDefault="3B074F42" w:rsidP="0037396B">
      <w:pPr>
        <w:jc w:val="both"/>
        <w:rPr>
          <w:rFonts w:ascii="Arial" w:hAnsi="Arial" w:cs="Arial"/>
        </w:rPr>
      </w:pPr>
      <w:r w:rsidRPr="22566B02">
        <w:rPr>
          <w:rFonts w:ascii="Arial" w:hAnsi="Arial" w:cs="Arial"/>
        </w:rPr>
        <w:t xml:space="preserve">It is unlawful for </w:t>
      </w:r>
      <w:r w:rsidR="002D4FFD">
        <w:rPr>
          <w:rFonts w:ascii="Arial" w:hAnsi="Arial" w:cs="Arial"/>
        </w:rPr>
        <w:t>Kilmacolm Tennis Club</w:t>
      </w:r>
      <w:r w:rsidR="6BF240E4" w:rsidRPr="22566B02">
        <w:rPr>
          <w:rFonts w:ascii="Arial" w:hAnsi="Arial" w:cs="Arial"/>
        </w:rPr>
        <w:t xml:space="preserve">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77891926" w14:textId="71B111D9" w:rsidR="009B7E14" w:rsidRPr="002D4FFD" w:rsidRDefault="002D4FFD" w:rsidP="22566B02">
      <w:pPr>
        <w:pStyle w:val="ListParagraph"/>
        <w:numPr>
          <w:ilvl w:val="0"/>
          <w:numId w:val="29"/>
        </w:numPr>
        <w:spacing w:after="0" w:line="240" w:lineRule="auto"/>
        <w:ind w:left="851" w:hanging="284"/>
        <w:rPr>
          <w:rFonts w:ascii="Arial" w:hAnsi="Arial" w:cs="Arial"/>
          <w:u w:val="single"/>
        </w:rPr>
      </w:pPr>
      <w:r w:rsidRPr="002D4FFD">
        <w:rPr>
          <w:rFonts w:ascii="Arial" w:hAnsi="Arial" w:cs="Arial"/>
          <w:u w:val="single"/>
        </w:rPr>
        <w:t>KTC Complaints Policy</w:t>
      </w:r>
    </w:p>
    <w:p w14:paraId="6196B805" w14:textId="77F771FD" w:rsidR="009B7E14" w:rsidRPr="002D4FFD" w:rsidRDefault="002D4FFD" w:rsidP="22566B02">
      <w:pPr>
        <w:pStyle w:val="ListParagraph"/>
        <w:numPr>
          <w:ilvl w:val="0"/>
          <w:numId w:val="29"/>
        </w:numPr>
        <w:spacing w:after="0" w:line="240" w:lineRule="auto"/>
        <w:ind w:left="851" w:hanging="284"/>
        <w:rPr>
          <w:rFonts w:ascii="Arial" w:hAnsi="Arial" w:cs="Arial"/>
        </w:rPr>
      </w:pPr>
      <w:r w:rsidRPr="002D4FFD">
        <w:rPr>
          <w:rFonts w:ascii="Arial" w:hAnsi="Arial" w:cs="Arial"/>
        </w:rPr>
        <w:t>KTC Constitution</w:t>
      </w:r>
    </w:p>
    <w:p w14:paraId="707F2207" w14:textId="77777777" w:rsidR="005D4CCC" w:rsidRDefault="00C17806" w:rsidP="00C17806">
      <w:pPr>
        <w:pStyle w:val="ListParagraph"/>
        <w:numPr>
          <w:ilvl w:val="0"/>
          <w:numId w:val="29"/>
        </w:numPr>
        <w:spacing w:after="0" w:line="240" w:lineRule="auto"/>
        <w:ind w:left="851" w:hanging="284"/>
        <w:rPr>
          <w:rFonts w:ascii="Arial" w:hAnsi="Arial" w:cs="Arial"/>
        </w:rPr>
      </w:pPr>
      <w:hyperlink r:id="rId10" w:history="1">
        <w:r w:rsidRPr="001B1CD8">
          <w:rPr>
            <w:rStyle w:val="Hyperlink"/>
            <w:rFonts w:ascii="Arial" w:hAnsi="Arial" w:cs="Arial"/>
          </w:rPr>
          <w:t>LTA Inclusion Strategy</w:t>
        </w:r>
      </w:hyperlink>
    </w:p>
    <w:p w14:paraId="34AFEE06" w14:textId="1FF4CEE2" w:rsidR="0062798D" w:rsidRDefault="0062798D" w:rsidP="00C17806">
      <w:pPr>
        <w:pStyle w:val="ListParagraph"/>
        <w:numPr>
          <w:ilvl w:val="0"/>
          <w:numId w:val="29"/>
        </w:numPr>
        <w:spacing w:after="0" w:line="240" w:lineRule="auto"/>
        <w:ind w:left="851" w:hanging="284"/>
        <w:rPr>
          <w:rFonts w:ascii="Arial" w:hAnsi="Arial" w:cs="Arial"/>
        </w:rPr>
      </w:pPr>
      <w:hyperlink r:id="rId11" w:history="1">
        <w:r w:rsidRPr="00F92924">
          <w:rPr>
            <w:rStyle w:val="Hyperlink"/>
            <w:rFonts w:ascii="Arial" w:hAnsi="Arial" w:cs="Arial"/>
          </w:rPr>
          <w:t>LTA Code of Conduct</w:t>
        </w:r>
      </w:hyperlink>
    </w:p>
    <w:p w14:paraId="27781131" w14:textId="2BFCC5DE" w:rsidR="009B7E14" w:rsidRPr="002D4FFD" w:rsidRDefault="005B1533" w:rsidP="009B7E14">
      <w:pPr>
        <w:pStyle w:val="ListParagraph"/>
        <w:numPr>
          <w:ilvl w:val="0"/>
          <w:numId w:val="29"/>
        </w:numPr>
        <w:spacing w:after="0" w:line="240" w:lineRule="auto"/>
        <w:ind w:left="851" w:hanging="284"/>
        <w:rPr>
          <w:rFonts w:ascii="Arial" w:hAnsi="Arial" w:cs="Arial"/>
        </w:rPr>
      </w:pPr>
      <w:hyperlink r:id="rId12" w:history="1">
        <w:r w:rsidRPr="005B1533">
          <w:rPr>
            <w:rStyle w:val="Hyperlink"/>
            <w:rFonts w:ascii="Arial" w:hAnsi="Arial" w:cs="Arial"/>
          </w:rPr>
          <w:t>LTA Disciplinary Code</w:t>
        </w:r>
      </w:hyperlink>
    </w:p>
    <w:p w14:paraId="394D7F24" w14:textId="77777777" w:rsidR="002D4FFD" w:rsidRDefault="002D4FFD" w:rsidP="002D4FFD">
      <w:pPr>
        <w:spacing w:after="0" w:line="240" w:lineRule="auto"/>
        <w:rPr>
          <w:rFonts w:ascii="Arial" w:hAnsi="Arial" w:cs="Arial"/>
        </w:rPr>
      </w:pPr>
    </w:p>
    <w:p w14:paraId="25A82F2C" w14:textId="77777777" w:rsidR="002D4FFD" w:rsidRDefault="002D4FFD" w:rsidP="002D4FFD">
      <w:pPr>
        <w:spacing w:after="0" w:line="240" w:lineRule="auto"/>
        <w:rPr>
          <w:rFonts w:ascii="Arial" w:hAnsi="Arial" w:cs="Arial"/>
        </w:rPr>
      </w:pPr>
    </w:p>
    <w:p w14:paraId="5D793DAF" w14:textId="77777777" w:rsidR="002D4FFD" w:rsidRDefault="002D4FFD" w:rsidP="002D4FFD">
      <w:pPr>
        <w:spacing w:after="0" w:line="240" w:lineRule="auto"/>
        <w:rPr>
          <w:rFonts w:ascii="Arial" w:hAnsi="Arial" w:cs="Arial"/>
        </w:rPr>
      </w:pPr>
      <w:r w:rsidRPr="002D4FFD">
        <w:rPr>
          <w:rFonts w:ascii="Arial" w:hAnsi="Arial" w:cs="Arial"/>
        </w:rPr>
        <w:t xml:space="preserve">This policy is reviewed every three years (or earlier if there is a change in national legislation). </w:t>
      </w:r>
    </w:p>
    <w:p w14:paraId="32990F4C" w14:textId="77777777" w:rsidR="002D4FFD" w:rsidRDefault="002D4FFD" w:rsidP="002D4FFD">
      <w:pPr>
        <w:spacing w:after="0" w:line="240" w:lineRule="auto"/>
        <w:rPr>
          <w:rFonts w:ascii="Arial" w:hAnsi="Arial" w:cs="Arial"/>
        </w:rPr>
      </w:pPr>
    </w:p>
    <w:p w14:paraId="7273223F" w14:textId="4CA4AA37" w:rsidR="002D4FFD" w:rsidRDefault="002D4FFD" w:rsidP="002D4FFD">
      <w:pPr>
        <w:spacing w:after="0" w:line="240" w:lineRule="auto"/>
        <w:rPr>
          <w:rFonts w:ascii="Arial" w:hAnsi="Arial" w:cs="Arial"/>
        </w:rPr>
      </w:pPr>
      <w:r w:rsidRPr="002D4FFD">
        <w:rPr>
          <w:rFonts w:ascii="Arial" w:hAnsi="Arial" w:cs="Arial"/>
        </w:rPr>
        <w:t xml:space="preserve">Chairperson : </w:t>
      </w:r>
      <w:r w:rsidR="0008035C">
        <w:rPr>
          <w:rFonts w:ascii="Arial" w:hAnsi="Arial" w:cs="Arial"/>
        </w:rPr>
        <w:t>Jackie Hammond                           Date 02/06/26</w:t>
      </w:r>
      <w:r w:rsidRPr="002D4FFD">
        <w:rPr>
          <w:rFonts w:ascii="Arial" w:hAnsi="Arial" w:cs="Arial"/>
        </w:rPr>
        <w:t xml:space="preserve"> </w:t>
      </w:r>
    </w:p>
    <w:p w14:paraId="01A2615A" w14:textId="77777777" w:rsidR="002D4FFD" w:rsidRDefault="002D4FFD" w:rsidP="002D4FFD">
      <w:pPr>
        <w:spacing w:after="0" w:line="240" w:lineRule="auto"/>
        <w:rPr>
          <w:rFonts w:ascii="Arial" w:hAnsi="Arial" w:cs="Arial"/>
        </w:rPr>
      </w:pPr>
    </w:p>
    <w:p w14:paraId="1C1F39BD" w14:textId="119CE2C4" w:rsidR="002D4FFD" w:rsidRPr="002D4FFD" w:rsidRDefault="002D4FFD" w:rsidP="002D4FFD">
      <w:pPr>
        <w:spacing w:after="0" w:line="240" w:lineRule="auto"/>
        <w:rPr>
          <w:rFonts w:ascii="Arial" w:hAnsi="Arial" w:cs="Arial"/>
        </w:rPr>
      </w:pPr>
      <w:r w:rsidRPr="002D4FFD">
        <w:rPr>
          <w:rFonts w:ascii="Arial" w:hAnsi="Arial" w:cs="Arial"/>
        </w:rPr>
        <w:t xml:space="preserve">Welfare Officer : </w:t>
      </w:r>
      <w:r w:rsidR="0008035C">
        <w:rPr>
          <w:rFonts w:ascii="Arial" w:hAnsi="Arial" w:cs="Arial"/>
        </w:rPr>
        <w:t xml:space="preserve">Angela Heightley                      </w:t>
      </w:r>
      <w:r w:rsidRPr="002D4FFD">
        <w:rPr>
          <w:rFonts w:ascii="Arial" w:hAnsi="Arial" w:cs="Arial"/>
        </w:rPr>
        <w:t xml:space="preserve"> Date: </w:t>
      </w:r>
      <w:r w:rsidR="0008035C">
        <w:rPr>
          <w:rFonts w:ascii="Arial" w:hAnsi="Arial" w:cs="Arial"/>
        </w:rPr>
        <w:t>02/06/26</w:t>
      </w:r>
    </w:p>
    <w:sectPr w:rsidR="002D4FFD" w:rsidRPr="002D4FFD" w:rsidSect="00D91C7E">
      <w:headerReference w:type="even" r:id="rId13"/>
      <w:headerReference w:type="default" r:id="rId14"/>
      <w:headerReference w:type="first" r:id="rId15"/>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3F98" w14:textId="77777777" w:rsidR="008534D5" w:rsidRDefault="008534D5">
      <w:r>
        <w:separator/>
      </w:r>
    </w:p>
  </w:endnote>
  <w:endnote w:type="continuationSeparator" w:id="0">
    <w:p w14:paraId="4801C9EC" w14:textId="77777777" w:rsidR="008534D5" w:rsidRDefault="008534D5">
      <w:r>
        <w:continuationSeparator/>
      </w:r>
    </w:p>
  </w:endnote>
  <w:endnote w:type="continuationNotice" w:id="1">
    <w:p w14:paraId="7665DC05" w14:textId="77777777" w:rsidR="008534D5" w:rsidRDefault="00853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810F" w14:textId="77777777" w:rsidR="008534D5" w:rsidRDefault="008534D5">
      <w:r>
        <w:separator/>
      </w:r>
    </w:p>
  </w:footnote>
  <w:footnote w:type="continuationSeparator" w:id="0">
    <w:p w14:paraId="5100D14E" w14:textId="77777777" w:rsidR="008534D5" w:rsidRDefault="008534D5">
      <w:r>
        <w:continuationSeparator/>
      </w:r>
    </w:p>
  </w:footnote>
  <w:footnote w:type="continuationNotice" w:id="1">
    <w:p w14:paraId="3ADDC5D9" w14:textId="77777777" w:rsidR="008534D5" w:rsidRDefault="00853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85A"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661D"/>
    <w:rsid w:val="00067964"/>
    <w:rsid w:val="00073F0A"/>
    <w:rsid w:val="00074B06"/>
    <w:rsid w:val="0008035C"/>
    <w:rsid w:val="00082F2E"/>
    <w:rsid w:val="000844DF"/>
    <w:rsid w:val="00087A3C"/>
    <w:rsid w:val="0009384D"/>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30161"/>
    <w:rsid w:val="00131DCE"/>
    <w:rsid w:val="00132563"/>
    <w:rsid w:val="00137E93"/>
    <w:rsid w:val="00140893"/>
    <w:rsid w:val="00144E70"/>
    <w:rsid w:val="0016012F"/>
    <w:rsid w:val="00171502"/>
    <w:rsid w:val="001732F1"/>
    <w:rsid w:val="00177CFD"/>
    <w:rsid w:val="00180078"/>
    <w:rsid w:val="001A22EF"/>
    <w:rsid w:val="001A582F"/>
    <w:rsid w:val="001A602F"/>
    <w:rsid w:val="001B129F"/>
    <w:rsid w:val="001B1CD8"/>
    <w:rsid w:val="001C50AD"/>
    <w:rsid w:val="001D4195"/>
    <w:rsid w:val="001E3EA6"/>
    <w:rsid w:val="001E412C"/>
    <w:rsid w:val="001E57FF"/>
    <w:rsid w:val="001E5C33"/>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6B86"/>
    <w:rsid w:val="00292BB2"/>
    <w:rsid w:val="00295AFB"/>
    <w:rsid w:val="002A77A9"/>
    <w:rsid w:val="002B6E25"/>
    <w:rsid w:val="002C3228"/>
    <w:rsid w:val="002C5A22"/>
    <w:rsid w:val="002D4FFD"/>
    <w:rsid w:val="002E0F87"/>
    <w:rsid w:val="002E31EB"/>
    <w:rsid w:val="002F5680"/>
    <w:rsid w:val="002F5B29"/>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2EF3"/>
    <w:rsid w:val="003F2F36"/>
    <w:rsid w:val="003F34DD"/>
    <w:rsid w:val="003F6C73"/>
    <w:rsid w:val="004148E2"/>
    <w:rsid w:val="0042155B"/>
    <w:rsid w:val="00423B30"/>
    <w:rsid w:val="00424EA9"/>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4925"/>
    <w:rsid w:val="0050007B"/>
    <w:rsid w:val="0050455B"/>
    <w:rsid w:val="0050679B"/>
    <w:rsid w:val="00507C28"/>
    <w:rsid w:val="00513752"/>
    <w:rsid w:val="00521BEE"/>
    <w:rsid w:val="00532FAB"/>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604459"/>
    <w:rsid w:val="00604E01"/>
    <w:rsid w:val="0061521F"/>
    <w:rsid w:val="00617479"/>
    <w:rsid w:val="00620401"/>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318C9"/>
    <w:rsid w:val="00735E0E"/>
    <w:rsid w:val="00737E0D"/>
    <w:rsid w:val="00744642"/>
    <w:rsid w:val="00744B6E"/>
    <w:rsid w:val="007531C9"/>
    <w:rsid w:val="007744BF"/>
    <w:rsid w:val="00775421"/>
    <w:rsid w:val="00793245"/>
    <w:rsid w:val="00796A3A"/>
    <w:rsid w:val="007A2AA8"/>
    <w:rsid w:val="007B3B93"/>
    <w:rsid w:val="007B7F4A"/>
    <w:rsid w:val="007D08A6"/>
    <w:rsid w:val="007D2AED"/>
    <w:rsid w:val="007D5180"/>
    <w:rsid w:val="007D5BB0"/>
    <w:rsid w:val="007E55C6"/>
    <w:rsid w:val="007E65B2"/>
    <w:rsid w:val="00812D4E"/>
    <w:rsid w:val="0082568B"/>
    <w:rsid w:val="008311AF"/>
    <w:rsid w:val="00842A40"/>
    <w:rsid w:val="00843E85"/>
    <w:rsid w:val="00852288"/>
    <w:rsid w:val="00852A7E"/>
    <w:rsid w:val="008534D5"/>
    <w:rsid w:val="0085479E"/>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610E"/>
    <w:rsid w:val="00986BAD"/>
    <w:rsid w:val="009A0C82"/>
    <w:rsid w:val="009A5182"/>
    <w:rsid w:val="009A7546"/>
    <w:rsid w:val="009B0A91"/>
    <w:rsid w:val="009B393F"/>
    <w:rsid w:val="009B7E14"/>
    <w:rsid w:val="009C5651"/>
    <w:rsid w:val="009E463A"/>
    <w:rsid w:val="009E4943"/>
    <w:rsid w:val="009E4C24"/>
    <w:rsid w:val="009E5664"/>
    <w:rsid w:val="009F5CDE"/>
    <w:rsid w:val="00A1151F"/>
    <w:rsid w:val="00A24CF3"/>
    <w:rsid w:val="00A35F18"/>
    <w:rsid w:val="00A4052D"/>
    <w:rsid w:val="00A4326D"/>
    <w:rsid w:val="00A43D40"/>
    <w:rsid w:val="00A834AE"/>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F8F"/>
    <w:rsid w:val="00B51C0C"/>
    <w:rsid w:val="00B62A81"/>
    <w:rsid w:val="00B75402"/>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9051E"/>
    <w:rsid w:val="00C943B7"/>
    <w:rsid w:val="00CA0DBE"/>
    <w:rsid w:val="00CA1199"/>
    <w:rsid w:val="00CA4892"/>
    <w:rsid w:val="00CB062F"/>
    <w:rsid w:val="00CB15F8"/>
    <w:rsid w:val="00CB16A5"/>
    <w:rsid w:val="00CB4F7A"/>
    <w:rsid w:val="00CB5C0F"/>
    <w:rsid w:val="00CB646C"/>
    <w:rsid w:val="00CB70B0"/>
    <w:rsid w:val="00CC5E85"/>
    <w:rsid w:val="00CE1120"/>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32461"/>
    <w:rsid w:val="00E41D07"/>
    <w:rsid w:val="00E61738"/>
    <w:rsid w:val="00E65DDC"/>
    <w:rsid w:val="00E81F1F"/>
    <w:rsid w:val="00E92598"/>
    <w:rsid w:val="00EA70A5"/>
    <w:rsid w:val="00EC62BF"/>
    <w:rsid w:val="00EC771F"/>
    <w:rsid w:val="00ED06A3"/>
    <w:rsid w:val="00ED1839"/>
    <w:rsid w:val="00ED5785"/>
    <w:rsid w:val="00EE5ECC"/>
    <w:rsid w:val="00EF789F"/>
    <w:rsid w:val="00F055ED"/>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ta.org.uk/4afe42/siteassets/about-lta/file/lta-disciplinary-code-with-effect-from-1-january-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4b8d/siteassets/about-lta/file/lta-code-of-conduct.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ta.org.uk/4905e5/siteassets/about-lta/file/lta-inclusion-strategy-2021-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8EA88-4A78-41AE-9F49-49027EEA1020}">
  <ds:schemaRefs>
    <ds:schemaRef ds:uri="http://schemas.microsoft.com/office/2006/metadata/properties"/>
    <ds:schemaRef ds:uri="http://schemas.microsoft.com/office/infopath/2007/PartnerControls"/>
    <ds:schemaRef ds:uri="29e074bb-88be-4b44-b478-d117e20beafa"/>
    <ds:schemaRef ds:uri="0ddfdf17-bbe8-4639-b90c-55b0073fd9da"/>
  </ds:schemaRefs>
</ds:datastoreItem>
</file>

<file path=customXml/itemProps2.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D033B-308A-4729-BF94-1951D3928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LTA</vt:lpstr>
    </vt:vector>
  </TitlesOfParts>
  <Company>LTA Operations Ltd</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Freda Robertson</cp:lastModifiedBy>
  <cp:revision>3</cp:revision>
  <cp:lastPrinted>1901-01-01T16:00:00Z</cp:lastPrinted>
  <dcterms:created xsi:type="dcterms:W3CDTF">2026-06-02T08:53:00Z</dcterms:created>
  <dcterms:modified xsi:type="dcterms:W3CDTF">2026-06-02T12:40:00Z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