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E31D" w14:textId="53DEE272" w:rsidR="007D0DDB" w:rsidRPr="007D0DDB" w:rsidRDefault="00044A4E" w:rsidP="004139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44A4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What do we Know About Nitrate Leaching in Wisconsin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?</w:t>
      </w:r>
    </w:p>
    <w:p w14:paraId="7A83BE40" w14:textId="77777777" w:rsidR="004139A8" w:rsidRPr="007D0DDB" w:rsidRDefault="004139A8" w:rsidP="004139A8">
      <w:pPr>
        <w:spacing w:after="0" w:line="240" w:lineRule="auto"/>
        <w:rPr>
          <w:rFonts w:ascii="Arial" w:hAnsi="Arial" w:cs="Arial"/>
        </w:rPr>
      </w:pPr>
    </w:p>
    <w:p w14:paraId="23E3EB0F" w14:textId="77777777" w:rsidR="00D0044D" w:rsidRPr="00977676" w:rsidRDefault="00D0044D" w:rsidP="00D0044D">
      <w:pPr>
        <w:spacing w:after="0" w:line="240" w:lineRule="auto"/>
        <w:rPr>
          <w:rFonts w:ascii="Tahoma" w:hAnsi="Tahoma" w:cs="Tahoma"/>
        </w:rPr>
      </w:pPr>
    </w:p>
    <w:p w14:paraId="79BD74B0" w14:textId="611EFB1D" w:rsidR="00D0044D" w:rsidRPr="00D0044D" w:rsidRDefault="00D0044D" w:rsidP="00D004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044D">
        <w:rPr>
          <w:rFonts w:ascii="Arial" w:hAnsi="Arial" w:cs="Arial"/>
          <w:sz w:val="24"/>
          <w:szCs w:val="24"/>
        </w:rPr>
        <w:t xml:space="preserve">1. </w:t>
      </w:r>
      <w:r w:rsidRPr="00D0044D">
        <w:rPr>
          <w:rFonts w:ascii="Arial" w:hAnsi="Arial" w:cs="Arial"/>
          <w:sz w:val="24"/>
          <w:szCs w:val="24"/>
        </w:rPr>
        <w:t>Which of the following variables influence nitrate leaching losses to groundwater?</w:t>
      </w:r>
    </w:p>
    <w:p w14:paraId="743286C2" w14:textId="77777777" w:rsidR="00D0044D" w:rsidRPr="00D0044D" w:rsidRDefault="00D0044D" w:rsidP="00D0044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44D">
        <w:rPr>
          <w:rFonts w:ascii="Arial" w:eastAsia="Times New Roman" w:hAnsi="Arial" w:cs="Arial"/>
          <w:sz w:val="24"/>
          <w:szCs w:val="24"/>
        </w:rPr>
        <w:t>Soil Texture</w:t>
      </w:r>
    </w:p>
    <w:p w14:paraId="5168C65F" w14:textId="77777777" w:rsidR="00D0044D" w:rsidRPr="00D0044D" w:rsidRDefault="00D0044D" w:rsidP="00D0044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44D">
        <w:rPr>
          <w:rFonts w:ascii="Arial" w:eastAsia="Times New Roman" w:hAnsi="Arial" w:cs="Arial"/>
          <w:sz w:val="24"/>
          <w:szCs w:val="24"/>
        </w:rPr>
        <w:t>Tillage</w:t>
      </w:r>
    </w:p>
    <w:p w14:paraId="3B8F1B21" w14:textId="77777777" w:rsidR="00D0044D" w:rsidRPr="00D0044D" w:rsidRDefault="00D0044D" w:rsidP="00D0044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44D">
        <w:rPr>
          <w:rFonts w:ascii="Arial" w:eastAsia="Times New Roman" w:hAnsi="Arial" w:cs="Arial"/>
          <w:sz w:val="24"/>
          <w:szCs w:val="24"/>
        </w:rPr>
        <w:t>Vegetation Type</w:t>
      </w:r>
    </w:p>
    <w:p w14:paraId="7C109B0C" w14:textId="77777777" w:rsidR="00D0044D" w:rsidRPr="00D0044D" w:rsidRDefault="00D0044D" w:rsidP="00D0044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44D">
        <w:rPr>
          <w:rFonts w:ascii="Arial" w:eastAsia="Times New Roman" w:hAnsi="Arial" w:cs="Arial"/>
          <w:sz w:val="24"/>
          <w:szCs w:val="24"/>
        </w:rPr>
        <w:t>Fertilizer Rate</w:t>
      </w:r>
    </w:p>
    <w:p w14:paraId="2419284D" w14:textId="5E25F053" w:rsidR="00D0044D" w:rsidRPr="00D0044D" w:rsidRDefault="00D0044D" w:rsidP="00D0044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44D">
        <w:rPr>
          <w:rFonts w:ascii="Arial" w:eastAsia="Times New Roman" w:hAnsi="Arial" w:cs="Arial"/>
          <w:sz w:val="24"/>
          <w:szCs w:val="24"/>
        </w:rPr>
        <w:t>All of the above</w:t>
      </w:r>
    </w:p>
    <w:p w14:paraId="742BDF12" w14:textId="77777777" w:rsidR="00D0044D" w:rsidRPr="00D0044D" w:rsidRDefault="00D0044D" w:rsidP="00D004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19B238" w14:textId="2E872E09" w:rsidR="00D0044D" w:rsidRPr="00D0044D" w:rsidRDefault="00D0044D" w:rsidP="00D004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D0044D">
        <w:rPr>
          <w:rFonts w:ascii="Arial" w:hAnsi="Arial" w:cs="Arial"/>
          <w:sz w:val="24"/>
          <w:szCs w:val="24"/>
        </w:rPr>
        <w:t xml:space="preserve"> Nitrate leaching losses of 35 lbs N/acre and 10 inches of groundwater recharge would be expected to result in a nitrate-nitrogen concentration of:</w:t>
      </w:r>
    </w:p>
    <w:p w14:paraId="3ED6F1C6" w14:textId="77777777" w:rsidR="00D0044D" w:rsidRPr="00D0044D" w:rsidRDefault="00D0044D" w:rsidP="00D0044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44D">
        <w:rPr>
          <w:rFonts w:ascii="Arial" w:eastAsia="Times New Roman" w:hAnsi="Arial" w:cs="Arial"/>
          <w:sz w:val="24"/>
          <w:szCs w:val="24"/>
        </w:rPr>
        <w:t>Less than 5 mg/L</w:t>
      </w:r>
    </w:p>
    <w:p w14:paraId="57061431" w14:textId="77777777" w:rsidR="00D0044D" w:rsidRPr="00D0044D" w:rsidRDefault="00D0044D" w:rsidP="00D0044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44D">
        <w:rPr>
          <w:rFonts w:ascii="Arial" w:eastAsia="Times New Roman" w:hAnsi="Arial" w:cs="Arial"/>
          <w:sz w:val="24"/>
          <w:szCs w:val="24"/>
        </w:rPr>
        <w:t>5-10 mg/L</w:t>
      </w:r>
    </w:p>
    <w:p w14:paraId="1F417EC9" w14:textId="3373C876" w:rsidR="00D0044D" w:rsidRPr="00D0044D" w:rsidRDefault="00D0044D" w:rsidP="00D0044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44D">
        <w:rPr>
          <w:rFonts w:ascii="Arial" w:eastAsia="Times New Roman" w:hAnsi="Arial" w:cs="Arial"/>
          <w:sz w:val="24"/>
          <w:szCs w:val="24"/>
        </w:rPr>
        <w:t>10-15 mg/L</w:t>
      </w:r>
    </w:p>
    <w:p w14:paraId="2EA99679" w14:textId="77777777" w:rsidR="00D0044D" w:rsidRPr="00D0044D" w:rsidRDefault="00D0044D" w:rsidP="00D0044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44D">
        <w:rPr>
          <w:rFonts w:ascii="Arial" w:eastAsia="Times New Roman" w:hAnsi="Arial" w:cs="Arial"/>
          <w:sz w:val="24"/>
          <w:szCs w:val="24"/>
        </w:rPr>
        <w:t>15-30 mg/L</w:t>
      </w:r>
    </w:p>
    <w:p w14:paraId="3AFE754D" w14:textId="77777777" w:rsidR="00D0044D" w:rsidRPr="00D0044D" w:rsidRDefault="00D0044D" w:rsidP="00D004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E6E08A" w14:textId="052B85BB" w:rsidR="00D0044D" w:rsidRPr="00D0044D" w:rsidRDefault="00D0044D" w:rsidP="00D004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D0044D">
        <w:rPr>
          <w:rFonts w:ascii="Arial" w:hAnsi="Arial" w:cs="Arial"/>
          <w:sz w:val="24"/>
          <w:szCs w:val="24"/>
        </w:rPr>
        <w:t xml:space="preserve"> The percentage of private wells statewide that are greater than 10 mg/L and considered unsuitable for drinking is between 8-10%.  What is the percentage of wells greater than 10 mg/L in areas where more than 75% of the land is cultivated?</w:t>
      </w:r>
    </w:p>
    <w:p w14:paraId="0A40F89C" w14:textId="77777777" w:rsidR="00D0044D" w:rsidRPr="00D0044D" w:rsidRDefault="00D0044D" w:rsidP="00D0044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44D">
        <w:rPr>
          <w:rFonts w:ascii="Arial" w:eastAsia="Times New Roman" w:hAnsi="Arial" w:cs="Arial"/>
          <w:sz w:val="24"/>
          <w:szCs w:val="24"/>
        </w:rPr>
        <w:t>~5%</w:t>
      </w:r>
    </w:p>
    <w:p w14:paraId="798E306A" w14:textId="77777777" w:rsidR="00D0044D" w:rsidRPr="00D0044D" w:rsidRDefault="00D0044D" w:rsidP="00D0044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44D">
        <w:rPr>
          <w:rFonts w:ascii="Arial" w:eastAsia="Times New Roman" w:hAnsi="Arial" w:cs="Arial"/>
          <w:sz w:val="24"/>
          <w:szCs w:val="24"/>
        </w:rPr>
        <w:t>~10%</w:t>
      </w:r>
    </w:p>
    <w:p w14:paraId="5EE4581A" w14:textId="77777777" w:rsidR="00D0044D" w:rsidRPr="00D0044D" w:rsidRDefault="00D0044D" w:rsidP="00D0044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44D">
        <w:rPr>
          <w:rFonts w:ascii="Arial" w:eastAsia="Times New Roman" w:hAnsi="Arial" w:cs="Arial"/>
          <w:sz w:val="24"/>
          <w:szCs w:val="24"/>
        </w:rPr>
        <w:t>~15%</w:t>
      </w:r>
    </w:p>
    <w:p w14:paraId="7914D88D" w14:textId="15C5E404" w:rsidR="00D0044D" w:rsidRPr="00D0044D" w:rsidRDefault="00D0044D" w:rsidP="00D0044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44D">
        <w:rPr>
          <w:rFonts w:ascii="Arial" w:eastAsia="Times New Roman" w:hAnsi="Arial" w:cs="Arial"/>
          <w:sz w:val="24"/>
          <w:szCs w:val="24"/>
        </w:rPr>
        <w:t>~20%</w:t>
      </w:r>
    </w:p>
    <w:p w14:paraId="2FC483C6" w14:textId="77777777" w:rsidR="00D0044D" w:rsidRPr="00D0044D" w:rsidRDefault="00D0044D" w:rsidP="00D0044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44D">
        <w:rPr>
          <w:rFonts w:ascii="Arial" w:eastAsia="Times New Roman" w:hAnsi="Arial" w:cs="Arial"/>
          <w:sz w:val="24"/>
          <w:szCs w:val="24"/>
        </w:rPr>
        <w:t>~50%</w:t>
      </w:r>
    </w:p>
    <w:p w14:paraId="210001CC" w14:textId="77777777" w:rsidR="00D0044D" w:rsidRPr="00D0044D" w:rsidRDefault="00D0044D" w:rsidP="00D004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51B1CC" w14:textId="1180458B" w:rsidR="00D0044D" w:rsidRDefault="00D0044D" w:rsidP="00D004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044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D0044D">
        <w:rPr>
          <w:rFonts w:ascii="Arial" w:hAnsi="Arial" w:cs="Arial"/>
          <w:sz w:val="24"/>
          <w:szCs w:val="24"/>
        </w:rPr>
        <w:t xml:space="preserve"> True or False? Nitrate exported to surface waters contributes to Gulf Hypoxia in the Gulf of Mexico as well as eutrophication/harmful algal blooms in Wisconsin’s lakes and rivers.</w:t>
      </w:r>
    </w:p>
    <w:p w14:paraId="5F7B32D0" w14:textId="384BDF69" w:rsidR="00D0044D" w:rsidRDefault="00D0044D" w:rsidP="00D0044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True</w:t>
      </w:r>
    </w:p>
    <w:p w14:paraId="49A8BB93" w14:textId="717167B5" w:rsidR="00D0044D" w:rsidRPr="00D0044D" w:rsidRDefault="00D0044D" w:rsidP="00D0044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False</w:t>
      </w:r>
    </w:p>
    <w:p w14:paraId="111EABEA" w14:textId="77777777" w:rsidR="00D0044D" w:rsidRPr="00D0044D" w:rsidRDefault="00D0044D" w:rsidP="00D004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B5EA73" w14:textId="46970C5E" w:rsidR="00D0044D" w:rsidRPr="00D0044D" w:rsidRDefault="00D0044D" w:rsidP="00D004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044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Pr="00D0044D">
        <w:rPr>
          <w:rFonts w:ascii="Arial" w:hAnsi="Arial" w:cs="Arial"/>
          <w:sz w:val="24"/>
          <w:szCs w:val="24"/>
        </w:rPr>
        <w:t xml:space="preserve">Which of the following best describes the Nitrate Trends in Public Water System data?  </w:t>
      </w:r>
    </w:p>
    <w:p w14:paraId="3DF031B1" w14:textId="36D012D2" w:rsidR="00D0044D" w:rsidRPr="00D0044D" w:rsidRDefault="00D0044D" w:rsidP="00D0044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44D">
        <w:rPr>
          <w:rFonts w:ascii="Arial" w:eastAsia="Times New Roman" w:hAnsi="Arial" w:cs="Arial"/>
          <w:sz w:val="24"/>
          <w:szCs w:val="24"/>
        </w:rPr>
        <w:t>Most wells do not show trends, but of those that do, more wells are increasing than decreasing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2AF2D11" w14:textId="77777777" w:rsidR="00D0044D" w:rsidRPr="00D0044D" w:rsidRDefault="00D0044D" w:rsidP="00D0044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44D">
        <w:rPr>
          <w:rFonts w:ascii="Arial" w:eastAsia="Times New Roman" w:hAnsi="Arial" w:cs="Arial"/>
          <w:sz w:val="24"/>
          <w:szCs w:val="24"/>
        </w:rPr>
        <w:t>Most wells do not show trends, but of those that do, more wells are decreasing than decreasing.</w:t>
      </w:r>
    </w:p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266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268"/>
    <w:multiLevelType w:val="hybridMultilevel"/>
    <w:tmpl w:val="5AEEE1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B7E5D"/>
    <w:multiLevelType w:val="hybridMultilevel"/>
    <w:tmpl w:val="13AAAD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22E26"/>
    <w:multiLevelType w:val="hybridMultilevel"/>
    <w:tmpl w:val="F30A61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3BA0"/>
    <w:multiLevelType w:val="hybridMultilevel"/>
    <w:tmpl w:val="D60059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B7972"/>
    <w:multiLevelType w:val="hybridMultilevel"/>
    <w:tmpl w:val="4B8E01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1"/>
  </w:num>
  <w:num w:numId="2" w16cid:durableId="2436492">
    <w:abstractNumId w:val="3"/>
  </w:num>
  <w:num w:numId="3" w16cid:durableId="11496293">
    <w:abstractNumId w:val="6"/>
  </w:num>
  <w:num w:numId="4" w16cid:durableId="713968542">
    <w:abstractNumId w:val="4"/>
  </w:num>
  <w:num w:numId="5" w16cid:durableId="526716382">
    <w:abstractNumId w:val="0"/>
  </w:num>
  <w:num w:numId="6" w16cid:durableId="272785726">
    <w:abstractNumId w:val="5"/>
  </w:num>
  <w:num w:numId="7" w16cid:durableId="1992831492">
    <w:abstractNumId w:val="0"/>
  </w:num>
  <w:num w:numId="8" w16cid:durableId="620183516">
    <w:abstractNumId w:val="5"/>
  </w:num>
  <w:num w:numId="9" w16cid:durableId="894241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44A4E"/>
    <w:rsid w:val="00080255"/>
    <w:rsid w:val="00266472"/>
    <w:rsid w:val="004139A8"/>
    <w:rsid w:val="007D0DDB"/>
    <w:rsid w:val="00AC22D8"/>
    <w:rsid w:val="00BB1F80"/>
    <w:rsid w:val="00D0044D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2024-01-25T16:49:00Z</dcterms:created>
  <dcterms:modified xsi:type="dcterms:W3CDTF">2024-01-25T16:51:00Z</dcterms:modified>
</cp:coreProperties>
</file>