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1782C" w14:textId="2FF57DA7" w:rsidR="0079651B" w:rsidRDefault="00266102" w:rsidP="0079651B">
      <w:pPr>
        <w:pStyle w:val="Heading1"/>
        <w:spacing w:after="200"/>
        <w:jc w:val="center"/>
        <w:rPr>
          <w:sz w:val="36"/>
          <w:szCs w:val="36"/>
        </w:rPr>
      </w:pPr>
      <w:r w:rsidRPr="00266102">
        <w:rPr>
          <w:sz w:val="36"/>
          <w:szCs w:val="36"/>
        </w:rPr>
        <w:drawing>
          <wp:inline distT="0" distB="0" distL="0" distR="0" wp14:anchorId="77E24E13" wp14:editId="0BE04A56">
            <wp:extent cx="1781568" cy="463511"/>
            <wp:effectExtent l="0" t="0" r="0" b="0"/>
            <wp:docPr id="18" name="Picture 17">
              <a:extLst xmlns:a="http://schemas.openxmlformats.org/drawingml/2006/main">
                <a:ext uri="{FF2B5EF4-FFF2-40B4-BE49-F238E27FC236}">
                  <a16:creationId xmlns:a16="http://schemas.microsoft.com/office/drawing/2014/main" id="{5D2F533A-EBF0-BCFC-2B87-AEADB2A9DF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5D2F533A-EBF0-BCFC-2B87-AEADB2A9DF72}"/>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1568" cy="463511"/>
                    </a:xfrm>
                    <a:prstGeom prst="rect">
                      <a:avLst/>
                    </a:prstGeom>
                  </pic:spPr>
                </pic:pic>
              </a:graphicData>
            </a:graphic>
          </wp:inline>
        </w:drawing>
      </w:r>
    </w:p>
    <w:p w14:paraId="2A889F08" w14:textId="62AB9A4E" w:rsidR="002D4D09" w:rsidRDefault="009913ED" w:rsidP="0079651B">
      <w:pPr>
        <w:pStyle w:val="Heading1"/>
        <w:spacing w:after="200"/>
        <w:jc w:val="center"/>
      </w:pPr>
      <w:r>
        <w:rPr>
          <w:sz w:val="36"/>
          <w:szCs w:val="36"/>
        </w:rPr>
        <w:t>Veteran</w:t>
      </w:r>
      <w:r w:rsidR="00155747">
        <w:rPr>
          <w:sz w:val="36"/>
          <w:szCs w:val="36"/>
        </w:rPr>
        <w:t>s</w:t>
      </w:r>
      <w:r>
        <w:rPr>
          <w:sz w:val="36"/>
          <w:szCs w:val="36"/>
        </w:rPr>
        <w:t xml:space="preserve"> Employment</w:t>
      </w:r>
      <w:r w:rsidR="00667C4C">
        <w:rPr>
          <w:sz w:val="36"/>
          <w:szCs w:val="36"/>
        </w:rPr>
        <w:t xml:space="preserve"> Policy </w:t>
      </w:r>
    </w:p>
    <w:p w14:paraId="7D1C22B6" w14:textId="77777777" w:rsidR="009913ED" w:rsidRPr="009913ED" w:rsidRDefault="009913ED" w:rsidP="009913ED">
      <w:pPr>
        <w:spacing w:before="400"/>
        <w:rPr>
          <w:b/>
          <w:bCs/>
        </w:rPr>
      </w:pPr>
      <w:r w:rsidRPr="009913ED">
        <w:rPr>
          <w:b/>
          <w:bCs/>
        </w:rPr>
        <w:t>1. Purpose</w:t>
      </w:r>
    </w:p>
    <w:p w14:paraId="3B6C89B1" w14:textId="32BD5AAD" w:rsidR="009913ED" w:rsidRPr="009913ED" w:rsidRDefault="00266102" w:rsidP="009913ED">
      <w:pPr>
        <w:spacing w:before="400"/>
      </w:pPr>
      <w:r>
        <w:t>Rae &amp; Sara</w:t>
      </w:r>
      <w:r w:rsidR="009913ED" w:rsidRPr="009913ED">
        <w:t xml:space="preserve"> is a proud veteran</w:t>
      </w:r>
      <w:r w:rsidR="009913ED" w:rsidRPr="009913ED">
        <w:noBreakHyphen/>
        <w:t>owned business committed to supporting the meaningful employment, development, and long</w:t>
      </w:r>
      <w:r w:rsidR="009913ED" w:rsidRPr="009913ED">
        <w:noBreakHyphen/>
        <w:t>term career success of Australian Defence Force (ADF) veterans. This policy outlines our principles, commitments, and practical actions to ensure veterans are welcomed, valued, and empowered within our organisation. It also affirms our belief that the skills, discipline, leadership, and lived experience of veterans significantly strengthen our capability and the services we deliver to clients across government and industry.</w:t>
      </w:r>
    </w:p>
    <w:p w14:paraId="4DEB2297" w14:textId="77777777" w:rsidR="009913ED" w:rsidRPr="009913ED" w:rsidRDefault="009913ED" w:rsidP="009913ED">
      <w:pPr>
        <w:spacing w:before="400"/>
        <w:rPr>
          <w:b/>
          <w:bCs/>
        </w:rPr>
      </w:pPr>
      <w:r w:rsidRPr="009913ED">
        <w:rPr>
          <w:b/>
          <w:bCs/>
        </w:rPr>
        <w:t>2. Scope</w:t>
      </w:r>
    </w:p>
    <w:p w14:paraId="509AEC25" w14:textId="7F68E481" w:rsidR="009913ED" w:rsidRPr="009913ED" w:rsidRDefault="009913ED" w:rsidP="009913ED">
      <w:pPr>
        <w:spacing w:before="400"/>
      </w:pPr>
      <w:r w:rsidRPr="009913ED">
        <w:t xml:space="preserve">This policy applies to all </w:t>
      </w:r>
      <w:r w:rsidR="00266102">
        <w:t>Rae &amp; Sara</w:t>
      </w:r>
      <w:r w:rsidRPr="009913ED">
        <w:t xml:space="preserve"> employees, contractors, directors, and recruitment partners. It covers recruitment, onboarding, professional development, workplace adjustments, wellbeing support, and ongoing employment practices that relate to veterans and their families.</w:t>
      </w:r>
    </w:p>
    <w:p w14:paraId="626239DB" w14:textId="77777777" w:rsidR="009913ED" w:rsidRPr="009913ED" w:rsidRDefault="009913ED" w:rsidP="009913ED">
      <w:pPr>
        <w:spacing w:before="400"/>
        <w:rPr>
          <w:b/>
          <w:bCs/>
        </w:rPr>
      </w:pPr>
      <w:r w:rsidRPr="009913ED">
        <w:rPr>
          <w:b/>
          <w:bCs/>
        </w:rPr>
        <w:t>3. Policy Statement</w:t>
      </w:r>
    </w:p>
    <w:p w14:paraId="6D526E68" w14:textId="5A03ECF0" w:rsidR="009913ED" w:rsidRPr="009913ED" w:rsidRDefault="00266102" w:rsidP="009913ED">
      <w:pPr>
        <w:spacing w:before="400"/>
      </w:pPr>
      <w:r>
        <w:t>Rae &amp; Sara</w:t>
      </w:r>
      <w:r w:rsidR="009913ED" w:rsidRPr="009913ED">
        <w:t xml:space="preserve"> recognises the unique contribution veterans make to the Australian community and the workforce. As a veteran</w:t>
      </w:r>
      <w:r w:rsidR="009913ED" w:rsidRPr="009913ED">
        <w:noBreakHyphen/>
        <w:t>owned business, we are committed to creating an environment where veterans can thrive professionally, transition confidently into civilian roles, and continue to apply their expertise in ways that benefit our clients and the broader community.</w:t>
      </w:r>
    </w:p>
    <w:p w14:paraId="0E62828C" w14:textId="77777777" w:rsidR="009913ED" w:rsidRPr="009913ED" w:rsidRDefault="009913ED" w:rsidP="009913ED">
      <w:pPr>
        <w:spacing w:before="400"/>
      </w:pPr>
      <w:r w:rsidRPr="009913ED">
        <w:t>We actively seek to employ veterans, support their career pathways, and remove barriers to employment. We also acknowledge the importance of supporting partners and families of veterans, who often share the impacts of service and transition.</w:t>
      </w:r>
    </w:p>
    <w:p w14:paraId="7436E496" w14:textId="77777777" w:rsidR="009913ED" w:rsidRPr="009913ED" w:rsidRDefault="009913ED" w:rsidP="009913ED">
      <w:pPr>
        <w:spacing w:before="400"/>
        <w:rPr>
          <w:b/>
          <w:bCs/>
        </w:rPr>
      </w:pPr>
      <w:r w:rsidRPr="009913ED">
        <w:rPr>
          <w:b/>
          <w:bCs/>
        </w:rPr>
        <w:t>4. Definitions</w:t>
      </w:r>
    </w:p>
    <w:p w14:paraId="78EC4361" w14:textId="77777777" w:rsidR="009913ED" w:rsidRPr="009913ED" w:rsidRDefault="009913ED" w:rsidP="009913ED">
      <w:pPr>
        <w:numPr>
          <w:ilvl w:val="0"/>
          <w:numId w:val="3"/>
        </w:numPr>
        <w:spacing w:before="400"/>
      </w:pPr>
      <w:r w:rsidRPr="009913ED">
        <w:rPr>
          <w:b/>
          <w:bCs/>
        </w:rPr>
        <w:t>Veteran:</w:t>
      </w:r>
      <w:r w:rsidRPr="009913ED">
        <w:t xml:space="preserve"> Any person who has served in the Australian Defence Force (full</w:t>
      </w:r>
      <w:r w:rsidRPr="009913ED">
        <w:noBreakHyphen/>
        <w:t>time or reserve), regardless of length of service or operational deployment.</w:t>
      </w:r>
    </w:p>
    <w:p w14:paraId="1AE1C7DE" w14:textId="77777777" w:rsidR="009913ED" w:rsidRPr="009913ED" w:rsidRDefault="009913ED" w:rsidP="009913ED">
      <w:pPr>
        <w:numPr>
          <w:ilvl w:val="0"/>
          <w:numId w:val="3"/>
        </w:numPr>
        <w:spacing w:before="400"/>
      </w:pPr>
      <w:r w:rsidRPr="009913ED">
        <w:rPr>
          <w:b/>
          <w:bCs/>
        </w:rPr>
        <w:t>Transitioning Member:</w:t>
      </w:r>
      <w:r w:rsidRPr="009913ED">
        <w:t xml:space="preserve"> ADF personnel preparing to leave service within the next 24 months.</w:t>
      </w:r>
    </w:p>
    <w:p w14:paraId="62BD4B37" w14:textId="77777777" w:rsidR="009913ED" w:rsidRPr="009913ED" w:rsidRDefault="009913ED" w:rsidP="009913ED">
      <w:pPr>
        <w:numPr>
          <w:ilvl w:val="0"/>
          <w:numId w:val="3"/>
        </w:numPr>
        <w:spacing w:before="400"/>
      </w:pPr>
      <w:r w:rsidRPr="009913ED">
        <w:rPr>
          <w:b/>
          <w:bCs/>
        </w:rPr>
        <w:lastRenderedPageBreak/>
        <w:t>Veteran</w:t>
      </w:r>
      <w:r w:rsidRPr="009913ED">
        <w:rPr>
          <w:b/>
          <w:bCs/>
        </w:rPr>
        <w:noBreakHyphen/>
        <w:t>supportive practices:</w:t>
      </w:r>
      <w:r w:rsidRPr="009913ED">
        <w:t xml:space="preserve"> Employment practices that recognise the unique needs, strengths, and experiences of veterans and their families.</w:t>
      </w:r>
    </w:p>
    <w:p w14:paraId="12FB6655" w14:textId="77777777" w:rsidR="009913ED" w:rsidRPr="009913ED" w:rsidRDefault="009913ED" w:rsidP="009913ED">
      <w:pPr>
        <w:spacing w:before="400"/>
        <w:rPr>
          <w:b/>
          <w:bCs/>
        </w:rPr>
      </w:pPr>
      <w:r w:rsidRPr="009913ED">
        <w:rPr>
          <w:b/>
          <w:bCs/>
        </w:rPr>
        <w:t>5. Guiding Principles</w:t>
      </w:r>
    </w:p>
    <w:p w14:paraId="51918D31" w14:textId="609BDD2A" w:rsidR="009913ED" w:rsidRPr="009913ED" w:rsidRDefault="00266102" w:rsidP="009913ED">
      <w:pPr>
        <w:spacing w:before="400"/>
      </w:pPr>
      <w:r>
        <w:t>Rae &amp; Sara</w:t>
      </w:r>
      <w:r w:rsidR="009913ED" w:rsidRPr="009913ED">
        <w:t>’s approach to veteran employment is guided by the following principles:</w:t>
      </w:r>
    </w:p>
    <w:p w14:paraId="57E2611F" w14:textId="77777777" w:rsidR="009913ED" w:rsidRPr="009913ED" w:rsidRDefault="009913ED" w:rsidP="00C63FCA">
      <w:pPr>
        <w:spacing w:before="400"/>
        <w:ind w:left="720"/>
        <w:rPr>
          <w:b/>
          <w:bCs/>
        </w:rPr>
      </w:pPr>
      <w:r w:rsidRPr="009913ED">
        <w:rPr>
          <w:b/>
          <w:bCs/>
        </w:rPr>
        <w:t>5.1 Respect and Recognition</w:t>
      </w:r>
    </w:p>
    <w:p w14:paraId="22B4D7AD" w14:textId="77777777" w:rsidR="009913ED" w:rsidRPr="009913ED" w:rsidRDefault="009913ED" w:rsidP="00C63FCA">
      <w:pPr>
        <w:spacing w:before="400"/>
        <w:ind w:left="720"/>
      </w:pPr>
      <w:r w:rsidRPr="009913ED">
        <w:t>We honour the service and sacrifice of veterans and acknowledge the diverse experiences they bring. We recognise that military service develops highly transferable skills, including leadership, teamwork, resilience, problem</w:t>
      </w:r>
      <w:r w:rsidRPr="009913ED">
        <w:noBreakHyphen/>
        <w:t>solving, and ethical decision</w:t>
      </w:r>
      <w:r w:rsidRPr="009913ED">
        <w:noBreakHyphen/>
        <w:t>making.</w:t>
      </w:r>
    </w:p>
    <w:p w14:paraId="0EC2D387" w14:textId="77777777" w:rsidR="009913ED" w:rsidRPr="009913ED" w:rsidRDefault="009913ED" w:rsidP="00C63FCA">
      <w:pPr>
        <w:spacing w:before="400"/>
        <w:ind w:left="720"/>
        <w:rPr>
          <w:b/>
          <w:bCs/>
        </w:rPr>
      </w:pPr>
      <w:r w:rsidRPr="009913ED">
        <w:rPr>
          <w:b/>
          <w:bCs/>
        </w:rPr>
        <w:t>5.2 Inclusion and Equity</w:t>
      </w:r>
    </w:p>
    <w:p w14:paraId="6339A70D" w14:textId="77777777" w:rsidR="009913ED" w:rsidRPr="009913ED" w:rsidRDefault="009913ED" w:rsidP="00C63FCA">
      <w:pPr>
        <w:spacing w:before="400"/>
        <w:ind w:left="720"/>
      </w:pPr>
      <w:r w:rsidRPr="009913ED">
        <w:t>Veterans will be treated equitably and without discrimination. We ensure our recruitment and employment practices are inclusive, accessible, and free from bias.</w:t>
      </w:r>
    </w:p>
    <w:p w14:paraId="35CA82BA" w14:textId="77777777" w:rsidR="009913ED" w:rsidRPr="009913ED" w:rsidRDefault="009913ED" w:rsidP="00C63FCA">
      <w:pPr>
        <w:spacing w:before="400"/>
        <w:ind w:left="720"/>
        <w:rPr>
          <w:b/>
          <w:bCs/>
        </w:rPr>
      </w:pPr>
      <w:r w:rsidRPr="009913ED">
        <w:rPr>
          <w:b/>
          <w:bCs/>
        </w:rPr>
        <w:t>5.3 Flexibility and Support</w:t>
      </w:r>
    </w:p>
    <w:p w14:paraId="3505EDB7" w14:textId="77777777" w:rsidR="009913ED" w:rsidRPr="009913ED" w:rsidRDefault="009913ED" w:rsidP="00C63FCA">
      <w:pPr>
        <w:spacing w:before="400"/>
        <w:ind w:left="720"/>
      </w:pPr>
      <w:r w:rsidRPr="009913ED">
        <w:t>We provide flexible work arrangements and tailored support to assist veterans in transitioning to civilian employment, managing health needs, or balancing family responsibilities.</w:t>
      </w:r>
    </w:p>
    <w:p w14:paraId="3F7D5EA5" w14:textId="77777777" w:rsidR="009913ED" w:rsidRPr="009913ED" w:rsidRDefault="009913ED" w:rsidP="00C63FCA">
      <w:pPr>
        <w:spacing w:before="400"/>
        <w:ind w:left="720"/>
        <w:rPr>
          <w:b/>
          <w:bCs/>
        </w:rPr>
      </w:pPr>
      <w:r w:rsidRPr="009913ED">
        <w:rPr>
          <w:b/>
          <w:bCs/>
        </w:rPr>
        <w:t>5.4 Skills Translation</w:t>
      </w:r>
    </w:p>
    <w:p w14:paraId="47A4BFA0" w14:textId="77777777" w:rsidR="009913ED" w:rsidRPr="009913ED" w:rsidRDefault="009913ED" w:rsidP="00C63FCA">
      <w:pPr>
        <w:spacing w:before="400"/>
        <w:ind w:left="720"/>
      </w:pPr>
      <w:r w:rsidRPr="009913ED">
        <w:t>We commit to recognising military qualifications, training, and experience when assessing suitability for roles. We work with veterans to translate their service experience into civilian</w:t>
      </w:r>
      <w:r w:rsidRPr="009913ED">
        <w:noBreakHyphen/>
        <w:t>aligned competencies.</w:t>
      </w:r>
    </w:p>
    <w:p w14:paraId="1658353E" w14:textId="77777777" w:rsidR="009913ED" w:rsidRPr="009913ED" w:rsidRDefault="009913ED" w:rsidP="00C63FCA">
      <w:pPr>
        <w:spacing w:before="400"/>
        <w:ind w:left="720"/>
        <w:rPr>
          <w:b/>
          <w:bCs/>
        </w:rPr>
      </w:pPr>
      <w:r w:rsidRPr="009913ED">
        <w:rPr>
          <w:b/>
          <w:bCs/>
        </w:rPr>
        <w:t>5.5 Continuous Improvement</w:t>
      </w:r>
    </w:p>
    <w:p w14:paraId="50FF5660" w14:textId="77777777" w:rsidR="009913ED" w:rsidRDefault="009913ED" w:rsidP="00C63FCA">
      <w:pPr>
        <w:spacing w:before="400"/>
        <w:ind w:left="720"/>
      </w:pPr>
      <w:r w:rsidRPr="009913ED">
        <w:t>We regularly review our veteran employment practices to ensure they remain contemporary, effective, and aligned with national best practice.</w:t>
      </w:r>
    </w:p>
    <w:p w14:paraId="54070A96" w14:textId="77777777" w:rsidR="00C63FCA" w:rsidRPr="009913ED" w:rsidRDefault="00C63FCA" w:rsidP="00C63FCA">
      <w:pPr>
        <w:spacing w:before="400"/>
        <w:ind w:left="720"/>
      </w:pPr>
    </w:p>
    <w:p w14:paraId="6EA18C52" w14:textId="77777777" w:rsidR="009913ED" w:rsidRPr="009913ED" w:rsidRDefault="009913ED" w:rsidP="009913ED">
      <w:pPr>
        <w:spacing w:before="400"/>
        <w:rPr>
          <w:b/>
          <w:bCs/>
        </w:rPr>
      </w:pPr>
      <w:r w:rsidRPr="009913ED">
        <w:rPr>
          <w:b/>
          <w:bCs/>
        </w:rPr>
        <w:t>6. Recruitment Commitments</w:t>
      </w:r>
    </w:p>
    <w:p w14:paraId="469111C3" w14:textId="17A50B6A" w:rsidR="009913ED" w:rsidRPr="009913ED" w:rsidRDefault="00266102" w:rsidP="009913ED">
      <w:pPr>
        <w:spacing w:before="400"/>
      </w:pPr>
      <w:r>
        <w:lastRenderedPageBreak/>
        <w:t>Rae &amp; Sara</w:t>
      </w:r>
      <w:r w:rsidR="009913ED" w:rsidRPr="009913ED">
        <w:t xml:space="preserve"> actively encourages veterans to apply for roles across the organisation. To support this, we commit to:</w:t>
      </w:r>
    </w:p>
    <w:p w14:paraId="466335F0" w14:textId="77777777" w:rsidR="009913ED" w:rsidRPr="009913ED" w:rsidRDefault="009913ED" w:rsidP="00C63FCA">
      <w:pPr>
        <w:spacing w:before="400"/>
        <w:ind w:left="360"/>
        <w:rPr>
          <w:b/>
          <w:bCs/>
        </w:rPr>
      </w:pPr>
      <w:r w:rsidRPr="009913ED">
        <w:rPr>
          <w:b/>
          <w:bCs/>
        </w:rPr>
        <w:t>6.1 Targeted Outreach</w:t>
      </w:r>
    </w:p>
    <w:p w14:paraId="671918B1" w14:textId="77777777" w:rsidR="009913ED" w:rsidRPr="009913ED" w:rsidRDefault="009913ED" w:rsidP="00C63FCA">
      <w:pPr>
        <w:numPr>
          <w:ilvl w:val="0"/>
          <w:numId w:val="4"/>
        </w:numPr>
        <w:tabs>
          <w:tab w:val="clear" w:pos="720"/>
          <w:tab w:val="num" w:pos="1080"/>
        </w:tabs>
        <w:spacing w:before="400"/>
        <w:ind w:left="1080"/>
      </w:pPr>
      <w:r w:rsidRPr="009913ED">
        <w:t>Advertising roles through veteran</w:t>
      </w:r>
      <w:r w:rsidRPr="009913ED">
        <w:noBreakHyphen/>
        <w:t>focused networks, transition programs, and ex</w:t>
      </w:r>
      <w:r w:rsidRPr="009913ED">
        <w:noBreakHyphen/>
        <w:t>service organisations.</w:t>
      </w:r>
    </w:p>
    <w:p w14:paraId="48D53CB4" w14:textId="77777777" w:rsidR="009913ED" w:rsidRPr="009913ED" w:rsidRDefault="009913ED" w:rsidP="00C63FCA">
      <w:pPr>
        <w:numPr>
          <w:ilvl w:val="0"/>
          <w:numId w:val="4"/>
        </w:numPr>
        <w:tabs>
          <w:tab w:val="clear" w:pos="720"/>
          <w:tab w:val="num" w:pos="1080"/>
        </w:tabs>
        <w:spacing w:before="400"/>
        <w:ind w:left="1080"/>
      </w:pPr>
      <w:r w:rsidRPr="009913ED">
        <w:t>Engaging with ADF transition centres and veteran employment initiatives.</w:t>
      </w:r>
    </w:p>
    <w:p w14:paraId="3786AFA4" w14:textId="77777777" w:rsidR="009913ED" w:rsidRPr="009913ED" w:rsidRDefault="009913ED" w:rsidP="00C63FCA">
      <w:pPr>
        <w:spacing w:before="400"/>
        <w:ind w:left="360"/>
        <w:rPr>
          <w:b/>
          <w:bCs/>
        </w:rPr>
      </w:pPr>
      <w:r w:rsidRPr="009913ED">
        <w:rPr>
          <w:b/>
          <w:bCs/>
        </w:rPr>
        <w:t>6.2 Fair and Inclusive Recruitment</w:t>
      </w:r>
    </w:p>
    <w:p w14:paraId="450CEFC8" w14:textId="77777777" w:rsidR="009913ED" w:rsidRPr="009913ED" w:rsidRDefault="009913ED" w:rsidP="00C63FCA">
      <w:pPr>
        <w:numPr>
          <w:ilvl w:val="0"/>
          <w:numId w:val="5"/>
        </w:numPr>
        <w:tabs>
          <w:tab w:val="clear" w:pos="720"/>
          <w:tab w:val="num" w:pos="1080"/>
        </w:tabs>
        <w:spacing w:before="400"/>
        <w:ind w:left="1080"/>
      </w:pPr>
      <w:r w:rsidRPr="009913ED">
        <w:t>Ensuring job descriptions focus on core capabilities rather than narrow industry experience.</w:t>
      </w:r>
    </w:p>
    <w:p w14:paraId="1C57B741" w14:textId="77777777" w:rsidR="009913ED" w:rsidRPr="009913ED" w:rsidRDefault="009913ED" w:rsidP="00C63FCA">
      <w:pPr>
        <w:numPr>
          <w:ilvl w:val="0"/>
          <w:numId w:val="5"/>
        </w:numPr>
        <w:tabs>
          <w:tab w:val="clear" w:pos="720"/>
          <w:tab w:val="num" w:pos="1080"/>
        </w:tabs>
        <w:spacing w:before="400"/>
        <w:ind w:left="1080"/>
      </w:pPr>
      <w:r w:rsidRPr="009913ED">
        <w:t>Training hiring managers to recognise and value military skills.</w:t>
      </w:r>
    </w:p>
    <w:p w14:paraId="6C1E0C28" w14:textId="77777777" w:rsidR="009913ED" w:rsidRPr="009913ED" w:rsidRDefault="009913ED" w:rsidP="00C63FCA">
      <w:pPr>
        <w:numPr>
          <w:ilvl w:val="0"/>
          <w:numId w:val="5"/>
        </w:numPr>
        <w:tabs>
          <w:tab w:val="clear" w:pos="720"/>
          <w:tab w:val="num" w:pos="1080"/>
        </w:tabs>
        <w:spacing w:before="400"/>
        <w:ind w:left="1080"/>
      </w:pPr>
      <w:r w:rsidRPr="009913ED">
        <w:t>Guaranteeing that all veteran applicants who meet the essential criteria are offered an interview.</w:t>
      </w:r>
    </w:p>
    <w:p w14:paraId="57C548AD" w14:textId="77777777" w:rsidR="009913ED" w:rsidRPr="009913ED" w:rsidRDefault="009913ED" w:rsidP="00C63FCA">
      <w:pPr>
        <w:spacing w:before="400"/>
        <w:ind w:left="360"/>
        <w:rPr>
          <w:b/>
          <w:bCs/>
        </w:rPr>
      </w:pPr>
      <w:r w:rsidRPr="009913ED">
        <w:rPr>
          <w:b/>
          <w:bCs/>
        </w:rPr>
        <w:t>6.3 Recognition of Military Experience</w:t>
      </w:r>
    </w:p>
    <w:p w14:paraId="4681EF49" w14:textId="77777777" w:rsidR="009913ED" w:rsidRPr="009913ED" w:rsidRDefault="009913ED" w:rsidP="00C63FCA">
      <w:pPr>
        <w:numPr>
          <w:ilvl w:val="0"/>
          <w:numId w:val="6"/>
        </w:numPr>
        <w:tabs>
          <w:tab w:val="clear" w:pos="720"/>
          <w:tab w:val="num" w:pos="1080"/>
        </w:tabs>
        <w:spacing w:before="400"/>
        <w:ind w:left="1080"/>
      </w:pPr>
      <w:r w:rsidRPr="009913ED">
        <w:t>Assessing military qualifications and experience as equivalent to relevant civilian competencies where appropriate.</w:t>
      </w:r>
    </w:p>
    <w:p w14:paraId="01C5A694" w14:textId="77777777" w:rsidR="009913ED" w:rsidRPr="009913ED" w:rsidRDefault="009913ED" w:rsidP="00C63FCA">
      <w:pPr>
        <w:numPr>
          <w:ilvl w:val="0"/>
          <w:numId w:val="6"/>
        </w:numPr>
        <w:tabs>
          <w:tab w:val="clear" w:pos="720"/>
          <w:tab w:val="num" w:pos="1080"/>
        </w:tabs>
        <w:spacing w:before="400"/>
        <w:ind w:left="1080"/>
      </w:pPr>
      <w:r w:rsidRPr="009913ED">
        <w:t>Considering leadership, operational planning, risk management, and training experience gained in service as directly transferable to our work.</w:t>
      </w:r>
    </w:p>
    <w:p w14:paraId="16943431" w14:textId="77777777" w:rsidR="009913ED" w:rsidRPr="009913ED" w:rsidRDefault="009913ED" w:rsidP="009913ED">
      <w:pPr>
        <w:spacing w:before="400"/>
        <w:rPr>
          <w:b/>
          <w:bCs/>
        </w:rPr>
      </w:pPr>
      <w:r w:rsidRPr="009913ED">
        <w:rPr>
          <w:b/>
          <w:bCs/>
        </w:rPr>
        <w:t>7. Onboarding and Workplace Support</w:t>
      </w:r>
    </w:p>
    <w:p w14:paraId="4EA2E6A9" w14:textId="5092A2CA" w:rsidR="009913ED" w:rsidRPr="009913ED" w:rsidRDefault="00266102" w:rsidP="009913ED">
      <w:pPr>
        <w:spacing w:before="400"/>
      </w:pPr>
      <w:r>
        <w:t>Rae &amp; Sara</w:t>
      </w:r>
      <w:r w:rsidR="009913ED" w:rsidRPr="009913ED">
        <w:t xml:space="preserve"> provides a supportive onboarding process tailored to the needs of veterans. This includes:</w:t>
      </w:r>
    </w:p>
    <w:p w14:paraId="5A77CE57" w14:textId="77777777" w:rsidR="009913ED" w:rsidRPr="009913ED" w:rsidRDefault="009913ED" w:rsidP="00D94353">
      <w:pPr>
        <w:spacing w:before="400"/>
        <w:ind w:left="360"/>
        <w:rPr>
          <w:b/>
          <w:bCs/>
        </w:rPr>
      </w:pPr>
      <w:r w:rsidRPr="009913ED">
        <w:rPr>
          <w:b/>
          <w:bCs/>
        </w:rPr>
        <w:t>7.1 Structured Induction</w:t>
      </w:r>
    </w:p>
    <w:p w14:paraId="4133BD7E" w14:textId="77777777" w:rsidR="009913ED" w:rsidRPr="009913ED" w:rsidRDefault="009913ED" w:rsidP="00D94353">
      <w:pPr>
        <w:numPr>
          <w:ilvl w:val="0"/>
          <w:numId w:val="7"/>
        </w:numPr>
        <w:tabs>
          <w:tab w:val="clear" w:pos="720"/>
          <w:tab w:val="num" w:pos="1080"/>
        </w:tabs>
        <w:spacing w:before="400"/>
        <w:ind w:left="1080"/>
      </w:pPr>
      <w:r w:rsidRPr="009913ED">
        <w:t>A clear introduction to organisational culture, expectations, and civilian workplace norms.</w:t>
      </w:r>
    </w:p>
    <w:p w14:paraId="78F95519" w14:textId="77777777" w:rsidR="009913ED" w:rsidRPr="009913ED" w:rsidRDefault="009913ED" w:rsidP="00D94353">
      <w:pPr>
        <w:numPr>
          <w:ilvl w:val="0"/>
          <w:numId w:val="7"/>
        </w:numPr>
        <w:tabs>
          <w:tab w:val="clear" w:pos="720"/>
          <w:tab w:val="num" w:pos="1080"/>
        </w:tabs>
        <w:spacing w:before="400"/>
        <w:ind w:left="1080"/>
      </w:pPr>
      <w:r w:rsidRPr="009913ED">
        <w:t>Access to a designated onboarding mentor, ideally another veteran where possible.</w:t>
      </w:r>
    </w:p>
    <w:p w14:paraId="1042A77B" w14:textId="77777777" w:rsidR="009913ED" w:rsidRPr="009913ED" w:rsidRDefault="009913ED" w:rsidP="00D94353">
      <w:pPr>
        <w:spacing w:before="400"/>
        <w:ind w:left="360"/>
        <w:rPr>
          <w:b/>
          <w:bCs/>
        </w:rPr>
      </w:pPr>
      <w:r w:rsidRPr="009913ED">
        <w:rPr>
          <w:b/>
          <w:bCs/>
        </w:rPr>
        <w:lastRenderedPageBreak/>
        <w:t>7.2 Workplace Adjustments</w:t>
      </w:r>
    </w:p>
    <w:p w14:paraId="681FD5D9" w14:textId="77777777" w:rsidR="009913ED" w:rsidRPr="009913ED" w:rsidRDefault="009913ED" w:rsidP="00D94353">
      <w:pPr>
        <w:numPr>
          <w:ilvl w:val="0"/>
          <w:numId w:val="8"/>
        </w:numPr>
        <w:tabs>
          <w:tab w:val="clear" w:pos="720"/>
          <w:tab w:val="num" w:pos="1080"/>
        </w:tabs>
        <w:spacing w:before="400"/>
        <w:ind w:left="1080"/>
      </w:pPr>
      <w:r w:rsidRPr="009913ED">
        <w:t>Flexible work arrangements to support medical appointments, rehabilitation, or family needs.</w:t>
      </w:r>
    </w:p>
    <w:p w14:paraId="285BE091" w14:textId="77777777" w:rsidR="009913ED" w:rsidRPr="009913ED" w:rsidRDefault="009913ED" w:rsidP="00D94353">
      <w:pPr>
        <w:numPr>
          <w:ilvl w:val="0"/>
          <w:numId w:val="8"/>
        </w:numPr>
        <w:tabs>
          <w:tab w:val="clear" w:pos="720"/>
          <w:tab w:val="num" w:pos="1080"/>
        </w:tabs>
        <w:spacing w:before="400"/>
        <w:ind w:left="1080"/>
      </w:pPr>
      <w:r w:rsidRPr="009913ED">
        <w:t>Adjustments to workload or responsibilities where required.</w:t>
      </w:r>
    </w:p>
    <w:p w14:paraId="67C2E261" w14:textId="77777777" w:rsidR="009913ED" w:rsidRPr="009913ED" w:rsidRDefault="009913ED" w:rsidP="00D94353">
      <w:pPr>
        <w:spacing w:before="400"/>
        <w:ind w:left="360"/>
        <w:rPr>
          <w:b/>
          <w:bCs/>
        </w:rPr>
      </w:pPr>
      <w:r w:rsidRPr="009913ED">
        <w:rPr>
          <w:b/>
          <w:bCs/>
        </w:rPr>
        <w:t>7.3 Mental Health and Wellbeing Support</w:t>
      </w:r>
    </w:p>
    <w:p w14:paraId="3A739CEC" w14:textId="77777777" w:rsidR="009913ED" w:rsidRPr="009913ED" w:rsidRDefault="009913ED" w:rsidP="00D94353">
      <w:pPr>
        <w:numPr>
          <w:ilvl w:val="0"/>
          <w:numId w:val="9"/>
        </w:numPr>
        <w:tabs>
          <w:tab w:val="clear" w:pos="720"/>
          <w:tab w:val="num" w:pos="1080"/>
        </w:tabs>
        <w:spacing w:before="400"/>
        <w:ind w:left="1080"/>
      </w:pPr>
      <w:r w:rsidRPr="009913ED">
        <w:t>Encouraging open conversations about wellbeing and transition challenges.</w:t>
      </w:r>
    </w:p>
    <w:p w14:paraId="0057E2FA" w14:textId="77777777" w:rsidR="009913ED" w:rsidRPr="009913ED" w:rsidRDefault="009913ED" w:rsidP="00D94353">
      <w:pPr>
        <w:numPr>
          <w:ilvl w:val="0"/>
          <w:numId w:val="9"/>
        </w:numPr>
        <w:tabs>
          <w:tab w:val="clear" w:pos="720"/>
          <w:tab w:val="num" w:pos="1080"/>
        </w:tabs>
        <w:spacing w:before="400"/>
        <w:ind w:left="1080"/>
      </w:pPr>
      <w:r w:rsidRPr="009913ED">
        <w:t>Providing access to employee assistance programs and external veteran</w:t>
      </w:r>
      <w:r w:rsidRPr="009913ED">
        <w:noBreakHyphen/>
        <w:t>specific support services.</w:t>
      </w:r>
    </w:p>
    <w:p w14:paraId="46AB511C" w14:textId="77777777" w:rsidR="009913ED" w:rsidRPr="009913ED" w:rsidRDefault="009913ED" w:rsidP="00D94353">
      <w:pPr>
        <w:numPr>
          <w:ilvl w:val="0"/>
          <w:numId w:val="9"/>
        </w:numPr>
        <w:tabs>
          <w:tab w:val="clear" w:pos="720"/>
          <w:tab w:val="num" w:pos="1080"/>
        </w:tabs>
        <w:spacing w:before="400"/>
        <w:ind w:left="1080"/>
      </w:pPr>
      <w:r w:rsidRPr="009913ED">
        <w:t>Promoting a culture that prioritises psychological safety and mutual respect.</w:t>
      </w:r>
    </w:p>
    <w:p w14:paraId="3553732B" w14:textId="77777777" w:rsidR="009913ED" w:rsidRPr="009913ED" w:rsidRDefault="009913ED" w:rsidP="009913ED">
      <w:pPr>
        <w:spacing w:before="400"/>
        <w:rPr>
          <w:b/>
          <w:bCs/>
        </w:rPr>
      </w:pPr>
      <w:r w:rsidRPr="009913ED">
        <w:rPr>
          <w:b/>
          <w:bCs/>
        </w:rPr>
        <w:t>8. Professional Development and Career Progression</w:t>
      </w:r>
    </w:p>
    <w:p w14:paraId="5D76123C" w14:textId="42B8D584" w:rsidR="009913ED" w:rsidRPr="009913ED" w:rsidRDefault="00266102" w:rsidP="009913ED">
      <w:pPr>
        <w:spacing w:before="400"/>
      </w:pPr>
      <w:r>
        <w:t>Rae &amp; Sara</w:t>
      </w:r>
      <w:r w:rsidR="009913ED" w:rsidRPr="009913ED">
        <w:t xml:space="preserve"> is committed to supporting veterans in building long</w:t>
      </w:r>
      <w:r w:rsidR="009913ED" w:rsidRPr="009913ED">
        <w:noBreakHyphen/>
        <w:t>term, fulfilling careers. We will:</w:t>
      </w:r>
    </w:p>
    <w:p w14:paraId="15A66AEE" w14:textId="77777777" w:rsidR="009913ED" w:rsidRPr="009913ED" w:rsidRDefault="009913ED" w:rsidP="00D94353">
      <w:pPr>
        <w:spacing w:before="400"/>
        <w:ind w:left="360"/>
        <w:rPr>
          <w:b/>
          <w:bCs/>
        </w:rPr>
      </w:pPr>
      <w:r w:rsidRPr="009913ED">
        <w:rPr>
          <w:b/>
          <w:bCs/>
        </w:rPr>
        <w:t>8.1 Tailored Development Plans</w:t>
      </w:r>
    </w:p>
    <w:p w14:paraId="2C60EBDA" w14:textId="77777777" w:rsidR="009913ED" w:rsidRPr="009913ED" w:rsidRDefault="009913ED" w:rsidP="00D94353">
      <w:pPr>
        <w:numPr>
          <w:ilvl w:val="0"/>
          <w:numId w:val="10"/>
        </w:numPr>
        <w:tabs>
          <w:tab w:val="clear" w:pos="720"/>
          <w:tab w:val="num" w:pos="1080"/>
        </w:tabs>
        <w:spacing w:before="400"/>
        <w:ind w:left="1080"/>
      </w:pPr>
      <w:r w:rsidRPr="009913ED">
        <w:t>Work with veterans to identify career goals and development pathways.</w:t>
      </w:r>
    </w:p>
    <w:p w14:paraId="1D44D74D" w14:textId="77777777" w:rsidR="009913ED" w:rsidRPr="009913ED" w:rsidRDefault="009913ED" w:rsidP="00D94353">
      <w:pPr>
        <w:numPr>
          <w:ilvl w:val="0"/>
          <w:numId w:val="10"/>
        </w:numPr>
        <w:tabs>
          <w:tab w:val="clear" w:pos="720"/>
          <w:tab w:val="num" w:pos="1080"/>
        </w:tabs>
        <w:spacing w:before="400"/>
        <w:ind w:left="1080"/>
      </w:pPr>
      <w:r w:rsidRPr="009913ED">
        <w:t>Provide training to bridge any gaps between military and civilian skillsets.</w:t>
      </w:r>
    </w:p>
    <w:p w14:paraId="750454ED" w14:textId="77777777" w:rsidR="009913ED" w:rsidRPr="009913ED" w:rsidRDefault="009913ED" w:rsidP="00D94353">
      <w:pPr>
        <w:spacing w:before="400"/>
        <w:ind w:left="360"/>
        <w:rPr>
          <w:b/>
          <w:bCs/>
        </w:rPr>
      </w:pPr>
      <w:r w:rsidRPr="009913ED">
        <w:rPr>
          <w:b/>
          <w:bCs/>
        </w:rPr>
        <w:t>8.2 Leadership Opportunities</w:t>
      </w:r>
    </w:p>
    <w:p w14:paraId="423AEB87" w14:textId="77777777" w:rsidR="009913ED" w:rsidRPr="009913ED" w:rsidRDefault="009913ED" w:rsidP="00D94353">
      <w:pPr>
        <w:numPr>
          <w:ilvl w:val="0"/>
          <w:numId w:val="11"/>
        </w:numPr>
        <w:tabs>
          <w:tab w:val="clear" w:pos="720"/>
          <w:tab w:val="num" w:pos="1080"/>
        </w:tabs>
        <w:spacing w:before="400"/>
        <w:ind w:left="1080"/>
      </w:pPr>
      <w:r w:rsidRPr="009913ED">
        <w:t>Encourage veterans to pursue leadership roles, recognising their experience in leading teams, managing risk, and operating in complex environments.</w:t>
      </w:r>
    </w:p>
    <w:p w14:paraId="696A7561" w14:textId="77777777" w:rsidR="009913ED" w:rsidRPr="009913ED" w:rsidRDefault="009913ED" w:rsidP="00D94353">
      <w:pPr>
        <w:spacing w:before="400"/>
        <w:ind w:left="360"/>
        <w:rPr>
          <w:b/>
          <w:bCs/>
        </w:rPr>
      </w:pPr>
      <w:r w:rsidRPr="009913ED">
        <w:rPr>
          <w:b/>
          <w:bCs/>
        </w:rPr>
        <w:t>8.3 Ongoing Learning</w:t>
      </w:r>
    </w:p>
    <w:p w14:paraId="3425F430" w14:textId="77777777" w:rsidR="009913ED" w:rsidRPr="009913ED" w:rsidRDefault="009913ED" w:rsidP="00D94353">
      <w:pPr>
        <w:numPr>
          <w:ilvl w:val="0"/>
          <w:numId w:val="12"/>
        </w:numPr>
        <w:tabs>
          <w:tab w:val="clear" w:pos="720"/>
          <w:tab w:val="num" w:pos="1080"/>
        </w:tabs>
        <w:spacing w:before="400"/>
        <w:ind w:left="1080"/>
      </w:pPr>
      <w:r w:rsidRPr="009913ED">
        <w:t>Provide access to professional development, industry certifications, and continuous learning opportunities relevant to procurement, probity, governance, and consulting.</w:t>
      </w:r>
    </w:p>
    <w:p w14:paraId="2F15A922" w14:textId="77777777" w:rsidR="009913ED" w:rsidRPr="009913ED" w:rsidRDefault="009913ED" w:rsidP="009913ED">
      <w:pPr>
        <w:spacing w:before="400"/>
        <w:rPr>
          <w:b/>
          <w:bCs/>
        </w:rPr>
      </w:pPr>
      <w:r w:rsidRPr="009913ED">
        <w:rPr>
          <w:b/>
          <w:bCs/>
        </w:rPr>
        <w:t>9. Support for Veteran Families</w:t>
      </w:r>
    </w:p>
    <w:p w14:paraId="6D065311" w14:textId="13BE9B3A" w:rsidR="009913ED" w:rsidRPr="009913ED" w:rsidRDefault="00266102" w:rsidP="009913ED">
      <w:pPr>
        <w:spacing w:before="400"/>
      </w:pPr>
      <w:r>
        <w:lastRenderedPageBreak/>
        <w:t>Rae &amp; Sara</w:t>
      </w:r>
      <w:r w:rsidR="009913ED" w:rsidRPr="009913ED">
        <w:t xml:space="preserve"> acknowledges the vital role families play in supporting veterans. We commit to:</w:t>
      </w:r>
    </w:p>
    <w:p w14:paraId="26ADAB96" w14:textId="77777777" w:rsidR="009913ED" w:rsidRPr="009913ED" w:rsidRDefault="009913ED" w:rsidP="009913ED">
      <w:pPr>
        <w:numPr>
          <w:ilvl w:val="0"/>
          <w:numId w:val="13"/>
        </w:numPr>
        <w:spacing w:before="400"/>
      </w:pPr>
      <w:r w:rsidRPr="009913ED">
        <w:t>Considering family needs when offering flexible work arrangements.</w:t>
      </w:r>
    </w:p>
    <w:p w14:paraId="6F9C6F6F" w14:textId="77777777" w:rsidR="009913ED" w:rsidRPr="009913ED" w:rsidRDefault="009913ED" w:rsidP="009913ED">
      <w:pPr>
        <w:numPr>
          <w:ilvl w:val="0"/>
          <w:numId w:val="13"/>
        </w:numPr>
        <w:spacing w:before="400"/>
      </w:pPr>
      <w:r w:rsidRPr="009913ED">
        <w:t>Supporting partners of veterans who may also face employment challenges due to service</w:t>
      </w:r>
      <w:r w:rsidRPr="009913ED">
        <w:noBreakHyphen/>
        <w:t>related mobility or caring responsibilities.</w:t>
      </w:r>
    </w:p>
    <w:p w14:paraId="5F6BDC46" w14:textId="77777777" w:rsidR="009913ED" w:rsidRPr="009913ED" w:rsidRDefault="009913ED" w:rsidP="009913ED">
      <w:pPr>
        <w:numPr>
          <w:ilvl w:val="0"/>
          <w:numId w:val="13"/>
        </w:numPr>
        <w:spacing w:before="400"/>
      </w:pPr>
      <w:r w:rsidRPr="009913ED">
        <w:t>Promoting family</w:t>
      </w:r>
      <w:r w:rsidRPr="009913ED">
        <w:noBreakHyphen/>
        <w:t>friendly workplace practices.</w:t>
      </w:r>
    </w:p>
    <w:p w14:paraId="47EE5973" w14:textId="77777777" w:rsidR="009913ED" w:rsidRPr="009913ED" w:rsidRDefault="009913ED" w:rsidP="009913ED">
      <w:pPr>
        <w:spacing w:before="400"/>
        <w:rPr>
          <w:b/>
          <w:bCs/>
        </w:rPr>
      </w:pPr>
      <w:r w:rsidRPr="009913ED">
        <w:rPr>
          <w:b/>
          <w:bCs/>
        </w:rPr>
        <w:t>10. Partnerships and Community Engagement</w:t>
      </w:r>
    </w:p>
    <w:p w14:paraId="1DEA5976" w14:textId="001D2DC6" w:rsidR="009913ED" w:rsidRPr="009913ED" w:rsidRDefault="00266102" w:rsidP="009913ED">
      <w:pPr>
        <w:spacing w:before="400"/>
      </w:pPr>
      <w:r>
        <w:t>Rae &amp; Sara</w:t>
      </w:r>
      <w:r w:rsidR="009913ED" w:rsidRPr="009913ED">
        <w:t xml:space="preserve"> will continue to strengthen relationships with organisations that support veteran employment, including:</w:t>
      </w:r>
    </w:p>
    <w:p w14:paraId="4276BEB0" w14:textId="77777777" w:rsidR="009913ED" w:rsidRPr="009913ED" w:rsidRDefault="009913ED" w:rsidP="009913ED">
      <w:pPr>
        <w:numPr>
          <w:ilvl w:val="0"/>
          <w:numId w:val="14"/>
        </w:numPr>
        <w:spacing w:before="400"/>
      </w:pPr>
      <w:r w:rsidRPr="009913ED">
        <w:t>Ex</w:t>
      </w:r>
      <w:r w:rsidRPr="009913ED">
        <w:noBreakHyphen/>
        <w:t>service organisations</w:t>
      </w:r>
    </w:p>
    <w:p w14:paraId="607E2FF7" w14:textId="77777777" w:rsidR="009913ED" w:rsidRPr="009913ED" w:rsidRDefault="009913ED" w:rsidP="009913ED">
      <w:pPr>
        <w:numPr>
          <w:ilvl w:val="0"/>
          <w:numId w:val="14"/>
        </w:numPr>
        <w:spacing w:before="400"/>
      </w:pPr>
      <w:r w:rsidRPr="009913ED">
        <w:t>ADF transition programs</w:t>
      </w:r>
    </w:p>
    <w:p w14:paraId="64030240" w14:textId="77777777" w:rsidR="009913ED" w:rsidRPr="009913ED" w:rsidRDefault="009913ED" w:rsidP="009913ED">
      <w:pPr>
        <w:numPr>
          <w:ilvl w:val="0"/>
          <w:numId w:val="14"/>
        </w:numPr>
        <w:spacing w:before="400"/>
      </w:pPr>
      <w:r w:rsidRPr="009913ED">
        <w:t>Veteran</w:t>
      </w:r>
      <w:r w:rsidRPr="009913ED">
        <w:noBreakHyphen/>
        <w:t>focused recruitment agencies</w:t>
      </w:r>
    </w:p>
    <w:p w14:paraId="627A4430" w14:textId="6B92A72A" w:rsidR="009913ED" w:rsidRPr="009913ED" w:rsidRDefault="009913ED" w:rsidP="009913ED">
      <w:pPr>
        <w:numPr>
          <w:ilvl w:val="0"/>
          <w:numId w:val="14"/>
        </w:numPr>
        <w:spacing w:before="400"/>
      </w:pPr>
      <w:r w:rsidRPr="009913ED">
        <w:t>Community and wellbeing organisations</w:t>
      </w:r>
      <w:r w:rsidR="00C07EE4">
        <w:t xml:space="preserve"> including Veterans </w:t>
      </w:r>
      <w:r w:rsidR="006024C3">
        <w:t>SA and its Mentoring Program (</w:t>
      </w:r>
      <w:r w:rsidR="00CF77F6">
        <w:t xml:space="preserve">of which our </w:t>
      </w:r>
      <w:proofErr w:type="gramStart"/>
      <w:r w:rsidR="00CF77F6">
        <w:t>Director</w:t>
      </w:r>
      <w:proofErr w:type="gramEnd"/>
      <w:r w:rsidR="00CF77F6">
        <w:t xml:space="preserve"> is a volunteer).</w:t>
      </w:r>
    </w:p>
    <w:p w14:paraId="0796D7B5" w14:textId="77777777" w:rsidR="009913ED" w:rsidRPr="009913ED" w:rsidRDefault="009913ED" w:rsidP="009913ED">
      <w:pPr>
        <w:spacing w:before="400"/>
      </w:pPr>
      <w:r w:rsidRPr="009913ED">
        <w:t>We will also participate in initiatives that promote veteran employment and awareness across industry.</w:t>
      </w:r>
    </w:p>
    <w:p w14:paraId="40DDEE4E" w14:textId="77777777" w:rsidR="009913ED" w:rsidRPr="009913ED" w:rsidRDefault="009913ED" w:rsidP="009913ED">
      <w:pPr>
        <w:spacing w:before="400"/>
        <w:rPr>
          <w:b/>
          <w:bCs/>
        </w:rPr>
      </w:pPr>
      <w:r w:rsidRPr="009913ED">
        <w:rPr>
          <w:b/>
          <w:bCs/>
        </w:rPr>
        <w:t>11. Monitoring and Reporting</w:t>
      </w:r>
    </w:p>
    <w:p w14:paraId="1D0BFEFB" w14:textId="758E988A" w:rsidR="009913ED" w:rsidRPr="009913ED" w:rsidRDefault="009913ED" w:rsidP="009913ED">
      <w:pPr>
        <w:spacing w:before="400"/>
      </w:pPr>
      <w:r w:rsidRPr="009913ED">
        <w:t xml:space="preserve">To ensure accountability and continuous improvement, </w:t>
      </w:r>
      <w:r w:rsidR="00266102">
        <w:t>Rae &amp; Sara</w:t>
      </w:r>
      <w:r w:rsidRPr="009913ED">
        <w:t xml:space="preserve"> will:</w:t>
      </w:r>
    </w:p>
    <w:p w14:paraId="70419216" w14:textId="77777777" w:rsidR="009913ED" w:rsidRPr="009913ED" w:rsidRDefault="009913ED" w:rsidP="009913ED">
      <w:pPr>
        <w:numPr>
          <w:ilvl w:val="0"/>
          <w:numId w:val="15"/>
        </w:numPr>
        <w:spacing w:before="400"/>
      </w:pPr>
      <w:r w:rsidRPr="009913ED">
        <w:t>Track veteran employment metrics, including recruitment, retention, and progression.</w:t>
      </w:r>
    </w:p>
    <w:p w14:paraId="1E8E4AF5" w14:textId="77777777" w:rsidR="009913ED" w:rsidRPr="009913ED" w:rsidRDefault="009913ED" w:rsidP="009913ED">
      <w:pPr>
        <w:numPr>
          <w:ilvl w:val="0"/>
          <w:numId w:val="15"/>
        </w:numPr>
        <w:spacing w:before="400"/>
      </w:pPr>
      <w:r w:rsidRPr="009913ED">
        <w:t>Seek feedback from veteran employees on their experience.</w:t>
      </w:r>
    </w:p>
    <w:p w14:paraId="53DE614F" w14:textId="77777777" w:rsidR="009913ED" w:rsidRPr="009913ED" w:rsidRDefault="009913ED" w:rsidP="009913ED">
      <w:pPr>
        <w:numPr>
          <w:ilvl w:val="0"/>
          <w:numId w:val="15"/>
        </w:numPr>
        <w:spacing w:before="400"/>
      </w:pPr>
      <w:r w:rsidRPr="009913ED">
        <w:t>Review this policy annually to ensure it remains relevant and effective.</w:t>
      </w:r>
    </w:p>
    <w:p w14:paraId="6F05490E" w14:textId="77777777" w:rsidR="00E038AD" w:rsidRDefault="00E038AD" w:rsidP="009913ED">
      <w:pPr>
        <w:spacing w:before="400"/>
        <w:rPr>
          <w:b/>
          <w:bCs/>
        </w:rPr>
      </w:pPr>
    </w:p>
    <w:p w14:paraId="1547F868" w14:textId="797740FE" w:rsidR="009913ED" w:rsidRPr="009913ED" w:rsidRDefault="009913ED" w:rsidP="009913ED">
      <w:pPr>
        <w:spacing w:before="400"/>
        <w:rPr>
          <w:b/>
          <w:bCs/>
        </w:rPr>
      </w:pPr>
      <w:r w:rsidRPr="009913ED">
        <w:rPr>
          <w:b/>
          <w:bCs/>
        </w:rPr>
        <w:lastRenderedPageBreak/>
        <w:t>12. Responsibilities</w:t>
      </w:r>
    </w:p>
    <w:p w14:paraId="0511660E" w14:textId="77777777" w:rsidR="009913ED" w:rsidRPr="009913ED" w:rsidRDefault="009913ED" w:rsidP="009913ED">
      <w:pPr>
        <w:numPr>
          <w:ilvl w:val="0"/>
          <w:numId w:val="16"/>
        </w:numPr>
        <w:spacing w:before="400"/>
      </w:pPr>
      <w:r w:rsidRPr="009913ED">
        <w:rPr>
          <w:b/>
          <w:bCs/>
        </w:rPr>
        <w:t>Directors and Senior Leaders:</w:t>
      </w:r>
      <w:r w:rsidRPr="009913ED">
        <w:t xml:space="preserve"> Champion veteran employment and ensure organisational alignment with this policy.</w:t>
      </w:r>
    </w:p>
    <w:p w14:paraId="11201CB3" w14:textId="77777777" w:rsidR="009913ED" w:rsidRPr="009913ED" w:rsidRDefault="009913ED" w:rsidP="009913ED">
      <w:pPr>
        <w:numPr>
          <w:ilvl w:val="0"/>
          <w:numId w:val="16"/>
        </w:numPr>
        <w:spacing w:before="400"/>
      </w:pPr>
      <w:r w:rsidRPr="009913ED">
        <w:rPr>
          <w:b/>
          <w:bCs/>
        </w:rPr>
        <w:t>All Employees:</w:t>
      </w:r>
      <w:r w:rsidRPr="009913ED">
        <w:t xml:space="preserve"> Contribute to a respectful, supportive workplace for veterans and their families.</w:t>
      </w:r>
    </w:p>
    <w:p w14:paraId="17F9BEDE" w14:textId="77777777" w:rsidR="009913ED" w:rsidRPr="009913ED" w:rsidRDefault="009913ED" w:rsidP="009913ED">
      <w:pPr>
        <w:spacing w:before="400"/>
        <w:rPr>
          <w:b/>
          <w:bCs/>
        </w:rPr>
      </w:pPr>
      <w:r w:rsidRPr="009913ED">
        <w:rPr>
          <w:b/>
          <w:bCs/>
        </w:rPr>
        <w:t>13. Review</w:t>
      </w:r>
    </w:p>
    <w:p w14:paraId="631C1B32" w14:textId="77777777" w:rsidR="009913ED" w:rsidRPr="009913ED" w:rsidRDefault="009913ED" w:rsidP="009913ED">
      <w:pPr>
        <w:spacing w:before="400"/>
      </w:pPr>
      <w:r w:rsidRPr="009913ED">
        <w:t>This policy will be reviewed every two years, or sooner if required due to legislative, organisational, or industry changes.</w:t>
      </w:r>
    </w:p>
    <w:p w14:paraId="19A8E689" w14:textId="50903CFC" w:rsidR="002D4D09" w:rsidRDefault="009913ED">
      <w:pPr>
        <w:spacing w:before="400"/>
      </w:pPr>
      <w:r w:rsidRPr="009913ED">
        <w:rPr>
          <w:noProof/>
        </w:rPr>
        <w:drawing>
          <wp:inline distT="0" distB="0" distL="0" distR="0" wp14:anchorId="508FBB5A" wp14:editId="7B7953E5">
            <wp:extent cx="12700" cy="12700"/>
            <wp:effectExtent l="0" t="0" r="0" b="0"/>
            <wp:docPr id="6181956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667C4C">
        <w:t>_____________________</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2D4D09" w14:paraId="4F263FB2"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A0E7E3" w14:textId="77777777" w:rsidR="002D4D09" w:rsidRDefault="00667C4C">
            <w:r>
              <w:rPr>
                <w:color w:val="000000"/>
              </w:rPr>
              <w:t>Document Owner:</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BED0219" w14:textId="77777777" w:rsidR="002D4D09" w:rsidRDefault="00EE5A93">
            <w:pPr>
              <w:rPr>
                <w:color w:val="000000"/>
              </w:rPr>
            </w:pPr>
            <w:r>
              <w:rPr>
                <w:color w:val="000000"/>
              </w:rPr>
              <w:t>Justin Sara</w:t>
            </w:r>
            <w:r w:rsidR="00B86D00">
              <w:rPr>
                <w:color w:val="000000"/>
              </w:rPr>
              <w:t>, Director</w:t>
            </w:r>
          </w:p>
          <w:p w14:paraId="5AECF2AA" w14:textId="3031ED33" w:rsidR="001C0460" w:rsidRDefault="001C0460">
            <w:r>
              <w:rPr>
                <w:noProof/>
              </w:rPr>
              <w:drawing>
                <wp:inline distT="0" distB="0" distL="0" distR="0" wp14:anchorId="0665846A" wp14:editId="0BDC6CBD">
                  <wp:extent cx="1371600" cy="350373"/>
                  <wp:effectExtent l="0" t="0" r="0" b="0"/>
                  <wp:docPr id="617466339" name="Picture 2" descr="J&#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66339" name="Picture 2" descr="J&#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0813" cy="357835"/>
                          </a:xfrm>
                          <a:prstGeom prst="rect">
                            <a:avLst/>
                          </a:prstGeom>
                        </pic:spPr>
                      </pic:pic>
                    </a:graphicData>
                  </a:graphic>
                </wp:inline>
              </w:drawing>
            </w:r>
          </w:p>
        </w:tc>
      </w:tr>
      <w:tr w:rsidR="002D4D09" w14:paraId="5B5D6083"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8CB5F1" w14:textId="77777777" w:rsidR="002D4D09" w:rsidRDefault="00667C4C">
            <w:r>
              <w:rPr>
                <w:color w:val="000000"/>
              </w:rPr>
              <w:t>Date Approved:</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2CA907" w14:textId="48E7B6E5" w:rsidR="002D4D09" w:rsidRDefault="00266102">
            <w:r>
              <w:rPr>
                <w:color w:val="000000"/>
              </w:rPr>
              <w:t>6 May</w:t>
            </w:r>
            <w:r w:rsidR="00B86D00">
              <w:rPr>
                <w:color w:val="000000"/>
              </w:rPr>
              <w:t xml:space="preserve"> 2026</w:t>
            </w:r>
          </w:p>
        </w:tc>
      </w:tr>
      <w:tr w:rsidR="002D4D09" w14:paraId="5DBA9DB1"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84C5BCE" w14:textId="77777777" w:rsidR="002D4D09" w:rsidRDefault="00667C4C">
            <w:r>
              <w:rPr>
                <w:color w:val="000000"/>
              </w:rPr>
              <w:t>Next Review Date:</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6ABBFD" w14:textId="39C313ED" w:rsidR="002D4D09" w:rsidRDefault="00266102">
            <w:r>
              <w:rPr>
                <w:color w:val="000000"/>
              </w:rPr>
              <w:t>May</w:t>
            </w:r>
            <w:r w:rsidR="00B86D00">
              <w:rPr>
                <w:color w:val="000000"/>
              </w:rPr>
              <w:t xml:space="preserve"> 2027</w:t>
            </w:r>
          </w:p>
        </w:tc>
      </w:tr>
    </w:tbl>
    <w:p w14:paraId="5B4085C3" w14:textId="77777777" w:rsidR="00667C4C" w:rsidRDefault="00667C4C"/>
    <w:sectPr w:rsidR="00667C4C" w:rsidSect="00D002AF">
      <w:footerReference w:type="default" r:id="rId11"/>
      <w:pgSz w:w="12240" w:h="15840"/>
      <w:pgMar w:top="980" w:right="1440"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F1A6E" w14:textId="77777777" w:rsidR="0063143B" w:rsidRDefault="0063143B" w:rsidP="00E33B5A">
      <w:r>
        <w:separator/>
      </w:r>
    </w:p>
  </w:endnote>
  <w:endnote w:type="continuationSeparator" w:id="0">
    <w:p w14:paraId="683B93D9" w14:textId="77777777" w:rsidR="0063143B" w:rsidRDefault="0063143B" w:rsidP="00E33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116838"/>
      <w:docPartObj>
        <w:docPartGallery w:val="Page Numbers (Bottom of Page)"/>
        <w:docPartUnique/>
      </w:docPartObj>
    </w:sdtPr>
    <w:sdtEndPr>
      <w:rPr>
        <w:noProof/>
        <w:sz w:val="20"/>
        <w:szCs w:val="20"/>
      </w:rPr>
    </w:sdtEndPr>
    <w:sdtContent>
      <w:p w14:paraId="6016D97D" w14:textId="0306FDCC" w:rsidR="00304DA3" w:rsidRPr="001C0460" w:rsidRDefault="00304DA3">
        <w:pPr>
          <w:pStyle w:val="Footer"/>
          <w:jc w:val="right"/>
          <w:rPr>
            <w:sz w:val="20"/>
            <w:szCs w:val="20"/>
          </w:rPr>
        </w:pPr>
        <w:r w:rsidRPr="001C0460">
          <w:rPr>
            <w:sz w:val="20"/>
            <w:szCs w:val="20"/>
          </w:rPr>
          <w:fldChar w:fldCharType="begin"/>
        </w:r>
        <w:r w:rsidRPr="001C0460">
          <w:rPr>
            <w:sz w:val="20"/>
            <w:szCs w:val="20"/>
          </w:rPr>
          <w:instrText xml:space="preserve"> PAGE   \* MERGEFORMAT </w:instrText>
        </w:r>
        <w:r w:rsidRPr="001C0460">
          <w:rPr>
            <w:sz w:val="20"/>
            <w:szCs w:val="20"/>
          </w:rPr>
          <w:fldChar w:fldCharType="separate"/>
        </w:r>
        <w:r w:rsidRPr="001C0460">
          <w:rPr>
            <w:noProof/>
            <w:sz w:val="20"/>
            <w:szCs w:val="20"/>
          </w:rPr>
          <w:t>2</w:t>
        </w:r>
        <w:r w:rsidRPr="001C0460">
          <w:rPr>
            <w:noProof/>
            <w:sz w:val="20"/>
            <w:szCs w:val="20"/>
          </w:rPr>
          <w:fldChar w:fldCharType="end"/>
        </w:r>
      </w:p>
    </w:sdtContent>
  </w:sdt>
  <w:p w14:paraId="653B8D87" w14:textId="72823589" w:rsidR="00E33B5A" w:rsidRPr="001C0460" w:rsidRDefault="00266102">
    <w:pPr>
      <w:pStyle w:val="Footer"/>
      <w:rPr>
        <w:sz w:val="18"/>
        <w:szCs w:val="18"/>
      </w:rPr>
    </w:pPr>
    <w:r>
      <w:rPr>
        <w:sz w:val="18"/>
        <w:szCs w:val="18"/>
      </w:rPr>
      <w:t>Rae &amp; Sara</w:t>
    </w:r>
    <w:r w:rsidR="00304DA3" w:rsidRPr="001C0460">
      <w:rPr>
        <w:sz w:val="18"/>
        <w:szCs w:val="18"/>
      </w:rPr>
      <w:t xml:space="preserve"> </w:t>
    </w:r>
    <w:r w:rsidR="00C07EE4">
      <w:rPr>
        <w:sz w:val="18"/>
        <w:szCs w:val="18"/>
      </w:rPr>
      <w:t>Veterans Employment</w:t>
    </w:r>
    <w:r w:rsidR="00304DA3" w:rsidRPr="001C0460">
      <w:rPr>
        <w:sz w:val="18"/>
        <w:szCs w:val="18"/>
      </w:rPr>
      <w:t xml:space="preserve"> Policy</w:t>
    </w:r>
  </w:p>
  <w:p w14:paraId="24AC0CCC" w14:textId="41AD3D39" w:rsidR="00304DA3" w:rsidRPr="001C0460" w:rsidRDefault="00304DA3">
    <w:pPr>
      <w:pStyle w:val="Footer"/>
      <w:rPr>
        <w:sz w:val="18"/>
        <w:szCs w:val="18"/>
      </w:rPr>
    </w:pPr>
    <w:r w:rsidRPr="001C0460">
      <w:rPr>
        <w:sz w:val="18"/>
        <w:szCs w:val="18"/>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AED37" w14:textId="77777777" w:rsidR="0063143B" w:rsidRDefault="0063143B" w:rsidP="00E33B5A">
      <w:r>
        <w:separator/>
      </w:r>
    </w:p>
  </w:footnote>
  <w:footnote w:type="continuationSeparator" w:id="0">
    <w:p w14:paraId="2961FD53" w14:textId="77777777" w:rsidR="0063143B" w:rsidRDefault="0063143B" w:rsidP="00E33B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1E11"/>
    <w:multiLevelType w:val="multilevel"/>
    <w:tmpl w:val="2F1E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BB2DB9"/>
    <w:multiLevelType w:val="multilevel"/>
    <w:tmpl w:val="93DE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3B127E"/>
    <w:multiLevelType w:val="multilevel"/>
    <w:tmpl w:val="503EC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163471"/>
    <w:multiLevelType w:val="multilevel"/>
    <w:tmpl w:val="3A2CF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4549E3"/>
    <w:multiLevelType w:val="multilevel"/>
    <w:tmpl w:val="9352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DB0378"/>
    <w:multiLevelType w:val="hybridMultilevel"/>
    <w:tmpl w:val="8C02B804"/>
    <w:lvl w:ilvl="0" w:tplc="01AC8962">
      <w:start w:val="1"/>
      <w:numFmt w:val="bullet"/>
      <w:lvlText w:val="●"/>
      <w:lvlJc w:val="left"/>
      <w:pPr>
        <w:ind w:left="720" w:hanging="360"/>
      </w:pPr>
    </w:lvl>
    <w:lvl w:ilvl="1" w:tplc="E8941204">
      <w:start w:val="1"/>
      <w:numFmt w:val="bullet"/>
      <w:lvlText w:val="○"/>
      <w:lvlJc w:val="left"/>
      <w:pPr>
        <w:ind w:left="1440" w:hanging="360"/>
      </w:pPr>
    </w:lvl>
    <w:lvl w:ilvl="2" w:tplc="9AE6F644">
      <w:start w:val="1"/>
      <w:numFmt w:val="bullet"/>
      <w:lvlText w:val="■"/>
      <w:lvlJc w:val="left"/>
      <w:pPr>
        <w:ind w:left="2160" w:hanging="360"/>
      </w:pPr>
    </w:lvl>
    <w:lvl w:ilvl="3" w:tplc="599AEC40">
      <w:start w:val="1"/>
      <w:numFmt w:val="bullet"/>
      <w:lvlText w:val="●"/>
      <w:lvlJc w:val="left"/>
      <w:pPr>
        <w:ind w:left="2880" w:hanging="360"/>
      </w:pPr>
    </w:lvl>
    <w:lvl w:ilvl="4" w:tplc="14F0B92C">
      <w:start w:val="1"/>
      <w:numFmt w:val="bullet"/>
      <w:lvlText w:val="○"/>
      <w:lvlJc w:val="left"/>
      <w:pPr>
        <w:ind w:left="3600" w:hanging="360"/>
      </w:pPr>
    </w:lvl>
    <w:lvl w:ilvl="5" w:tplc="50C27D9A">
      <w:start w:val="1"/>
      <w:numFmt w:val="bullet"/>
      <w:lvlText w:val="■"/>
      <w:lvlJc w:val="left"/>
      <w:pPr>
        <w:ind w:left="4320" w:hanging="360"/>
      </w:pPr>
    </w:lvl>
    <w:lvl w:ilvl="6" w:tplc="04546A3C">
      <w:start w:val="1"/>
      <w:numFmt w:val="bullet"/>
      <w:lvlText w:val="●"/>
      <w:lvlJc w:val="left"/>
      <w:pPr>
        <w:ind w:left="5040" w:hanging="360"/>
      </w:pPr>
    </w:lvl>
    <w:lvl w:ilvl="7" w:tplc="1958C7AE">
      <w:start w:val="1"/>
      <w:numFmt w:val="bullet"/>
      <w:lvlText w:val="●"/>
      <w:lvlJc w:val="left"/>
      <w:pPr>
        <w:ind w:left="5760" w:hanging="360"/>
      </w:pPr>
    </w:lvl>
    <w:lvl w:ilvl="8" w:tplc="007AA086">
      <w:start w:val="1"/>
      <w:numFmt w:val="bullet"/>
      <w:lvlText w:val="●"/>
      <w:lvlJc w:val="left"/>
      <w:pPr>
        <w:ind w:left="6480" w:hanging="360"/>
      </w:pPr>
    </w:lvl>
  </w:abstractNum>
  <w:abstractNum w:abstractNumId="6" w15:restartNumberingAfterBreak="0">
    <w:nsid w:val="398F6F59"/>
    <w:multiLevelType w:val="multilevel"/>
    <w:tmpl w:val="E982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FF329F"/>
    <w:multiLevelType w:val="multilevel"/>
    <w:tmpl w:val="6D8AC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8D41B8"/>
    <w:multiLevelType w:val="multilevel"/>
    <w:tmpl w:val="F7FC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154863"/>
    <w:multiLevelType w:val="hybridMultilevel"/>
    <w:tmpl w:val="A192F8E2"/>
    <w:lvl w:ilvl="0" w:tplc="9A66A4E2">
      <w:start w:val="1"/>
      <w:numFmt w:val="bullet"/>
      <w:lvlText w:val="•"/>
      <w:lvlJc w:val="left"/>
      <w:pPr>
        <w:ind w:left="720" w:hanging="360"/>
      </w:pPr>
    </w:lvl>
    <w:lvl w:ilvl="1" w:tplc="0136E7BE">
      <w:numFmt w:val="decimal"/>
      <w:lvlText w:val=""/>
      <w:lvlJc w:val="left"/>
    </w:lvl>
    <w:lvl w:ilvl="2" w:tplc="14E632FC">
      <w:numFmt w:val="decimal"/>
      <w:lvlText w:val=""/>
      <w:lvlJc w:val="left"/>
    </w:lvl>
    <w:lvl w:ilvl="3" w:tplc="4D9A9AFA">
      <w:numFmt w:val="decimal"/>
      <w:lvlText w:val=""/>
      <w:lvlJc w:val="left"/>
    </w:lvl>
    <w:lvl w:ilvl="4" w:tplc="E51CE2A8">
      <w:numFmt w:val="decimal"/>
      <w:lvlText w:val=""/>
      <w:lvlJc w:val="left"/>
    </w:lvl>
    <w:lvl w:ilvl="5" w:tplc="DCA64A8C">
      <w:numFmt w:val="decimal"/>
      <w:lvlText w:val=""/>
      <w:lvlJc w:val="left"/>
    </w:lvl>
    <w:lvl w:ilvl="6" w:tplc="70AACC5E">
      <w:numFmt w:val="decimal"/>
      <w:lvlText w:val=""/>
      <w:lvlJc w:val="left"/>
    </w:lvl>
    <w:lvl w:ilvl="7" w:tplc="A83C7190">
      <w:numFmt w:val="decimal"/>
      <w:lvlText w:val=""/>
      <w:lvlJc w:val="left"/>
    </w:lvl>
    <w:lvl w:ilvl="8" w:tplc="FE12A232">
      <w:numFmt w:val="decimal"/>
      <w:lvlText w:val=""/>
      <w:lvlJc w:val="left"/>
    </w:lvl>
  </w:abstractNum>
  <w:abstractNum w:abstractNumId="10" w15:restartNumberingAfterBreak="0">
    <w:nsid w:val="55BA11B2"/>
    <w:multiLevelType w:val="multilevel"/>
    <w:tmpl w:val="0F28B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FE2953"/>
    <w:multiLevelType w:val="multilevel"/>
    <w:tmpl w:val="035A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D45D16"/>
    <w:multiLevelType w:val="multilevel"/>
    <w:tmpl w:val="AF96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D4B385C"/>
    <w:multiLevelType w:val="multilevel"/>
    <w:tmpl w:val="D9424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FE726D"/>
    <w:multiLevelType w:val="multilevel"/>
    <w:tmpl w:val="1B3E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AF90554"/>
    <w:multiLevelType w:val="multilevel"/>
    <w:tmpl w:val="31E0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F977F8"/>
    <w:multiLevelType w:val="multilevel"/>
    <w:tmpl w:val="561A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5905840">
    <w:abstractNumId w:val="5"/>
    <w:lvlOverride w:ilvl="0">
      <w:startOverride w:val="1"/>
    </w:lvlOverride>
  </w:num>
  <w:num w:numId="2" w16cid:durableId="534773778">
    <w:abstractNumId w:val="9"/>
    <w:lvlOverride w:ilvl="0">
      <w:startOverride w:val="1"/>
    </w:lvlOverride>
  </w:num>
  <w:num w:numId="3" w16cid:durableId="198471290">
    <w:abstractNumId w:val="8"/>
  </w:num>
  <w:num w:numId="4" w16cid:durableId="69155355">
    <w:abstractNumId w:val="4"/>
  </w:num>
  <w:num w:numId="5" w16cid:durableId="955066317">
    <w:abstractNumId w:val="13"/>
  </w:num>
  <w:num w:numId="6" w16cid:durableId="634793967">
    <w:abstractNumId w:val="1"/>
  </w:num>
  <w:num w:numId="7" w16cid:durableId="5058795">
    <w:abstractNumId w:val="2"/>
  </w:num>
  <w:num w:numId="8" w16cid:durableId="971062688">
    <w:abstractNumId w:val="12"/>
  </w:num>
  <w:num w:numId="9" w16cid:durableId="63991267">
    <w:abstractNumId w:val="11"/>
  </w:num>
  <w:num w:numId="10" w16cid:durableId="268633475">
    <w:abstractNumId w:val="16"/>
  </w:num>
  <w:num w:numId="11" w16cid:durableId="1268927929">
    <w:abstractNumId w:val="3"/>
  </w:num>
  <w:num w:numId="12" w16cid:durableId="1174146741">
    <w:abstractNumId w:val="0"/>
  </w:num>
  <w:num w:numId="13" w16cid:durableId="1444809940">
    <w:abstractNumId w:val="14"/>
  </w:num>
  <w:num w:numId="14" w16cid:durableId="1268657959">
    <w:abstractNumId w:val="10"/>
  </w:num>
  <w:num w:numId="15" w16cid:durableId="450519301">
    <w:abstractNumId w:val="6"/>
  </w:num>
  <w:num w:numId="16" w16cid:durableId="1646543615">
    <w:abstractNumId w:val="7"/>
  </w:num>
  <w:num w:numId="17" w16cid:durableId="2582917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D09"/>
    <w:rsid w:val="000A1BB4"/>
    <w:rsid w:val="00153B27"/>
    <w:rsid w:val="00155747"/>
    <w:rsid w:val="00160AEC"/>
    <w:rsid w:val="001C0460"/>
    <w:rsid w:val="00266102"/>
    <w:rsid w:val="002D4D09"/>
    <w:rsid w:val="00304DA3"/>
    <w:rsid w:val="006024C3"/>
    <w:rsid w:val="0063143B"/>
    <w:rsid w:val="00667C4C"/>
    <w:rsid w:val="0078261A"/>
    <w:rsid w:val="0079651B"/>
    <w:rsid w:val="009619DF"/>
    <w:rsid w:val="00983F2F"/>
    <w:rsid w:val="009913ED"/>
    <w:rsid w:val="009A0046"/>
    <w:rsid w:val="00A37E22"/>
    <w:rsid w:val="00B65AAA"/>
    <w:rsid w:val="00B86D00"/>
    <w:rsid w:val="00C07EE4"/>
    <w:rsid w:val="00C63FCA"/>
    <w:rsid w:val="00CF77F6"/>
    <w:rsid w:val="00D002AF"/>
    <w:rsid w:val="00D80DFC"/>
    <w:rsid w:val="00D94353"/>
    <w:rsid w:val="00E038AD"/>
    <w:rsid w:val="00E25753"/>
    <w:rsid w:val="00E33B5A"/>
    <w:rsid w:val="00EE5A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9000C"/>
  <w15:docId w15:val="{1346D902-6343-431C-80FE-6FB429EB4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2F5496"/>
      <w:sz w:val="32"/>
      <w:szCs w:val="32"/>
    </w:rPr>
  </w:style>
  <w:style w:type="paragraph" w:styleId="Heading2">
    <w:name w:val="heading 2"/>
    <w:uiPriority w:val="9"/>
    <w:unhideWhenUsed/>
    <w:qFormat/>
    <w:pPr>
      <w:spacing w:before="200" w:after="100"/>
      <w:outlineLvl w:val="1"/>
    </w:pPr>
    <w:rPr>
      <w:b/>
      <w:bCs/>
      <w:color w:val="2F5496"/>
      <w:sz w:val="28"/>
      <w:szCs w:val="28"/>
    </w:rPr>
  </w:style>
  <w:style w:type="paragraph" w:styleId="Heading3">
    <w:name w:val="heading 3"/>
    <w:uiPriority w:val="9"/>
    <w:semiHidden/>
    <w:unhideWhenUsed/>
    <w:qFormat/>
    <w:pPr>
      <w:spacing w:before="160" w:after="80"/>
      <w:outlineLvl w:val="2"/>
    </w:pPr>
    <w:rPr>
      <w:b/>
      <w:bCs/>
      <w:color w:val="2F5496"/>
      <w:sz w:val="26"/>
      <w:szCs w:val="2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33B5A"/>
    <w:pPr>
      <w:tabs>
        <w:tab w:val="center" w:pos="4513"/>
        <w:tab w:val="right" w:pos="9026"/>
      </w:tabs>
    </w:pPr>
  </w:style>
  <w:style w:type="character" w:customStyle="1" w:styleId="HeaderChar">
    <w:name w:val="Header Char"/>
    <w:basedOn w:val="DefaultParagraphFont"/>
    <w:link w:val="Header"/>
    <w:uiPriority w:val="99"/>
    <w:rsid w:val="00E33B5A"/>
  </w:style>
  <w:style w:type="paragraph" w:styleId="Footer">
    <w:name w:val="footer"/>
    <w:basedOn w:val="Normal"/>
    <w:link w:val="FooterChar"/>
    <w:uiPriority w:val="99"/>
    <w:unhideWhenUsed/>
    <w:rsid w:val="00E33B5A"/>
    <w:pPr>
      <w:tabs>
        <w:tab w:val="center" w:pos="4513"/>
        <w:tab w:val="right" w:pos="9026"/>
      </w:tabs>
    </w:pPr>
  </w:style>
  <w:style w:type="character" w:customStyle="1" w:styleId="FooterChar">
    <w:name w:val="Footer Char"/>
    <w:basedOn w:val="DefaultParagraphFont"/>
    <w:link w:val="Footer"/>
    <w:uiPriority w:val="99"/>
    <w:rsid w:val="00E33B5A"/>
  </w:style>
  <w:style w:type="character" w:styleId="UnresolvedMention">
    <w:name w:val="Unresolved Mention"/>
    <w:basedOn w:val="DefaultParagraphFont"/>
    <w:uiPriority w:val="99"/>
    <w:semiHidden/>
    <w:unhideWhenUsed/>
    <w:rsid w:val="00991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C7533-D2E0-4C8C-8FF4-7BC0FF0F9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1069</Words>
  <Characters>6094</Characters>
  <Application>Microsoft Office Word</Application>
  <DocSecurity>0</DocSecurity>
  <Lines>50</Lines>
  <Paragraphs>14</Paragraphs>
  <ScaleCrop>false</ScaleCrop>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Justin Sara</cp:lastModifiedBy>
  <cp:revision>2</cp:revision>
  <dcterms:created xsi:type="dcterms:W3CDTF">2026-06-02T03:18:00Z</dcterms:created>
  <dcterms:modified xsi:type="dcterms:W3CDTF">2026-06-02T03:18:00Z</dcterms:modified>
</cp:coreProperties>
</file>