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1601B" w14:textId="77777777" w:rsidR="00B90E40" w:rsidRPr="00B90E40" w:rsidRDefault="00B90E40" w:rsidP="00B90E40">
      <w:pPr>
        <w:rPr>
          <w:b/>
          <w:bCs/>
        </w:rPr>
      </w:pPr>
      <w:r w:rsidRPr="00B90E40">
        <w:rPr>
          <w:b/>
          <w:bCs/>
        </w:rPr>
        <w:t>CALL FOR SUBMISSIONS</w:t>
      </w:r>
    </w:p>
    <w:p w14:paraId="0C50E618" w14:textId="77777777" w:rsidR="00B90E40" w:rsidRPr="00B90E40" w:rsidRDefault="00B90E40" w:rsidP="00B90E40">
      <w:pPr>
        <w:rPr>
          <w:b/>
          <w:bCs/>
        </w:rPr>
      </w:pPr>
      <w:r w:rsidRPr="00B90E40">
        <w:rPr>
          <w:b/>
          <w:bCs/>
        </w:rPr>
        <w:t>The 2027 Better Buying Institute Teaching Innovation Award</w:t>
      </w:r>
    </w:p>
    <w:p w14:paraId="1697EAFB" w14:textId="77777777" w:rsidR="00B90E40" w:rsidRPr="00B90E40" w:rsidRDefault="00B90E40" w:rsidP="00B90E40">
      <w:r w:rsidRPr="00B90E40">
        <w:t xml:space="preserve">Submit through Oxford Abstract by </w:t>
      </w:r>
      <w:r w:rsidRPr="00B90E40">
        <w:rPr>
          <w:b/>
          <w:bCs/>
        </w:rPr>
        <w:t>April 1, 2027</w:t>
      </w:r>
    </w:p>
    <w:p w14:paraId="5D1E64DE" w14:textId="77777777" w:rsidR="00B90E40" w:rsidRPr="00B90E40" w:rsidRDefault="00714E60" w:rsidP="00B90E40">
      <w:r>
        <w:pict w14:anchorId="5AFECB28">
          <v:rect id="_x0000_i1025" style="width:0;height:1.5pt" o:hralign="center" o:hrstd="t" o:hr="t" fillcolor="#a0a0a0" stroked="f"/>
        </w:pict>
      </w:r>
    </w:p>
    <w:p w14:paraId="72106FA3" w14:textId="77777777" w:rsidR="00B90E40" w:rsidRPr="00B90E40" w:rsidRDefault="00B90E40" w:rsidP="00B90E40">
      <w:pPr>
        <w:rPr>
          <w:b/>
          <w:bCs/>
        </w:rPr>
      </w:pPr>
      <w:r w:rsidRPr="00B90E40">
        <w:rPr>
          <w:b/>
          <w:bCs/>
        </w:rPr>
        <w:t>The 2027 Theme</w:t>
      </w:r>
    </w:p>
    <w:p w14:paraId="7B97BBFE" w14:textId="77777777" w:rsidR="00B90E40" w:rsidRPr="00B90E40" w:rsidRDefault="00B90E40" w:rsidP="00B90E40">
      <w:pPr>
        <w:rPr>
          <w:b/>
          <w:bCs/>
        </w:rPr>
      </w:pPr>
      <w:r w:rsidRPr="00B90E40">
        <w:rPr>
          <w:b/>
          <w:bCs/>
        </w:rPr>
        <w:t>Teaching Transparency and Accountability in Apparel Supply Chains</w:t>
      </w:r>
    </w:p>
    <w:p w14:paraId="0714022D" w14:textId="1E870349" w:rsidR="00B90E40" w:rsidRPr="00B90E40" w:rsidRDefault="00B90E40" w:rsidP="00B90E40">
      <w:r w:rsidRPr="00B90E40">
        <w:t xml:space="preserve">The ITAA Teaching Innovation and Resources Committee invites submissions for the </w:t>
      </w:r>
      <w:r w:rsidRPr="00B90E40">
        <w:rPr>
          <w:b/>
          <w:bCs/>
        </w:rPr>
        <w:t>2027 Better Buying Institute Teaching Innovation Award</w:t>
      </w:r>
      <w:r w:rsidRPr="00B90E40">
        <w:t xml:space="preserve">. This award encourages the development and dissemination of innovative teaching strategies that address </w:t>
      </w:r>
      <w:r w:rsidR="004053FF">
        <w:t>responsible purchasing practices</w:t>
      </w:r>
      <w:r w:rsidRPr="00B90E40">
        <w:t xml:space="preserve"> in the apparel and textile fields.</w:t>
      </w:r>
    </w:p>
    <w:p w14:paraId="25A4386A" w14:textId="77777777" w:rsidR="00B90E40" w:rsidRPr="00B90E40" w:rsidRDefault="00B90E40" w:rsidP="00B90E40">
      <w:r w:rsidRPr="00B90E40">
        <w:t xml:space="preserve">Applicants are invited to submit a paper describing teaching materials or classroom activities that help students understand the importance of </w:t>
      </w:r>
      <w:r w:rsidRPr="00B90E40">
        <w:rPr>
          <w:b/>
          <w:bCs/>
        </w:rPr>
        <w:t>transparency and accountability in apparel supply chains</w:t>
      </w:r>
      <w:r w:rsidRPr="00B90E40">
        <w:t>, particularly in relation to responsible purchasing practices.</w:t>
      </w:r>
    </w:p>
    <w:p w14:paraId="2814F999" w14:textId="77777777" w:rsidR="00B90E40" w:rsidRPr="00B90E40" w:rsidRDefault="00B90E40" w:rsidP="00B90E40">
      <w:r w:rsidRPr="00B90E40">
        <w:t>Submissions will be evaluated based on the following criteria:</w:t>
      </w:r>
    </w:p>
    <w:p w14:paraId="47B83A2C" w14:textId="77777777" w:rsidR="00B90E40" w:rsidRPr="00B90E40" w:rsidRDefault="00B90E40" w:rsidP="00B90E40">
      <w:pPr>
        <w:numPr>
          <w:ilvl w:val="0"/>
          <w:numId w:val="9"/>
        </w:numPr>
      </w:pPr>
      <w:r w:rsidRPr="00B90E40">
        <w:rPr>
          <w:b/>
          <w:bCs/>
        </w:rPr>
        <w:t>Thematic Fit:</w:t>
      </w:r>
      <w:r w:rsidRPr="00B90E40">
        <w:t xml:space="preserve"> Appropriateness of the materials to the theme.</w:t>
      </w:r>
    </w:p>
    <w:p w14:paraId="019C90CA" w14:textId="77777777" w:rsidR="00B90E40" w:rsidRPr="00B90E40" w:rsidRDefault="00B90E40" w:rsidP="00B90E40">
      <w:pPr>
        <w:numPr>
          <w:ilvl w:val="0"/>
          <w:numId w:val="9"/>
        </w:numPr>
      </w:pPr>
      <w:r w:rsidRPr="00B90E40">
        <w:rPr>
          <w:b/>
          <w:bCs/>
        </w:rPr>
        <w:t>Audience:</w:t>
      </w:r>
      <w:r w:rsidRPr="00B90E40">
        <w:t xml:space="preserve"> Appropriateness of the teaching materials to the audience.</w:t>
      </w:r>
    </w:p>
    <w:p w14:paraId="6E6B50F3" w14:textId="77777777" w:rsidR="00B90E40" w:rsidRPr="00B90E40" w:rsidRDefault="00B90E40" w:rsidP="00B90E40">
      <w:pPr>
        <w:numPr>
          <w:ilvl w:val="0"/>
          <w:numId w:val="9"/>
        </w:numPr>
      </w:pPr>
      <w:r w:rsidRPr="00B90E40">
        <w:rPr>
          <w:b/>
          <w:bCs/>
        </w:rPr>
        <w:t>Innovativeness:</w:t>
      </w:r>
      <w:r w:rsidRPr="00B90E40">
        <w:t xml:space="preserve"> Originality of the materials and approach.</w:t>
      </w:r>
    </w:p>
    <w:p w14:paraId="260D63A1" w14:textId="77777777" w:rsidR="00B90E40" w:rsidRPr="00B90E40" w:rsidRDefault="00B90E40" w:rsidP="00B90E40">
      <w:pPr>
        <w:numPr>
          <w:ilvl w:val="0"/>
          <w:numId w:val="9"/>
        </w:numPr>
      </w:pPr>
      <w:r w:rsidRPr="00B90E40">
        <w:rPr>
          <w:b/>
          <w:bCs/>
        </w:rPr>
        <w:t>Effectiveness:</w:t>
      </w:r>
      <w:r w:rsidRPr="00B90E40">
        <w:t xml:space="preserve"> Clear articulation of learning objectives and how results are measured and reported.</w:t>
      </w:r>
    </w:p>
    <w:p w14:paraId="6AB3E556" w14:textId="77777777" w:rsidR="00B90E40" w:rsidRPr="00B90E40" w:rsidRDefault="00B90E40" w:rsidP="00B90E40">
      <w:pPr>
        <w:numPr>
          <w:ilvl w:val="0"/>
          <w:numId w:val="9"/>
        </w:numPr>
      </w:pPr>
      <w:r w:rsidRPr="00B90E40">
        <w:rPr>
          <w:b/>
          <w:bCs/>
        </w:rPr>
        <w:t>Presentation Quality:</w:t>
      </w:r>
      <w:r w:rsidRPr="00B90E40">
        <w:t xml:space="preserve"> Clarity, detail, and completeness of the teaching materials and activities.</w:t>
      </w:r>
    </w:p>
    <w:p w14:paraId="127209E2" w14:textId="77777777" w:rsidR="00B90E40" w:rsidRPr="00B90E40" w:rsidRDefault="00B90E40" w:rsidP="00B90E40">
      <w:r w:rsidRPr="00B90E40">
        <w:t xml:space="preserve">Winners must agree to present their paper at the </w:t>
      </w:r>
      <w:r w:rsidRPr="00B90E40">
        <w:rPr>
          <w:b/>
          <w:bCs/>
        </w:rPr>
        <w:t>2027 ITAA Conference</w:t>
      </w:r>
      <w:r w:rsidRPr="00B90E40">
        <w:t>.</w:t>
      </w:r>
    </w:p>
    <w:p w14:paraId="3BF1DD52" w14:textId="77777777" w:rsidR="00B90E40" w:rsidRPr="00B90E40" w:rsidRDefault="00714E60" w:rsidP="00B90E40">
      <w:r>
        <w:pict w14:anchorId="7BC4B6B0">
          <v:rect id="_x0000_i1026" style="width:0;height:1.5pt" o:hralign="center" o:hrstd="t" o:hr="t" fillcolor="#a0a0a0" stroked="f"/>
        </w:pict>
      </w:r>
    </w:p>
    <w:p w14:paraId="48C471CC" w14:textId="77777777" w:rsidR="00B90E40" w:rsidRPr="00B90E40" w:rsidRDefault="00B90E40" w:rsidP="00B90E40">
      <w:pPr>
        <w:rPr>
          <w:b/>
          <w:bCs/>
        </w:rPr>
      </w:pPr>
      <w:r w:rsidRPr="00B90E40">
        <w:rPr>
          <w:b/>
          <w:bCs/>
        </w:rPr>
        <w:t>Theme</w:t>
      </w:r>
    </w:p>
    <w:p w14:paraId="334E853D" w14:textId="7D616373" w:rsidR="00B90E40" w:rsidRPr="00B90E40" w:rsidRDefault="400FD96B" w:rsidP="00B90E40">
      <w:r>
        <w:t xml:space="preserve">Research and industry reports highlight how </w:t>
      </w:r>
      <w:proofErr w:type="gramStart"/>
      <w:r>
        <w:t>brands’</w:t>
      </w:r>
      <w:proofErr w:type="gramEnd"/>
      <w:r>
        <w:t xml:space="preserve"> and retailers’ purchasing practices shape working conditions, supplier relationships, and environmental outcomes in global apparel supply chains (Better Buying Institute, 2025). Responsible practices—such as forecasting, pricing, sourcing decisions, and payment terms—are increasingly recognized </w:t>
      </w:r>
      <w:r>
        <w:lastRenderedPageBreak/>
        <w:t>as key to strengthening supply chain resilience and reducing risks of labor and human rights violations.</w:t>
      </w:r>
    </w:p>
    <w:p w14:paraId="665A3EBD" w14:textId="77777777" w:rsidR="00B90E40" w:rsidRPr="00B90E40" w:rsidRDefault="00B90E40" w:rsidP="00B90E40">
      <w:r w:rsidRPr="00B90E40">
        <w:t xml:space="preserve">At the same time, the apparel industry faces growing expectations for </w:t>
      </w:r>
      <w:r w:rsidRPr="00B90E40">
        <w:rPr>
          <w:b/>
          <w:bCs/>
        </w:rPr>
        <w:t>transparency and accountability</w:t>
      </w:r>
      <w:r w:rsidRPr="00B90E40">
        <w:t xml:space="preserve">. Consumers, governments, and advocacy organizations are calling for greater disclosure regarding sourcing practices, supplier relationships, and the social and environmental conditions under which apparel products are produced. Emerging regulatory </w:t>
      </w:r>
      <w:proofErr w:type="gramStart"/>
      <w:r w:rsidRPr="00B90E40">
        <w:t>frameworks—</w:t>
      </w:r>
      <w:proofErr w:type="gramEnd"/>
      <w:r w:rsidRPr="00B90E40">
        <w:t xml:space="preserve">particularly in </w:t>
      </w:r>
      <w:proofErr w:type="gramStart"/>
      <w:r w:rsidRPr="00B90E40">
        <w:t>Europe—</w:t>
      </w:r>
      <w:proofErr w:type="gramEnd"/>
      <w:r w:rsidRPr="00B90E40">
        <w:t xml:space="preserve">also require companies to demonstrate due diligence to ensure that their business practices do not contribute to human rights or environmental </w:t>
      </w:r>
      <w:proofErr w:type="gramStart"/>
      <w:r w:rsidRPr="00B90E40">
        <w:t>harms</w:t>
      </w:r>
      <w:proofErr w:type="gramEnd"/>
      <w:r w:rsidRPr="00B90E40">
        <w:t xml:space="preserve"> in their supply chains (European Commission, 2024).</w:t>
      </w:r>
    </w:p>
    <w:p w14:paraId="2F25C0BD" w14:textId="77777777" w:rsidR="00B90E40" w:rsidRPr="00B90E40" w:rsidRDefault="00B90E40" w:rsidP="00B90E40">
      <w:r w:rsidRPr="00B90E40">
        <w:t>Educating future industry professionals about these issues is therefore critical. Students preparing for careers in merchandising, sourcing, product development, and retail management need to understand how business decisions made by brands and buyers affect suppliers, workers, and communities across global supply chains.</w:t>
      </w:r>
    </w:p>
    <w:p w14:paraId="565FD199" w14:textId="77777777" w:rsidR="00B90E40" w:rsidRPr="00B90E40" w:rsidRDefault="7FE10091" w:rsidP="00B90E40">
      <w:r>
        <w:t xml:space="preserve">The </w:t>
      </w:r>
      <w:r w:rsidRPr="7FE10091">
        <w:rPr>
          <w:b/>
          <w:bCs/>
        </w:rPr>
        <w:t>2027 Better Buying Institute Teaching Innovation Award</w:t>
      </w:r>
      <w:r>
        <w:t xml:space="preserve"> seeks submissions that introduce students to the complexities of apparel supply chains and help them develop the knowledge and skills needed to promote greater transparency and accountability in industry practices. Teaching strategies may include, but are not limited to:</w:t>
      </w:r>
    </w:p>
    <w:p w14:paraId="34F8CA9A" w14:textId="77777777" w:rsidR="00B90E40" w:rsidRPr="00B90E40" w:rsidRDefault="00B90E40" w:rsidP="00B90E40">
      <w:pPr>
        <w:numPr>
          <w:ilvl w:val="0"/>
          <w:numId w:val="10"/>
        </w:numPr>
      </w:pPr>
      <w:r w:rsidRPr="00B90E40">
        <w:t>Classroom activities examining sourcing decisions and supplier relationships</w:t>
      </w:r>
    </w:p>
    <w:p w14:paraId="47813EA0" w14:textId="0B8C3CBA" w:rsidR="00B90E40" w:rsidRPr="00857133" w:rsidRDefault="00B90E40" w:rsidP="00B90E40">
      <w:pPr>
        <w:numPr>
          <w:ilvl w:val="0"/>
          <w:numId w:val="10"/>
        </w:numPr>
      </w:pPr>
      <w:r w:rsidRPr="00B90E40">
        <w:t>Case studies analyzin</w:t>
      </w:r>
      <w:r w:rsidRPr="00857133">
        <w:t xml:space="preserve">g brand transparency </w:t>
      </w:r>
      <w:r w:rsidR="00CD2467" w:rsidRPr="00857133">
        <w:t>related to purchasing</w:t>
      </w:r>
      <w:r w:rsidRPr="00857133">
        <w:t xml:space="preserve"> practices</w:t>
      </w:r>
    </w:p>
    <w:p w14:paraId="444C614F" w14:textId="77777777" w:rsidR="00B90E40" w:rsidRPr="00B90E40" w:rsidRDefault="00B90E40" w:rsidP="00B90E40">
      <w:pPr>
        <w:numPr>
          <w:ilvl w:val="0"/>
          <w:numId w:val="10"/>
        </w:numPr>
      </w:pPr>
      <w:r w:rsidRPr="00B90E40">
        <w:t xml:space="preserve">Simulations that evaluate purchasing decisions and their </w:t>
      </w:r>
      <w:proofErr w:type="gramStart"/>
      <w:r w:rsidRPr="00B90E40">
        <w:t>impacts</w:t>
      </w:r>
      <w:proofErr w:type="gramEnd"/>
      <w:r w:rsidRPr="00B90E40">
        <w:t xml:space="preserve"> on suppliers</w:t>
      </w:r>
    </w:p>
    <w:p w14:paraId="413DDDBB" w14:textId="77777777" w:rsidR="00B90E40" w:rsidRPr="00B90E40" w:rsidRDefault="00B90E40" w:rsidP="00B90E40">
      <w:pPr>
        <w:numPr>
          <w:ilvl w:val="0"/>
          <w:numId w:val="10"/>
        </w:numPr>
      </w:pPr>
      <w:r w:rsidRPr="00B90E40">
        <w:t>Projects exploring ethical sourcing, responsible pricing, or supply chain governance</w:t>
      </w:r>
    </w:p>
    <w:p w14:paraId="7D701417" w14:textId="77777777" w:rsidR="00B90E40" w:rsidRPr="00B90E40" w:rsidRDefault="00B90E40" w:rsidP="00B90E40">
      <w:pPr>
        <w:numPr>
          <w:ilvl w:val="0"/>
          <w:numId w:val="10"/>
        </w:numPr>
      </w:pPr>
      <w:r w:rsidRPr="00B90E40">
        <w:t>Teaching approaches connecting purchasing practices with labor conditions, sustainability goals, or regulatory compliance</w:t>
      </w:r>
    </w:p>
    <w:p w14:paraId="4FBFA94B" w14:textId="77777777" w:rsidR="00B90E40" w:rsidRPr="00B90E40" w:rsidRDefault="00B90E40" w:rsidP="00B90E40">
      <w:r w:rsidRPr="00B90E40">
        <w:t>Through innovative teaching approaches, educators can help prepare the next generation of apparel professionals to engage with supply chain challenges and contribute to more responsible and transparent industry practices.</w:t>
      </w:r>
    </w:p>
    <w:p w14:paraId="06CE94AA" w14:textId="77777777" w:rsidR="00B90E40" w:rsidRPr="00B90E40" w:rsidRDefault="00714E60" w:rsidP="00B90E40">
      <w:r>
        <w:pict w14:anchorId="44A17320">
          <v:rect id="_x0000_i1027" style="width:0;height:1.5pt" o:hralign="center" o:hrstd="t" o:hr="t" fillcolor="#a0a0a0" stroked="f"/>
        </w:pict>
      </w:r>
    </w:p>
    <w:p w14:paraId="3E29FF3F" w14:textId="77777777" w:rsidR="00B90E40" w:rsidRPr="00B90E40" w:rsidRDefault="00B90E40" w:rsidP="00B90E40">
      <w:pPr>
        <w:rPr>
          <w:b/>
          <w:bCs/>
        </w:rPr>
      </w:pPr>
      <w:r w:rsidRPr="00B90E40">
        <w:rPr>
          <w:b/>
          <w:bCs/>
        </w:rPr>
        <w:t>References</w:t>
      </w:r>
    </w:p>
    <w:p w14:paraId="1364BE59" w14:textId="2979665E" w:rsidR="00156C23" w:rsidRDefault="00156C23" w:rsidP="00B90E40">
      <w:r w:rsidRPr="00156C23">
        <w:t xml:space="preserve">Better Buying Institute. (2025). Better Buying Partnership Index Report 2025. </w:t>
      </w:r>
      <w:hyperlink r:id="rId5" w:history="1">
        <w:r w:rsidRPr="00504887">
          <w:rPr>
            <w:rStyle w:val="Hyperlink"/>
          </w:rPr>
          <w:t>https://cascale.org/wp-content/uploads/2025/02/BBPI-Report-2025.pdf</w:t>
        </w:r>
      </w:hyperlink>
    </w:p>
    <w:p w14:paraId="6C31E448" w14:textId="14080998" w:rsidR="00B90E40" w:rsidRPr="00B90E40" w:rsidRDefault="00B90E40" w:rsidP="00B90E40">
      <w:r w:rsidRPr="00B90E40">
        <w:lastRenderedPageBreak/>
        <w:t xml:space="preserve">European Commission. (2024). </w:t>
      </w:r>
      <w:r w:rsidRPr="00B90E40">
        <w:rPr>
          <w:i/>
          <w:iCs/>
        </w:rPr>
        <w:t>Corporate sustainability due diligence.</w:t>
      </w:r>
      <w:r w:rsidRPr="00B90E40">
        <w:br/>
      </w:r>
      <w:hyperlink r:id="rId6" w:history="1">
        <w:r w:rsidRPr="00B90E40">
          <w:rPr>
            <w:rStyle w:val="Hyperlink"/>
          </w:rPr>
          <w:t>https://commission.europa.eu/business-economy-euro/doing-business-eu/sustainability-due-diligence-responsible-business/corporate-sustainability-due-diligence_en</w:t>
        </w:r>
      </w:hyperlink>
    </w:p>
    <w:p w14:paraId="510F9A89" w14:textId="77777777" w:rsidR="00B90E40" w:rsidRPr="00B90E40" w:rsidRDefault="00714E60" w:rsidP="00B90E40">
      <w:r>
        <w:pict w14:anchorId="00CA6FC4">
          <v:rect id="_x0000_i1028" style="width:0;height:1.5pt" o:hralign="center" o:hrstd="t" o:hr="t" fillcolor="#a0a0a0" stroked="f"/>
        </w:pict>
      </w:r>
    </w:p>
    <w:p w14:paraId="5EA867B0" w14:textId="77777777" w:rsidR="00B90E40" w:rsidRPr="00B90E40" w:rsidRDefault="00B90E40" w:rsidP="00B90E40">
      <w:pPr>
        <w:rPr>
          <w:b/>
          <w:bCs/>
        </w:rPr>
      </w:pPr>
      <w:r w:rsidRPr="00B90E40">
        <w:rPr>
          <w:b/>
          <w:bCs/>
        </w:rPr>
        <w:t>Submission Eligibility</w:t>
      </w:r>
    </w:p>
    <w:p w14:paraId="7D9EB6AE" w14:textId="77777777" w:rsidR="00B90E40" w:rsidRPr="00B90E40" w:rsidRDefault="00B90E40" w:rsidP="00B90E40">
      <w:r w:rsidRPr="00B90E40">
        <w:t xml:space="preserve">Only </w:t>
      </w:r>
      <w:r w:rsidRPr="00B90E40">
        <w:rPr>
          <w:b/>
          <w:bCs/>
        </w:rPr>
        <w:t>ITAA members</w:t>
      </w:r>
      <w:r w:rsidRPr="00B90E40">
        <w:t xml:space="preserve"> are qualified to submit papers to the Better Buying Institute Teaching Innovation Award competition.</w:t>
      </w:r>
    </w:p>
    <w:p w14:paraId="4CD3390E" w14:textId="77777777" w:rsidR="00B90E40" w:rsidRPr="00B90E40" w:rsidRDefault="00B90E40" w:rsidP="00B90E40">
      <w:r w:rsidRPr="00B90E40">
        <w:t xml:space="preserve">Instructional materials for the teaching strategy must have been </w:t>
      </w:r>
      <w:r w:rsidRPr="00B90E40">
        <w:rPr>
          <w:b/>
          <w:bCs/>
        </w:rPr>
        <w:t>developed for, and delivered in, textile and apparel or related undergraduate or graduate courses at a post-secondary institution</w:t>
      </w:r>
      <w:r w:rsidRPr="00B90E40">
        <w:t>. Submissions may not have been previously published elsewhere. Author(s) must be the original developer(s) of the submitted teaching strategy.</w:t>
      </w:r>
    </w:p>
    <w:p w14:paraId="5E40B410" w14:textId="77777777" w:rsidR="00B90E40" w:rsidRPr="00B90E40" w:rsidRDefault="0633C1A7" w:rsidP="00B90E40">
      <w:r>
        <w:t xml:space="preserve">Submissions will be accepted from instructors working independently as well as from faculty members who have worked collaboratively to develop the teaching strategy. This award is also open to </w:t>
      </w:r>
      <w:r w:rsidRPr="0633C1A7">
        <w:rPr>
          <w:b/>
          <w:bCs/>
        </w:rPr>
        <w:t>graduate students</w:t>
      </w:r>
      <w:r>
        <w:t>.</w:t>
      </w:r>
    </w:p>
    <w:p w14:paraId="7348ABD1" w14:textId="77777777" w:rsidR="00B90E40" w:rsidRPr="00B90E40" w:rsidRDefault="00B90E40" w:rsidP="00B90E40">
      <w:r w:rsidRPr="00B90E40">
        <w:t xml:space="preserve">The submitting author must be a current ITAA member. Submissions will be </w:t>
      </w:r>
      <w:r w:rsidRPr="00B90E40">
        <w:rPr>
          <w:b/>
          <w:bCs/>
        </w:rPr>
        <w:t>double-blind reviewed</w:t>
      </w:r>
      <w:r w:rsidRPr="00B90E40">
        <w:t xml:space="preserve"> under the supervision of the Chair of the Teaching Innovation and Resources Committee.</w:t>
      </w:r>
    </w:p>
    <w:p w14:paraId="45F4613E" w14:textId="77777777" w:rsidR="00B90E40" w:rsidRPr="00B90E40" w:rsidRDefault="00B90E40" w:rsidP="00B90E40">
      <w:r w:rsidRPr="00B90E40">
        <w:t xml:space="preserve">All submitted papers that include assessment data must have </w:t>
      </w:r>
      <w:r w:rsidRPr="00B90E40">
        <w:rPr>
          <w:b/>
          <w:bCs/>
        </w:rPr>
        <w:t>approval by a university’s institutional review board (IRB)</w:t>
      </w:r>
      <w:r w:rsidRPr="00B90E40">
        <w:t xml:space="preserve"> for human subjects.</w:t>
      </w:r>
    </w:p>
    <w:p w14:paraId="4B436C27" w14:textId="77777777" w:rsidR="00B90E40" w:rsidRPr="00B90E40" w:rsidRDefault="00714E60" w:rsidP="00B90E40">
      <w:r>
        <w:pict w14:anchorId="712E5D36">
          <v:rect id="_x0000_i1029" style="width:0;height:1.5pt" o:hralign="center" o:hrstd="t" o:hr="t" fillcolor="#a0a0a0" stroked="f"/>
        </w:pict>
      </w:r>
    </w:p>
    <w:p w14:paraId="7498EBD5" w14:textId="77777777" w:rsidR="00B90E40" w:rsidRPr="00B90E40" w:rsidRDefault="00B90E40" w:rsidP="00B90E40">
      <w:pPr>
        <w:rPr>
          <w:b/>
          <w:bCs/>
        </w:rPr>
      </w:pPr>
      <w:r w:rsidRPr="00B90E40">
        <w:rPr>
          <w:b/>
          <w:bCs/>
        </w:rPr>
        <w:t>Submission Guidelines</w:t>
      </w:r>
    </w:p>
    <w:p w14:paraId="299C3827" w14:textId="1B4A1414" w:rsidR="00B90E40" w:rsidRPr="00B90E40" w:rsidRDefault="00B90E40" w:rsidP="00B90E40">
      <w:r w:rsidRPr="00B90E40">
        <w:t xml:space="preserve">All submissions must be in </w:t>
      </w:r>
      <w:r w:rsidRPr="00B90E40">
        <w:rPr>
          <w:b/>
          <w:bCs/>
        </w:rPr>
        <w:t>PDF format</w:t>
      </w:r>
      <w:r w:rsidRPr="00B90E40">
        <w:t xml:space="preserve">. Prepare </w:t>
      </w:r>
      <w:r w:rsidR="00EF2BD0">
        <w:t>the submission</w:t>
      </w:r>
      <w:r w:rsidR="00EF2BD0" w:rsidRPr="00B90E40">
        <w:t xml:space="preserve"> </w:t>
      </w:r>
      <w:r w:rsidRPr="00B90E40">
        <w:t>file as follows:</w:t>
      </w:r>
    </w:p>
    <w:p w14:paraId="1B13E30E" w14:textId="5F0ACF3C" w:rsidR="00B90E40" w:rsidRPr="00B90E40" w:rsidRDefault="00B90E40" w:rsidP="00B90E40">
      <w:r w:rsidRPr="00B90E40">
        <w:t>File name format:</w:t>
      </w:r>
      <w:r w:rsidRPr="00B90E40">
        <w:br/>
      </w:r>
      <w:proofErr w:type="spellStart"/>
      <w:r w:rsidRPr="00B90E40">
        <w:t>AbbreviatedTitle_BBIAward</w:t>
      </w:r>
      <w:proofErr w:type="spellEnd"/>
    </w:p>
    <w:p w14:paraId="64FA4D27" w14:textId="77777777" w:rsidR="00B90E40" w:rsidRPr="00B90E40" w:rsidRDefault="00B90E40" w:rsidP="00B90E40">
      <w:r w:rsidRPr="00B90E40">
        <w:t xml:space="preserve">This file must contain </w:t>
      </w:r>
      <w:r w:rsidRPr="00B90E40">
        <w:rPr>
          <w:b/>
          <w:bCs/>
        </w:rPr>
        <w:t>no identifiable author information</w:t>
      </w:r>
      <w:r w:rsidRPr="00B90E40">
        <w:t xml:space="preserve"> to ensure blind review.</w:t>
      </w:r>
    </w:p>
    <w:p w14:paraId="716EAC6E" w14:textId="77777777" w:rsidR="00B90E40" w:rsidRPr="00B90E40" w:rsidRDefault="00B90E40" w:rsidP="00B90E40">
      <w:r w:rsidRPr="00B90E40">
        <w:t xml:space="preserve">File size may not exceed </w:t>
      </w:r>
      <w:r w:rsidRPr="00B90E40">
        <w:rPr>
          <w:b/>
          <w:bCs/>
        </w:rPr>
        <w:t>10 MB</w:t>
      </w:r>
      <w:r w:rsidRPr="00B90E40">
        <w:t>.</w:t>
      </w:r>
    </w:p>
    <w:p w14:paraId="3DD9DAF1" w14:textId="77777777" w:rsidR="00B90E40" w:rsidRPr="00B90E40" w:rsidRDefault="00B90E40" w:rsidP="00B90E40">
      <w:r w:rsidRPr="00B90E40">
        <w:t>Submission should include:</w:t>
      </w:r>
    </w:p>
    <w:p w14:paraId="69B12770" w14:textId="16181192" w:rsidR="00B90E40" w:rsidRPr="00B90E40" w:rsidRDefault="00B90E40" w:rsidP="00B90E40">
      <w:pPr>
        <w:numPr>
          <w:ilvl w:val="0"/>
          <w:numId w:val="11"/>
        </w:numPr>
      </w:pPr>
      <w:r w:rsidRPr="00B90E40">
        <w:t xml:space="preserve">Title page containing </w:t>
      </w:r>
      <w:r w:rsidRPr="00B90E40">
        <w:rPr>
          <w:b/>
          <w:bCs/>
        </w:rPr>
        <w:t>title and keywords only</w:t>
      </w:r>
    </w:p>
    <w:p w14:paraId="4C42F65D" w14:textId="77777777" w:rsidR="00B90E40" w:rsidRPr="00B90E40" w:rsidRDefault="00B90E40" w:rsidP="00B90E40">
      <w:pPr>
        <w:numPr>
          <w:ilvl w:val="0"/>
          <w:numId w:val="11"/>
        </w:numPr>
      </w:pPr>
      <w:r w:rsidRPr="00B90E40">
        <w:t xml:space="preserve">Abstract (maximum </w:t>
      </w:r>
      <w:r w:rsidRPr="00B90E40">
        <w:rPr>
          <w:b/>
          <w:bCs/>
        </w:rPr>
        <w:t>150 words</w:t>
      </w:r>
      <w:r w:rsidRPr="00B90E40">
        <w:t>)</w:t>
      </w:r>
    </w:p>
    <w:p w14:paraId="3FF21F3C" w14:textId="77777777" w:rsidR="00B90E40" w:rsidRPr="00B90E40" w:rsidRDefault="00B90E40" w:rsidP="00B90E40">
      <w:pPr>
        <w:numPr>
          <w:ilvl w:val="0"/>
          <w:numId w:val="11"/>
        </w:numPr>
      </w:pPr>
      <w:r w:rsidRPr="00B90E40">
        <w:t xml:space="preserve">Full paper using </w:t>
      </w:r>
      <w:r w:rsidRPr="00B90E40">
        <w:rPr>
          <w:b/>
          <w:bCs/>
        </w:rPr>
        <w:t>APA 7th edition style</w:t>
      </w:r>
    </w:p>
    <w:p w14:paraId="46A50548" w14:textId="77777777" w:rsidR="00B90E40" w:rsidRPr="00B90E40" w:rsidRDefault="00B90E40" w:rsidP="00B90E40">
      <w:r w:rsidRPr="00B90E40">
        <w:lastRenderedPageBreak/>
        <w:t>Formatting requirements:</w:t>
      </w:r>
    </w:p>
    <w:p w14:paraId="43C875BF" w14:textId="77777777" w:rsidR="00B90E40" w:rsidRPr="00B90E40" w:rsidRDefault="00B90E40" w:rsidP="00B90E40">
      <w:pPr>
        <w:numPr>
          <w:ilvl w:val="0"/>
          <w:numId w:val="12"/>
        </w:numPr>
      </w:pPr>
      <w:r w:rsidRPr="00B90E40">
        <w:t>Calibri, font size 12</w:t>
      </w:r>
    </w:p>
    <w:p w14:paraId="7C59EB03" w14:textId="77777777" w:rsidR="00B90E40" w:rsidRPr="00B90E40" w:rsidRDefault="00B90E40" w:rsidP="00B90E40">
      <w:pPr>
        <w:numPr>
          <w:ilvl w:val="0"/>
          <w:numId w:val="12"/>
        </w:numPr>
      </w:pPr>
      <w:r w:rsidRPr="00B90E40">
        <w:t xml:space="preserve">Narrative portion up to </w:t>
      </w:r>
      <w:r w:rsidRPr="00B90E40">
        <w:rPr>
          <w:b/>
          <w:bCs/>
        </w:rPr>
        <w:t>20 double-spaced pages</w:t>
      </w:r>
    </w:p>
    <w:p w14:paraId="2099CEFF" w14:textId="77777777" w:rsidR="00B90E40" w:rsidRPr="00B90E40" w:rsidRDefault="00B90E40" w:rsidP="00B90E40">
      <w:pPr>
        <w:numPr>
          <w:ilvl w:val="0"/>
          <w:numId w:val="12"/>
        </w:numPr>
      </w:pPr>
      <w:r w:rsidRPr="00B90E40">
        <w:t xml:space="preserve">Full paper (including abstract, graphics, and references) up to </w:t>
      </w:r>
      <w:r w:rsidRPr="00B90E40">
        <w:rPr>
          <w:b/>
          <w:bCs/>
        </w:rPr>
        <w:t>30 pages</w:t>
      </w:r>
    </w:p>
    <w:p w14:paraId="47A6DEAF" w14:textId="77777777" w:rsidR="00B90E40" w:rsidRPr="00B90E40" w:rsidRDefault="00B90E40" w:rsidP="00B90E40">
      <w:r w:rsidRPr="00B90E40">
        <w:t>Project description should include:</w:t>
      </w:r>
    </w:p>
    <w:p w14:paraId="67B9B571" w14:textId="77777777" w:rsidR="00B90E40" w:rsidRPr="00B90E40" w:rsidRDefault="00B90E40" w:rsidP="00B90E40">
      <w:r w:rsidRPr="00B90E40">
        <w:rPr>
          <w:b/>
          <w:bCs/>
        </w:rPr>
        <w:t>Introduction</w:t>
      </w:r>
    </w:p>
    <w:p w14:paraId="5A729008" w14:textId="77777777" w:rsidR="00B90E40" w:rsidRPr="00B90E40" w:rsidRDefault="00B90E40" w:rsidP="00B90E40">
      <w:pPr>
        <w:numPr>
          <w:ilvl w:val="0"/>
          <w:numId w:val="13"/>
        </w:numPr>
      </w:pPr>
      <w:r w:rsidRPr="00B90E40">
        <w:t>Course(s) for which this activity is appropriate</w:t>
      </w:r>
    </w:p>
    <w:p w14:paraId="780C76E4" w14:textId="77777777" w:rsidR="00B90E40" w:rsidRPr="00B90E40" w:rsidRDefault="00B90E40" w:rsidP="00B90E40">
      <w:pPr>
        <w:numPr>
          <w:ilvl w:val="0"/>
          <w:numId w:val="13"/>
        </w:numPr>
      </w:pPr>
      <w:r w:rsidRPr="00B90E40">
        <w:t>Placement of the course in the curriculum</w:t>
      </w:r>
    </w:p>
    <w:p w14:paraId="113A0FED" w14:textId="77777777" w:rsidR="00B90E40" w:rsidRPr="00B90E40" w:rsidRDefault="00B90E40" w:rsidP="00B90E40">
      <w:pPr>
        <w:numPr>
          <w:ilvl w:val="0"/>
          <w:numId w:val="13"/>
        </w:numPr>
      </w:pPr>
      <w:r w:rsidRPr="00B90E40">
        <w:t>Instructor and students’ knowledge/skills required</w:t>
      </w:r>
    </w:p>
    <w:p w14:paraId="7B81BDC0" w14:textId="77777777" w:rsidR="00B90E40" w:rsidRPr="00B90E40" w:rsidRDefault="00B90E40" w:rsidP="00B90E40">
      <w:pPr>
        <w:numPr>
          <w:ilvl w:val="0"/>
          <w:numId w:val="13"/>
        </w:numPr>
      </w:pPr>
      <w:r w:rsidRPr="00B90E40">
        <w:t>Recommended format (in-class activity, homework, group project, online activity, etc.)</w:t>
      </w:r>
    </w:p>
    <w:p w14:paraId="3B5979F8" w14:textId="77777777" w:rsidR="00B90E40" w:rsidRPr="00B90E40" w:rsidRDefault="00B90E40" w:rsidP="00B90E40">
      <w:r w:rsidRPr="00B90E40">
        <w:rPr>
          <w:b/>
          <w:bCs/>
        </w:rPr>
        <w:t>Activity Description</w:t>
      </w:r>
    </w:p>
    <w:p w14:paraId="72A8E573" w14:textId="77777777" w:rsidR="00B90E40" w:rsidRPr="00B90E40" w:rsidRDefault="00B90E40" w:rsidP="00B90E40">
      <w:pPr>
        <w:numPr>
          <w:ilvl w:val="0"/>
          <w:numId w:val="14"/>
        </w:numPr>
      </w:pPr>
      <w:r w:rsidRPr="00B90E40">
        <w:t>Explanation of how the theme is integrated into the activity</w:t>
      </w:r>
    </w:p>
    <w:p w14:paraId="54775C1F" w14:textId="77777777" w:rsidR="00B90E40" w:rsidRPr="00B90E40" w:rsidRDefault="00B90E40" w:rsidP="00B90E40">
      <w:pPr>
        <w:numPr>
          <w:ilvl w:val="0"/>
          <w:numId w:val="14"/>
        </w:numPr>
      </w:pPr>
      <w:r w:rsidRPr="00B90E40">
        <w:t>Learning objectives</w:t>
      </w:r>
    </w:p>
    <w:p w14:paraId="0215E81C" w14:textId="77777777" w:rsidR="00B90E40" w:rsidRPr="00B90E40" w:rsidRDefault="00B90E40" w:rsidP="00B90E40">
      <w:pPr>
        <w:numPr>
          <w:ilvl w:val="0"/>
          <w:numId w:val="14"/>
        </w:numPr>
      </w:pPr>
      <w:r w:rsidRPr="00B90E40">
        <w:t>Direct and indirect assessment tools</w:t>
      </w:r>
    </w:p>
    <w:p w14:paraId="1D761B4B" w14:textId="77777777" w:rsidR="00B90E40" w:rsidRPr="00B90E40" w:rsidRDefault="00B90E40" w:rsidP="00B90E40">
      <w:pPr>
        <w:numPr>
          <w:ilvl w:val="0"/>
          <w:numId w:val="14"/>
        </w:numPr>
      </w:pPr>
      <w:r w:rsidRPr="00B90E40">
        <w:t>Directions and resources needed to complete the activity</w:t>
      </w:r>
    </w:p>
    <w:p w14:paraId="5701CAAA" w14:textId="77777777" w:rsidR="00B90E40" w:rsidRPr="00B90E40" w:rsidRDefault="00B90E40" w:rsidP="00B90E40">
      <w:pPr>
        <w:numPr>
          <w:ilvl w:val="0"/>
          <w:numId w:val="14"/>
        </w:numPr>
      </w:pPr>
      <w:r w:rsidRPr="00B90E40">
        <w:t>Evaluation process</w:t>
      </w:r>
    </w:p>
    <w:p w14:paraId="7AC8B1FF" w14:textId="77777777" w:rsidR="00B90E40" w:rsidRPr="00B90E40" w:rsidRDefault="00B90E40" w:rsidP="00B90E40">
      <w:r w:rsidRPr="00B90E40">
        <w:rPr>
          <w:b/>
          <w:bCs/>
        </w:rPr>
        <w:t>Conclusion</w:t>
      </w:r>
    </w:p>
    <w:p w14:paraId="00618677" w14:textId="77777777" w:rsidR="00B90E40" w:rsidRPr="00B90E40" w:rsidRDefault="00B90E40" w:rsidP="00B90E40">
      <w:pPr>
        <w:numPr>
          <w:ilvl w:val="0"/>
          <w:numId w:val="15"/>
        </w:numPr>
      </w:pPr>
      <w:r w:rsidRPr="00B90E40">
        <w:t>Number of times the activity has been delivered</w:t>
      </w:r>
    </w:p>
    <w:p w14:paraId="38703C67" w14:textId="77777777" w:rsidR="00B90E40" w:rsidRPr="00B90E40" w:rsidRDefault="00B90E40" w:rsidP="00B90E40">
      <w:pPr>
        <w:numPr>
          <w:ilvl w:val="0"/>
          <w:numId w:val="15"/>
        </w:numPr>
      </w:pPr>
      <w:r w:rsidRPr="00B90E40">
        <w:t>Changes made to the activity (if any) and rationale</w:t>
      </w:r>
    </w:p>
    <w:p w14:paraId="44CA0599" w14:textId="77777777" w:rsidR="00B90E40" w:rsidRPr="00B90E40" w:rsidRDefault="00B90E40" w:rsidP="00B90E40">
      <w:pPr>
        <w:numPr>
          <w:ilvl w:val="0"/>
          <w:numId w:val="15"/>
        </w:numPr>
      </w:pPr>
      <w:r w:rsidRPr="00B90E40">
        <w:t>Assessment of learning outcomes (student reflections or quotes encouraged)</w:t>
      </w:r>
    </w:p>
    <w:p w14:paraId="1545A011" w14:textId="77777777" w:rsidR="00B90E40" w:rsidRDefault="00B90E40" w:rsidP="00B90E40">
      <w:pPr>
        <w:numPr>
          <w:ilvl w:val="0"/>
          <w:numId w:val="15"/>
        </w:numPr>
      </w:pPr>
      <w:r w:rsidRPr="00B90E40">
        <w:t>Recommendations, advantages, and limitations of using the activity</w:t>
      </w:r>
    </w:p>
    <w:p w14:paraId="27A39856" w14:textId="106CD9E1" w:rsidR="00B04030" w:rsidRDefault="00845E45" w:rsidP="00B04030">
      <w:pPr>
        <w:rPr>
          <w:b/>
          <w:bCs/>
        </w:rPr>
      </w:pPr>
      <w:r w:rsidRPr="007F3E1F">
        <w:rPr>
          <w:b/>
          <w:bCs/>
        </w:rPr>
        <w:t xml:space="preserve">Institutional Review </w:t>
      </w:r>
      <w:r w:rsidR="00396037">
        <w:rPr>
          <w:b/>
          <w:bCs/>
        </w:rPr>
        <w:t xml:space="preserve">Board (IRB) </w:t>
      </w:r>
      <w:r w:rsidRPr="007F3E1F">
        <w:rPr>
          <w:b/>
          <w:bCs/>
        </w:rPr>
        <w:t>Approval</w:t>
      </w:r>
    </w:p>
    <w:p w14:paraId="1ECD1542" w14:textId="0FFE5971" w:rsidR="00641C83" w:rsidRDefault="00641C83" w:rsidP="00641C83">
      <w:r>
        <w:t xml:space="preserve">For studies involving human </w:t>
      </w:r>
      <w:r w:rsidR="001B0694">
        <w:t>subjects’</w:t>
      </w:r>
      <w:r>
        <w:t xml:space="preserve"> data, authors must include a statement confirming that Institutional Review Board (IRB) approval was obtained and that appropriate ethical guidelines were followed.</w:t>
      </w:r>
    </w:p>
    <w:p w14:paraId="08E00973" w14:textId="0EB20B44" w:rsidR="00B90E40" w:rsidRPr="00B90E40" w:rsidRDefault="00641C83" w:rsidP="00B90E40">
      <w:r>
        <w:lastRenderedPageBreak/>
        <w:t>If IRB approval was not required, this should be clearly stated.</w:t>
      </w:r>
      <w:r w:rsidR="00714E60">
        <w:pict w14:anchorId="4EFD4D0A">
          <v:rect id="_x0000_i1032" style="width:0;height:1.5pt" o:hralign="center" o:hrstd="t" o:hr="t" fillcolor="#a0a0a0" stroked="f"/>
        </w:pict>
      </w:r>
    </w:p>
    <w:p w14:paraId="15D73A8D" w14:textId="77777777" w:rsidR="00B90E40" w:rsidRPr="00B90E40" w:rsidRDefault="00B90E40" w:rsidP="00B90E40">
      <w:pPr>
        <w:rPr>
          <w:b/>
          <w:bCs/>
        </w:rPr>
      </w:pPr>
      <w:r w:rsidRPr="00B90E40">
        <w:rPr>
          <w:b/>
          <w:bCs/>
        </w:rPr>
        <w:t>Online Submission</w:t>
      </w:r>
    </w:p>
    <w:p w14:paraId="7CEDE86B" w14:textId="77777777" w:rsidR="00B90E40" w:rsidRPr="00B90E40" w:rsidRDefault="00B90E40" w:rsidP="00B90E40">
      <w:r w:rsidRPr="00B90E40">
        <w:t xml:space="preserve">Submissions are due by </w:t>
      </w:r>
      <w:r w:rsidRPr="00B90E40">
        <w:rPr>
          <w:b/>
          <w:bCs/>
        </w:rPr>
        <w:t>April 1, 2027</w:t>
      </w:r>
      <w:r w:rsidRPr="00B90E40">
        <w:t>.</w:t>
      </w:r>
    </w:p>
    <w:p w14:paraId="4DFA4FB9" w14:textId="77777777" w:rsidR="00B90E40" w:rsidRPr="00B90E40" w:rsidRDefault="00B90E40" w:rsidP="00B90E40">
      <w:r w:rsidRPr="00B90E40">
        <w:t xml:space="preserve">Submit your proposal using the </w:t>
      </w:r>
      <w:r w:rsidRPr="00B90E40">
        <w:rPr>
          <w:b/>
          <w:bCs/>
        </w:rPr>
        <w:t>Oxford Abstracts submission link</w:t>
      </w:r>
      <w:r w:rsidRPr="00B90E40">
        <w:t>, which will be announced in the ITAA member newsletter prior to the submission opening date.</w:t>
      </w:r>
    </w:p>
    <w:p w14:paraId="16D159FB" w14:textId="77777777" w:rsidR="00B90E40" w:rsidRPr="00B90E40" w:rsidRDefault="00B90E40" w:rsidP="00B90E40">
      <w:r w:rsidRPr="00B90E40">
        <w:t xml:space="preserve">Submitted papers will be </w:t>
      </w:r>
      <w:r w:rsidRPr="00B90E40">
        <w:rPr>
          <w:b/>
          <w:bCs/>
        </w:rPr>
        <w:t>double-blind reviewed</w:t>
      </w:r>
      <w:r w:rsidRPr="00B90E40">
        <w:t xml:space="preserve"> by the Teaching Innovation and Resources Committee.</w:t>
      </w:r>
    </w:p>
    <w:p w14:paraId="7875A9A1" w14:textId="77777777" w:rsidR="00B90E40" w:rsidRPr="00B90E40" w:rsidRDefault="00B90E40" w:rsidP="00B90E40">
      <w:r w:rsidRPr="00B90E40">
        <w:t>Award stipends will be:</w:t>
      </w:r>
    </w:p>
    <w:p w14:paraId="54F96F36" w14:textId="77777777" w:rsidR="00B90E40" w:rsidRPr="00B90E40" w:rsidRDefault="00B90E40" w:rsidP="00B90E40">
      <w:pPr>
        <w:numPr>
          <w:ilvl w:val="0"/>
          <w:numId w:val="16"/>
        </w:numPr>
      </w:pPr>
      <w:r w:rsidRPr="00B90E40">
        <w:rPr>
          <w:b/>
          <w:bCs/>
        </w:rPr>
        <w:t>First place:</w:t>
      </w:r>
      <w:r w:rsidRPr="00B90E40">
        <w:t xml:space="preserve"> $2000</w:t>
      </w:r>
    </w:p>
    <w:p w14:paraId="002C4FD9" w14:textId="77777777" w:rsidR="00B90E40" w:rsidRPr="00B90E40" w:rsidRDefault="00B90E40" w:rsidP="00B90E40">
      <w:pPr>
        <w:numPr>
          <w:ilvl w:val="0"/>
          <w:numId w:val="16"/>
        </w:numPr>
      </w:pPr>
      <w:r w:rsidRPr="00B90E40">
        <w:rPr>
          <w:b/>
          <w:bCs/>
        </w:rPr>
        <w:t>Second place:</w:t>
      </w:r>
      <w:r w:rsidRPr="00B90E40">
        <w:t xml:space="preserve"> $1000</w:t>
      </w:r>
    </w:p>
    <w:p w14:paraId="3EFFFA85" w14:textId="77777777" w:rsidR="00B90E40" w:rsidRPr="00B90E40" w:rsidRDefault="00B90E40" w:rsidP="00B90E40">
      <w:pPr>
        <w:numPr>
          <w:ilvl w:val="0"/>
          <w:numId w:val="16"/>
        </w:numPr>
      </w:pPr>
      <w:r w:rsidRPr="00B90E40">
        <w:rPr>
          <w:b/>
          <w:bCs/>
        </w:rPr>
        <w:t>Third place:</w:t>
      </w:r>
      <w:r w:rsidRPr="00B90E40">
        <w:t xml:space="preserve"> $600</w:t>
      </w:r>
    </w:p>
    <w:p w14:paraId="7D3A8D1E" w14:textId="77777777" w:rsidR="00B90E40" w:rsidRPr="00B90E40" w:rsidRDefault="00B90E40" w:rsidP="00B90E40">
      <w:pPr>
        <w:numPr>
          <w:ilvl w:val="0"/>
          <w:numId w:val="16"/>
        </w:numPr>
      </w:pPr>
      <w:r w:rsidRPr="00B90E40">
        <w:rPr>
          <w:b/>
          <w:bCs/>
        </w:rPr>
        <w:t>Fourth place:</w:t>
      </w:r>
      <w:r w:rsidRPr="00B90E40">
        <w:t xml:space="preserve"> $400</w:t>
      </w:r>
    </w:p>
    <w:p w14:paraId="4A44A717" w14:textId="77777777" w:rsidR="00B90E40" w:rsidRPr="00B90E40" w:rsidRDefault="00B90E40" w:rsidP="00B90E40">
      <w:r w:rsidRPr="00B90E40">
        <w:t>Authors will be notified of review outcomes by email.</w:t>
      </w:r>
    </w:p>
    <w:p w14:paraId="592BEE9A" w14:textId="1C83BD4C" w:rsidR="00642020" w:rsidRDefault="400FD96B">
      <w:r>
        <w:t xml:space="preserve">Accepted papers will be presented as </w:t>
      </w:r>
      <w:r w:rsidRPr="400FD96B">
        <w:rPr>
          <w:b/>
          <w:bCs/>
        </w:rPr>
        <w:t>oral presentations at the ITAA Conference</w:t>
      </w:r>
      <w:r>
        <w:t xml:space="preserve">, and authors will receive instructions for uploading the final proceedings paper to the </w:t>
      </w:r>
      <w:r w:rsidRPr="400FD96B">
        <w:rPr>
          <w:b/>
          <w:bCs/>
        </w:rPr>
        <w:t>ISU Digital Repository</w:t>
      </w:r>
      <w:r>
        <w:t xml:space="preserve"> following the conference.</w:t>
      </w:r>
    </w:p>
    <w:sectPr w:rsidR="006420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15A2"/>
    <w:multiLevelType w:val="multilevel"/>
    <w:tmpl w:val="19A6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264ED"/>
    <w:multiLevelType w:val="multilevel"/>
    <w:tmpl w:val="62D6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15888"/>
    <w:multiLevelType w:val="multilevel"/>
    <w:tmpl w:val="58B0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646A15"/>
    <w:multiLevelType w:val="multilevel"/>
    <w:tmpl w:val="F14A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615C4D"/>
    <w:multiLevelType w:val="multilevel"/>
    <w:tmpl w:val="A2960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BF3EBE"/>
    <w:multiLevelType w:val="multilevel"/>
    <w:tmpl w:val="72CC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4C6508"/>
    <w:multiLevelType w:val="multilevel"/>
    <w:tmpl w:val="4FEC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1657BF"/>
    <w:multiLevelType w:val="multilevel"/>
    <w:tmpl w:val="11F2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820038"/>
    <w:multiLevelType w:val="multilevel"/>
    <w:tmpl w:val="07743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A41AC6"/>
    <w:multiLevelType w:val="multilevel"/>
    <w:tmpl w:val="8430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257A5F"/>
    <w:multiLevelType w:val="multilevel"/>
    <w:tmpl w:val="E8D83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203751"/>
    <w:multiLevelType w:val="multilevel"/>
    <w:tmpl w:val="9E24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94273D"/>
    <w:multiLevelType w:val="multilevel"/>
    <w:tmpl w:val="2814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D0F78"/>
    <w:multiLevelType w:val="multilevel"/>
    <w:tmpl w:val="650E2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6372FB"/>
    <w:multiLevelType w:val="multilevel"/>
    <w:tmpl w:val="B0BA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20716A"/>
    <w:multiLevelType w:val="multilevel"/>
    <w:tmpl w:val="A10C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0186798">
    <w:abstractNumId w:val="0"/>
  </w:num>
  <w:num w:numId="2" w16cid:durableId="1506633810">
    <w:abstractNumId w:val="2"/>
  </w:num>
  <w:num w:numId="3" w16cid:durableId="177044380">
    <w:abstractNumId w:val="10"/>
  </w:num>
  <w:num w:numId="4" w16cid:durableId="792016301">
    <w:abstractNumId w:val="6"/>
  </w:num>
  <w:num w:numId="5" w16cid:durableId="411241662">
    <w:abstractNumId w:val="11"/>
  </w:num>
  <w:num w:numId="6" w16cid:durableId="1062678232">
    <w:abstractNumId w:val="14"/>
  </w:num>
  <w:num w:numId="7" w16cid:durableId="1631207853">
    <w:abstractNumId w:val="8"/>
  </w:num>
  <w:num w:numId="8" w16cid:durableId="487210162">
    <w:abstractNumId w:val="5"/>
  </w:num>
  <w:num w:numId="9" w16cid:durableId="128057384">
    <w:abstractNumId w:val="7"/>
  </w:num>
  <w:num w:numId="10" w16cid:durableId="1761678486">
    <w:abstractNumId w:val="4"/>
  </w:num>
  <w:num w:numId="11" w16cid:durableId="1262952799">
    <w:abstractNumId w:val="15"/>
  </w:num>
  <w:num w:numId="12" w16cid:durableId="133791692">
    <w:abstractNumId w:val="12"/>
  </w:num>
  <w:num w:numId="13" w16cid:durableId="434326304">
    <w:abstractNumId w:val="3"/>
  </w:num>
  <w:num w:numId="14" w16cid:durableId="1249801616">
    <w:abstractNumId w:val="9"/>
  </w:num>
  <w:num w:numId="15" w16cid:durableId="6368866">
    <w:abstractNumId w:val="13"/>
  </w:num>
  <w:num w:numId="16" w16cid:durableId="1742022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E40"/>
    <w:rsid w:val="00033274"/>
    <w:rsid w:val="000A488E"/>
    <w:rsid w:val="0012515F"/>
    <w:rsid w:val="00156C23"/>
    <w:rsid w:val="001B0694"/>
    <w:rsid w:val="001E0C22"/>
    <w:rsid w:val="002338F5"/>
    <w:rsid w:val="00272AC9"/>
    <w:rsid w:val="00304AAB"/>
    <w:rsid w:val="003555C5"/>
    <w:rsid w:val="00396037"/>
    <w:rsid w:val="004053FF"/>
    <w:rsid w:val="00415FE3"/>
    <w:rsid w:val="004A50E7"/>
    <w:rsid w:val="00641C83"/>
    <w:rsid w:val="00642020"/>
    <w:rsid w:val="006765C4"/>
    <w:rsid w:val="00696D5D"/>
    <w:rsid w:val="007F3E1F"/>
    <w:rsid w:val="008350FD"/>
    <w:rsid w:val="00845E45"/>
    <w:rsid w:val="00857133"/>
    <w:rsid w:val="009875C7"/>
    <w:rsid w:val="00A77A9A"/>
    <w:rsid w:val="00B04030"/>
    <w:rsid w:val="00B15440"/>
    <w:rsid w:val="00B90E40"/>
    <w:rsid w:val="00BE4E50"/>
    <w:rsid w:val="00C57814"/>
    <w:rsid w:val="00CB6C4B"/>
    <w:rsid w:val="00CD2467"/>
    <w:rsid w:val="00D56BC7"/>
    <w:rsid w:val="00E20B5D"/>
    <w:rsid w:val="00E41469"/>
    <w:rsid w:val="00E758F4"/>
    <w:rsid w:val="00EE4473"/>
    <w:rsid w:val="00EF2BD0"/>
    <w:rsid w:val="00F80BB7"/>
    <w:rsid w:val="0633C1A7"/>
    <w:rsid w:val="400FD96B"/>
    <w:rsid w:val="475B9BE4"/>
    <w:rsid w:val="7FE100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E1215"/>
  <w15:chartTrackingRefBased/>
  <w15:docId w15:val="{17434E51-FDA7-42F8-A20F-8FE65A96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0E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0E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0E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0E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0E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0E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E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E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E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E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0E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0E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0E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0E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0E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E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E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E40"/>
    <w:rPr>
      <w:rFonts w:eastAsiaTheme="majorEastAsia" w:cstheme="majorBidi"/>
      <w:color w:val="272727" w:themeColor="text1" w:themeTint="D8"/>
    </w:rPr>
  </w:style>
  <w:style w:type="paragraph" w:styleId="Title">
    <w:name w:val="Title"/>
    <w:basedOn w:val="Normal"/>
    <w:next w:val="Normal"/>
    <w:link w:val="TitleChar"/>
    <w:uiPriority w:val="10"/>
    <w:qFormat/>
    <w:rsid w:val="00B90E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E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E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E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E40"/>
    <w:pPr>
      <w:spacing w:before="160"/>
      <w:jc w:val="center"/>
    </w:pPr>
    <w:rPr>
      <w:i/>
      <w:iCs/>
      <w:color w:val="404040" w:themeColor="text1" w:themeTint="BF"/>
    </w:rPr>
  </w:style>
  <w:style w:type="character" w:customStyle="1" w:styleId="QuoteChar">
    <w:name w:val="Quote Char"/>
    <w:basedOn w:val="DefaultParagraphFont"/>
    <w:link w:val="Quote"/>
    <w:uiPriority w:val="29"/>
    <w:rsid w:val="00B90E40"/>
    <w:rPr>
      <w:i/>
      <w:iCs/>
      <w:color w:val="404040" w:themeColor="text1" w:themeTint="BF"/>
    </w:rPr>
  </w:style>
  <w:style w:type="paragraph" w:styleId="ListParagraph">
    <w:name w:val="List Paragraph"/>
    <w:basedOn w:val="Normal"/>
    <w:uiPriority w:val="34"/>
    <w:qFormat/>
    <w:rsid w:val="00B90E40"/>
    <w:pPr>
      <w:ind w:left="720"/>
      <w:contextualSpacing/>
    </w:pPr>
  </w:style>
  <w:style w:type="character" w:styleId="IntenseEmphasis">
    <w:name w:val="Intense Emphasis"/>
    <w:basedOn w:val="DefaultParagraphFont"/>
    <w:uiPriority w:val="21"/>
    <w:qFormat/>
    <w:rsid w:val="00B90E40"/>
    <w:rPr>
      <w:i/>
      <w:iCs/>
      <w:color w:val="0F4761" w:themeColor="accent1" w:themeShade="BF"/>
    </w:rPr>
  </w:style>
  <w:style w:type="paragraph" w:styleId="IntenseQuote">
    <w:name w:val="Intense Quote"/>
    <w:basedOn w:val="Normal"/>
    <w:next w:val="Normal"/>
    <w:link w:val="IntenseQuoteChar"/>
    <w:uiPriority w:val="30"/>
    <w:qFormat/>
    <w:rsid w:val="00B90E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0E40"/>
    <w:rPr>
      <w:i/>
      <w:iCs/>
      <w:color w:val="0F4761" w:themeColor="accent1" w:themeShade="BF"/>
    </w:rPr>
  </w:style>
  <w:style w:type="character" w:styleId="IntenseReference">
    <w:name w:val="Intense Reference"/>
    <w:basedOn w:val="DefaultParagraphFont"/>
    <w:uiPriority w:val="32"/>
    <w:qFormat/>
    <w:rsid w:val="00B90E40"/>
    <w:rPr>
      <w:b/>
      <w:bCs/>
      <w:smallCaps/>
      <w:color w:val="0F4761" w:themeColor="accent1" w:themeShade="BF"/>
      <w:spacing w:val="5"/>
    </w:rPr>
  </w:style>
  <w:style w:type="character" w:styleId="Hyperlink">
    <w:name w:val="Hyperlink"/>
    <w:basedOn w:val="DefaultParagraphFont"/>
    <w:uiPriority w:val="99"/>
    <w:unhideWhenUsed/>
    <w:rsid w:val="00B90E40"/>
    <w:rPr>
      <w:color w:val="467886" w:themeColor="hyperlink"/>
      <w:u w:val="single"/>
    </w:rPr>
  </w:style>
  <w:style w:type="character" w:styleId="UnresolvedMention">
    <w:name w:val="Unresolved Mention"/>
    <w:basedOn w:val="DefaultParagraphFont"/>
    <w:uiPriority w:val="99"/>
    <w:semiHidden/>
    <w:unhideWhenUsed/>
    <w:rsid w:val="00B90E40"/>
    <w:rPr>
      <w:color w:val="605E5C"/>
      <w:shd w:val="clear" w:color="auto" w:fill="E1DFDD"/>
    </w:rPr>
  </w:style>
  <w:style w:type="character" w:styleId="CommentReference">
    <w:name w:val="annotation reference"/>
    <w:basedOn w:val="DefaultParagraphFont"/>
    <w:uiPriority w:val="99"/>
    <w:semiHidden/>
    <w:unhideWhenUsed/>
    <w:rsid w:val="00C57814"/>
    <w:rPr>
      <w:sz w:val="16"/>
      <w:szCs w:val="16"/>
    </w:rPr>
  </w:style>
  <w:style w:type="paragraph" w:styleId="CommentText">
    <w:name w:val="annotation text"/>
    <w:basedOn w:val="Normal"/>
    <w:link w:val="CommentTextChar"/>
    <w:uiPriority w:val="99"/>
    <w:unhideWhenUsed/>
    <w:rsid w:val="00C57814"/>
    <w:pPr>
      <w:spacing w:line="240" w:lineRule="auto"/>
    </w:pPr>
    <w:rPr>
      <w:sz w:val="20"/>
      <w:szCs w:val="20"/>
    </w:rPr>
  </w:style>
  <w:style w:type="character" w:customStyle="1" w:styleId="CommentTextChar">
    <w:name w:val="Comment Text Char"/>
    <w:basedOn w:val="DefaultParagraphFont"/>
    <w:link w:val="CommentText"/>
    <w:uiPriority w:val="99"/>
    <w:rsid w:val="00C57814"/>
    <w:rPr>
      <w:sz w:val="20"/>
      <w:szCs w:val="20"/>
    </w:rPr>
  </w:style>
  <w:style w:type="paragraph" w:styleId="CommentSubject">
    <w:name w:val="annotation subject"/>
    <w:basedOn w:val="CommentText"/>
    <w:next w:val="CommentText"/>
    <w:link w:val="CommentSubjectChar"/>
    <w:uiPriority w:val="99"/>
    <w:semiHidden/>
    <w:unhideWhenUsed/>
    <w:rsid w:val="00C57814"/>
    <w:rPr>
      <w:b/>
      <w:bCs/>
    </w:rPr>
  </w:style>
  <w:style w:type="character" w:customStyle="1" w:styleId="CommentSubjectChar">
    <w:name w:val="Comment Subject Char"/>
    <w:basedOn w:val="CommentTextChar"/>
    <w:link w:val="CommentSubject"/>
    <w:uiPriority w:val="99"/>
    <w:semiHidden/>
    <w:rsid w:val="00C57814"/>
    <w:rPr>
      <w:b/>
      <w:bCs/>
      <w:sz w:val="20"/>
      <w:szCs w:val="20"/>
    </w:rPr>
  </w:style>
  <w:style w:type="paragraph" w:styleId="Revision">
    <w:name w:val="Revision"/>
    <w:hidden/>
    <w:uiPriority w:val="99"/>
    <w:semiHidden/>
    <w:rsid w:val="00E20B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ission.europa.eu/business-economy-euro/doing-business-eu/sustainability-due-diligence-responsible-business/corporate-sustainability-due-diligence_en" TargetMode="External"/><Relationship Id="rId5" Type="http://schemas.openxmlformats.org/officeDocument/2006/relationships/hyperlink" Target="https://cascale.org/wp-content/uploads/2025/02/BBPI-Report-2025.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997</Words>
  <Characters>6637</Characters>
  <Application>Microsoft Office Word</Application>
  <DocSecurity>0</DocSecurity>
  <Lines>138</Lines>
  <Paragraphs>93</Paragraphs>
  <ScaleCrop>false</ScaleCrop>
  <Company>Iowa State University of Science and Technology</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 Doreen [AESHM]</dc:creator>
  <cp:keywords/>
  <dc:description/>
  <cp:lastModifiedBy>Chung, Doreen [AESHM]</cp:lastModifiedBy>
  <cp:revision>2</cp:revision>
  <dcterms:created xsi:type="dcterms:W3CDTF">2026-04-14T16:16:00Z</dcterms:created>
  <dcterms:modified xsi:type="dcterms:W3CDTF">2026-04-14T16:16:00Z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b56853fe-ae6b-46ac-b72a-8a5527f8578c</vt:lpwstr>
  </property>
</Properties>
</file>