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59FE" w14:textId="77777777" w:rsidR="00DC183E" w:rsidRPr="0097683E" w:rsidRDefault="00DC183E" w:rsidP="003D108D">
      <w:pPr>
        <w:pBdr>
          <w:top w:val="single" w:sz="4" w:space="0" w:color="auto"/>
          <w:left w:val="single" w:sz="4" w:space="4" w:color="auto"/>
          <w:bottom w:val="single" w:sz="4" w:space="1" w:color="auto"/>
          <w:right w:val="single" w:sz="4" w:space="4" w:color="auto"/>
        </w:pBdr>
        <w:shd w:val="clear" w:color="auto" w:fill="A64F24"/>
        <w:spacing w:after="0"/>
        <w:jc w:val="center"/>
        <w:rPr>
          <w:color w:val="FFFFFF" w:themeColor="background1"/>
          <w:sz w:val="22"/>
          <w:szCs w:val="28"/>
        </w:rPr>
      </w:pPr>
      <w:r w:rsidRPr="0097683E">
        <w:rPr>
          <w:rFonts w:eastAsia="Aptos Display"/>
          <w:b/>
          <w:color w:val="FFFFFF" w:themeColor="background1"/>
          <w:sz w:val="44"/>
          <w:szCs w:val="28"/>
        </w:rPr>
        <w:t>Marin Housing Authority</w:t>
      </w:r>
    </w:p>
    <w:p w14:paraId="335D421C" w14:textId="698A0F3D" w:rsidR="00DC183E" w:rsidRPr="0097683E" w:rsidRDefault="00536D96" w:rsidP="003D108D">
      <w:pPr>
        <w:pBdr>
          <w:top w:val="single" w:sz="4" w:space="0" w:color="auto"/>
          <w:left w:val="single" w:sz="4" w:space="4" w:color="auto"/>
          <w:bottom w:val="single" w:sz="4" w:space="1" w:color="auto"/>
          <w:right w:val="single" w:sz="4" w:space="4" w:color="auto"/>
        </w:pBdr>
        <w:shd w:val="clear" w:color="auto" w:fill="A64F24"/>
        <w:spacing w:after="40"/>
        <w:jc w:val="center"/>
        <w:rPr>
          <w:color w:val="FFFFFF" w:themeColor="background1"/>
        </w:rPr>
      </w:pPr>
      <w:r w:rsidRPr="0097683E">
        <w:rPr>
          <w:rFonts w:eastAsia="Aptos Display"/>
          <w:b/>
          <w:color w:val="FFFFFF" w:themeColor="background1"/>
          <w:sz w:val="44"/>
        </w:rPr>
        <w:t>Annual</w:t>
      </w:r>
      <w:r w:rsidR="00964CA6" w:rsidRPr="0097683E">
        <w:rPr>
          <w:rFonts w:eastAsia="Aptos Display"/>
          <w:b/>
          <w:color w:val="FFFFFF" w:themeColor="background1"/>
          <w:sz w:val="44"/>
        </w:rPr>
        <w:t xml:space="preserve"> Plan </w:t>
      </w:r>
      <w:r w:rsidR="00217F44" w:rsidRPr="0097683E">
        <w:rPr>
          <w:rFonts w:eastAsia="Aptos Display"/>
          <w:b/>
          <w:color w:val="FFFFFF" w:themeColor="background1"/>
          <w:sz w:val="44"/>
        </w:rPr>
        <w:t xml:space="preserve">- </w:t>
      </w:r>
      <w:r w:rsidR="00964CA6" w:rsidRPr="0097683E">
        <w:rPr>
          <w:rFonts w:eastAsia="Aptos Display"/>
          <w:b/>
          <w:color w:val="FFFFFF" w:themeColor="background1"/>
          <w:sz w:val="44"/>
        </w:rPr>
        <w:t>Update 2027</w:t>
      </w:r>
    </w:p>
    <w:p w14:paraId="1BBE0809" w14:textId="77777777" w:rsidR="00DC183E" w:rsidRPr="00DC183E" w:rsidRDefault="00DC183E" w:rsidP="00DC183E">
      <w:pPr>
        <w:spacing w:after="40"/>
        <w:rPr>
          <w:rFonts w:ascii="Aptos Display" w:eastAsia="Aptos Display" w:hAnsi="Aptos Display"/>
          <w:b/>
          <w:color w:val="auto"/>
          <w:sz w:val="28"/>
        </w:rPr>
      </w:pPr>
    </w:p>
    <w:p w14:paraId="64470F45" w14:textId="77777777" w:rsidR="00DC183E" w:rsidRPr="00DC183E" w:rsidRDefault="00DC183E" w:rsidP="00DC183E">
      <w:pPr>
        <w:spacing w:after="40"/>
        <w:rPr>
          <w:color w:val="auto"/>
          <w:sz w:val="22"/>
          <w:szCs w:val="28"/>
        </w:rPr>
      </w:pPr>
      <w:r w:rsidRPr="00DC183E">
        <w:rPr>
          <w:rFonts w:ascii="Aptos Display" w:eastAsia="Aptos Display" w:hAnsi="Aptos Display"/>
          <w:b/>
          <w:color w:val="auto"/>
          <w:sz w:val="36"/>
          <w:szCs w:val="28"/>
        </w:rPr>
        <w:t>Goal Area Summary</w:t>
      </w:r>
    </w:p>
    <w:tbl>
      <w:tblPr>
        <w:tblStyle w:val="TableGrid"/>
        <w:tblW w:w="1757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62"/>
        <w:gridCol w:w="9718"/>
        <w:gridCol w:w="1962"/>
        <w:gridCol w:w="1478"/>
        <w:gridCol w:w="1479"/>
        <w:gridCol w:w="1479"/>
      </w:tblGrid>
      <w:tr w:rsidR="00DC183E" w:rsidRPr="007132DC" w14:paraId="29BCBABF" w14:textId="77777777" w:rsidTr="004150AC">
        <w:trPr>
          <w:trHeight w:val="824"/>
          <w:jc w:val="center"/>
        </w:trPr>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4F24"/>
            <w:vAlign w:val="center"/>
          </w:tcPr>
          <w:p w14:paraId="1521A748" w14:textId="77777777" w:rsidR="00DC183E" w:rsidRPr="007132DC" w:rsidRDefault="00DC183E" w:rsidP="00114EDE">
            <w:pPr>
              <w:jc w:val="center"/>
              <w:rPr>
                <w:color w:val="FFFFFF" w:themeColor="background1"/>
                <w:sz w:val="28"/>
                <w:szCs w:val="44"/>
              </w:rPr>
            </w:pPr>
            <w:r w:rsidRPr="007132DC">
              <w:rPr>
                <w:b/>
                <w:color w:val="FFFFFF" w:themeColor="background1"/>
                <w:sz w:val="28"/>
                <w:szCs w:val="44"/>
              </w:rPr>
              <w:t>Goal #</w:t>
            </w:r>
          </w:p>
        </w:tc>
        <w:tc>
          <w:tcPr>
            <w:tcW w:w="9718" w:type="dxa"/>
            <w:tcBorders>
              <w:left w:val="single" w:sz="8" w:space="0" w:color="000000" w:themeColor="text1"/>
            </w:tcBorders>
            <w:shd w:val="clear" w:color="auto" w:fill="A64F24"/>
            <w:vAlign w:val="center"/>
          </w:tcPr>
          <w:p w14:paraId="471B2722" w14:textId="4A0ACB4F" w:rsidR="00DC183E" w:rsidRPr="007132DC" w:rsidRDefault="00DC183E" w:rsidP="00114EDE">
            <w:pPr>
              <w:jc w:val="center"/>
              <w:rPr>
                <w:color w:val="FFFFFF" w:themeColor="background1"/>
                <w:sz w:val="28"/>
                <w:szCs w:val="44"/>
              </w:rPr>
            </w:pPr>
            <w:r w:rsidRPr="0052716B">
              <w:rPr>
                <w:b/>
                <w:color w:val="FFFFFF" w:themeColor="background1"/>
                <w:sz w:val="40"/>
                <w:szCs w:val="56"/>
              </w:rPr>
              <w:t>Goal</w:t>
            </w:r>
            <w:r w:rsidR="003D108D" w:rsidRPr="0052716B">
              <w:rPr>
                <w:b/>
                <w:color w:val="FFFFFF" w:themeColor="background1"/>
                <w:sz w:val="40"/>
                <w:szCs w:val="56"/>
              </w:rPr>
              <w:t>s</w:t>
            </w:r>
          </w:p>
        </w:tc>
        <w:tc>
          <w:tcPr>
            <w:tcW w:w="1962" w:type="dxa"/>
            <w:shd w:val="clear" w:color="auto" w:fill="244F50"/>
            <w:vAlign w:val="center"/>
          </w:tcPr>
          <w:p w14:paraId="77B9231B" w14:textId="77777777" w:rsidR="00DC183E" w:rsidRPr="008A08D7" w:rsidRDefault="00DC183E" w:rsidP="00887A82">
            <w:pPr>
              <w:jc w:val="center"/>
              <w:rPr>
                <w:color w:val="FFFFFF" w:themeColor="background1"/>
                <w:sz w:val="28"/>
                <w:szCs w:val="44"/>
              </w:rPr>
            </w:pPr>
            <w:r w:rsidRPr="008A08D7">
              <w:rPr>
                <w:b/>
                <w:color w:val="FFFFFF" w:themeColor="background1"/>
                <w:sz w:val="28"/>
                <w:szCs w:val="44"/>
              </w:rPr>
              <w:t># Objectives</w:t>
            </w:r>
          </w:p>
        </w:tc>
        <w:tc>
          <w:tcPr>
            <w:tcW w:w="1478" w:type="dxa"/>
            <w:shd w:val="clear" w:color="auto" w:fill="FFC000"/>
            <w:vAlign w:val="center"/>
          </w:tcPr>
          <w:p w14:paraId="1484C842" w14:textId="77777777" w:rsidR="00DC183E" w:rsidRPr="008A08D7" w:rsidRDefault="00DC183E" w:rsidP="00887A82">
            <w:pPr>
              <w:jc w:val="center"/>
              <w:rPr>
                <w:color w:val="auto"/>
                <w:sz w:val="28"/>
                <w:szCs w:val="44"/>
              </w:rPr>
            </w:pPr>
            <w:r w:rsidRPr="008A08D7">
              <w:rPr>
                <w:b/>
                <w:color w:val="auto"/>
                <w:sz w:val="28"/>
                <w:szCs w:val="44"/>
              </w:rPr>
              <w:t>Met</w:t>
            </w:r>
          </w:p>
        </w:tc>
        <w:tc>
          <w:tcPr>
            <w:tcW w:w="1479" w:type="dxa"/>
            <w:shd w:val="clear" w:color="auto" w:fill="FFC000"/>
            <w:vAlign w:val="center"/>
          </w:tcPr>
          <w:p w14:paraId="450352C9" w14:textId="77777777" w:rsidR="00DC183E" w:rsidRPr="008A08D7" w:rsidRDefault="00DC183E" w:rsidP="00887A82">
            <w:pPr>
              <w:jc w:val="center"/>
              <w:rPr>
                <w:color w:val="auto"/>
                <w:sz w:val="28"/>
                <w:szCs w:val="44"/>
              </w:rPr>
            </w:pPr>
            <w:r w:rsidRPr="008A08D7">
              <w:rPr>
                <w:b/>
                <w:color w:val="auto"/>
                <w:sz w:val="28"/>
                <w:szCs w:val="44"/>
              </w:rPr>
              <w:t>In Progress</w:t>
            </w:r>
          </w:p>
        </w:tc>
        <w:tc>
          <w:tcPr>
            <w:tcW w:w="1479" w:type="dxa"/>
            <w:shd w:val="clear" w:color="auto" w:fill="FFC000"/>
            <w:vAlign w:val="center"/>
          </w:tcPr>
          <w:p w14:paraId="2B8BB573" w14:textId="77777777" w:rsidR="00DC183E" w:rsidRPr="007132DC" w:rsidRDefault="00DC183E" w:rsidP="00887A82">
            <w:pPr>
              <w:jc w:val="center"/>
              <w:rPr>
                <w:color w:val="auto"/>
                <w:sz w:val="28"/>
                <w:szCs w:val="44"/>
              </w:rPr>
            </w:pPr>
            <w:r w:rsidRPr="007132DC">
              <w:rPr>
                <w:b/>
                <w:color w:val="auto"/>
                <w:sz w:val="28"/>
                <w:szCs w:val="44"/>
              </w:rPr>
              <w:t>Not Met</w:t>
            </w:r>
          </w:p>
        </w:tc>
      </w:tr>
      <w:tr w:rsidR="00DC183E" w:rsidRPr="007132DC" w14:paraId="16E702CB" w14:textId="77777777" w:rsidTr="00A91DA4">
        <w:trPr>
          <w:trHeight w:val="864"/>
          <w:jc w:val="center"/>
        </w:trPr>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14:paraId="4854ED2E" w14:textId="77777777" w:rsidR="00DC183E" w:rsidRPr="007132DC" w:rsidRDefault="00DC183E" w:rsidP="006F16F8">
            <w:pPr>
              <w:jc w:val="center"/>
              <w:rPr>
                <w:color w:val="auto"/>
                <w:sz w:val="28"/>
                <w:szCs w:val="44"/>
              </w:rPr>
            </w:pPr>
            <w:r w:rsidRPr="007132DC">
              <w:rPr>
                <w:b/>
                <w:color w:val="1F1F1F"/>
                <w:sz w:val="28"/>
                <w:szCs w:val="44"/>
              </w:rPr>
              <w:t>Goal I</w:t>
            </w:r>
          </w:p>
        </w:tc>
        <w:tc>
          <w:tcPr>
            <w:tcW w:w="9718" w:type="dxa"/>
            <w:tcBorders>
              <w:left w:val="single" w:sz="8" w:space="0" w:color="000000" w:themeColor="text1"/>
            </w:tcBorders>
            <w:vAlign w:val="center"/>
          </w:tcPr>
          <w:p w14:paraId="7D1BD599" w14:textId="77777777" w:rsidR="00DC183E" w:rsidRPr="00B93960" w:rsidRDefault="00DC183E" w:rsidP="006F16F8">
            <w:pPr>
              <w:jc w:val="right"/>
              <w:rPr>
                <w:b/>
                <w:bCs/>
                <w:color w:val="auto"/>
                <w:sz w:val="28"/>
                <w:szCs w:val="44"/>
              </w:rPr>
            </w:pPr>
            <w:r w:rsidRPr="00B93960">
              <w:rPr>
                <w:b/>
                <w:bCs/>
                <w:color w:val="1F1F1F"/>
                <w:sz w:val="28"/>
                <w:szCs w:val="44"/>
              </w:rPr>
              <w:t>Preserve and Create Quality Affordable Housing Opportunities</w:t>
            </w:r>
          </w:p>
        </w:tc>
        <w:tc>
          <w:tcPr>
            <w:tcW w:w="1962" w:type="dxa"/>
            <w:shd w:val="clear" w:color="auto" w:fill="F3F1EC"/>
            <w:vAlign w:val="center"/>
          </w:tcPr>
          <w:p w14:paraId="2FDE5142" w14:textId="77777777" w:rsidR="00DC183E" w:rsidRPr="00B93960" w:rsidRDefault="00DC183E" w:rsidP="00687230">
            <w:pPr>
              <w:jc w:val="center"/>
              <w:rPr>
                <w:b/>
                <w:bCs/>
                <w:color w:val="auto"/>
                <w:sz w:val="28"/>
                <w:szCs w:val="44"/>
              </w:rPr>
            </w:pPr>
            <w:r w:rsidRPr="00B93960">
              <w:rPr>
                <w:b/>
                <w:bCs/>
                <w:color w:val="1F1F1F"/>
                <w:sz w:val="28"/>
                <w:szCs w:val="44"/>
              </w:rPr>
              <w:t>11</w:t>
            </w:r>
          </w:p>
        </w:tc>
        <w:tc>
          <w:tcPr>
            <w:tcW w:w="1478" w:type="dxa"/>
            <w:vAlign w:val="center"/>
          </w:tcPr>
          <w:p w14:paraId="7EE0226C" w14:textId="77777777" w:rsidR="00DC183E" w:rsidRPr="00B93960" w:rsidRDefault="00DC183E" w:rsidP="00687230">
            <w:pPr>
              <w:jc w:val="center"/>
              <w:rPr>
                <w:color w:val="auto"/>
                <w:sz w:val="28"/>
                <w:szCs w:val="44"/>
              </w:rPr>
            </w:pPr>
            <w:r w:rsidRPr="00B93960">
              <w:rPr>
                <w:color w:val="1F1F1F"/>
                <w:sz w:val="28"/>
                <w:szCs w:val="44"/>
              </w:rPr>
              <w:t>7</w:t>
            </w:r>
          </w:p>
        </w:tc>
        <w:tc>
          <w:tcPr>
            <w:tcW w:w="1479" w:type="dxa"/>
            <w:vAlign w:val="center"/>
          </w:tcPr>
          <w:p w14:paraId="77957414" w14:textId="77777777" w:rsidR="00DC183E" w:rsidRPr="00B93960" w:rsidRDefault="00DC183E" w:rsidP="00687230">
            <w:pPr>
              <w:jc w:val="center"/>
              <w:rPr>
                <w:color w:val="auto"/>
                <w:sz w:val="28"/>
                <w:szCs w:val="44"/>
              </w:rPr>
            </w:pPr>
            <w:r w:rsidRPr="00B93960">
              <w:rPr>
                <w:color w:val="1F1F1F"/>
                <w:sz w:val="28"/>
                <w:szCs w:val="44"/>
              </w:rPr>
              <w:t>3</w:t>
            </w:r>
          </w:p>
        </w:tc>
        <w:tc>
          <w:tcPr>
            <w:tcW w:w="1479" w:type="dxa"/>
            <w:vAlign w:val="center"/>
          </w:tcPr>
          <w:p w14:paraId="3B93245E" w14:textId="77777777" w:rsidR="00DC183E" w:rsidRPr="00B93960" w:rsidRDefault="00DC183E" w:rsidP="00687230">
            <w:pPr>
              <w:jc w:val="center"/>
              <w:rPr>
                <w:color w:val="auto"/>
                <w:sz w:val="28"/>
                <w:szCs w:val="44"/>
              </w:rPr>
            </w:pPr>
            <w:r w:rsidRPr="00B93960">
              <w:rPr>
                <w:color w:val="1F1F1F"/>
                <w:sz w:val="28"/>
                <w:szCs w:val="44"/>
              </w:rPr>
              <w:t>1</w:t>
            </w:r>
          </w:p>
        </w:tc>
      </w:tr>
      <w:tr w:rsidR="00DC183E" w:rsidRPr="007132DC" w14:paraId="57A3C564" w14:textId="77777777" w:rsidTr="00A91DA4">
        <w:trPr>
          <w:trHeight w:val="770"/>
          <w:jc w:val="center"/>
        </w:trPr>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14:paraId="3762D4A7" w14:textId="77777777" w:rsidR="00DC183E" w:rsidRPr="007132DC" w:rsidRDefault="00DC183E" w:rsidP="006F16F8">
            <w:pPr>
              <w:jc w:val="center"/>
              <w:rPr>
                <w:color w:val="auto"/>
                <w:sz w:val="28"/>
                <w:szCs w:val="44"/>
              </w:rPr>
            </w:pPr>
            <w:r w:rsidRPr="007132DC">
              <w:rPr>
                <w:b/>
                <w:color w:val="1F1F1F"/>
                <w:sz w:val="28"/>
                <w:szCs w:val="44"/>
              </w:rPr>
              <w:t>Goal II</w:t>
            </w:r>
          </w:p>
        </w:tc>
        <w:tc>
          <w:tcPr>
            <w:tcW w:w="9718" w:type="dxa"/>
            <w:tcBorders>
              <w:left w:val="single" w:sz="8" w:space="0" w:color="000000" w:themeColor="text1"/>
            </w:tcBorders>
            <w:vAlign w:val="center"/>
          </w:tcPr>
          <w:p w14:paraId="6584D944" w14:textId="77777777" w:rsidR="00DC183E" w:rsidRPr="00B93960" w:rsidRDefault="00DC183E" w:rsidP="006F16F8">
            <w:pPr>
              <w:jc w:val="right"/>
              <w:rPr>
                <w:b/>
                <w:bCs/>
                <w:color w:val="auto"/>
                <w:sz w:val="28"/>
                <w:szCs w:val="44"/>
              </w:rPr>
            </w:pPr>
            <w:r w:rsidRPr="00B93960">
              <w:rPr>
                <w:b/>
                <w:bCs/>
                <w:color w:val="1F1F1F"/>
                <w:sz w:val="28"/>
                <w:szCs w:val="44"/>
              </w:rPr>
              <w:t>Maintain Agency’s Strong Financial Position</w:t>
            </w:r>
          </w:p>
        </w:tc>
        <w:tc>
          <w:tcPr>
            <w:tcW w:w="1962" w:type="dxa"/>
            <w:shd w:val="clear" w:color="auto" w:fill="F3F1EC"/>
            <w:vAlign w:val="center"/>
          </w:tcPr>
          <w:p w14:paraId="348FF44C" w14:textId="77777777" w:rsidR="00DC183E" w:rsidRPr="00B93960" w:rsidRDefault="00DC183E" w:rsidP="00687230">
            <w:pPr>
              <w:jc w:val="center"/>
              <w:rPr>
                <w:b/>
                <w:bCs/>
                <w:color w:val="auto"/>
                <w:sz w:val="28"/>
                <w:szCs w:val="44"/>
              </w:rPr>
            </w:pPr>
            <w:r w:rsidRPr="00B93960">
              <w:rPr>
                <w:b/>
                <w:bCs/>
                <w:color w:val="1F1F1F"/>
                <w:sz w:val="28"/>
                <w:szCs w:val="44"/>
              </w:rPr>
              <w:t>5</w:t>
            </w:r>
          </w:p>
        </w:tc>
        <w:tc>
          <w:tcPr>
            <w:tcW w:w="1478" w:type="dxa"/>
            <w:vAlign w:val="center"/>
          </w:tcPr>
          <w:p w14:paraId="119BE559" w14:textId="77777777" w:rsidR="00DC183E" w:rsidRPr="00B93960" w:rsidRDefault="00DC183E" w:rsidP="00687230">
            <w:pPr>
              <w:jc w:val="center"/>
              <w:rPr>
                <w:color w:val="auto"/>
                <w:sz w:val="28"/>
                <w:szCs w:val="44"/>
              </w:rPr>
            </w:pPr>
            <w:r w:rsidRPr="00B93960">
              <w:rPr>
                <w:color w:val="1F1F1F"/>
                <w:sz w:val="28"/>
                <w:szCs w:val="44"/>
              </w:rPr>
              <w:t>5</w:t>
            </w:r>
          </w:p>
        </w:tc>
        <w:tc>
          <w:tcPr>
            <w:tcW w:w="1479" w:type="dxa"/>
            <w:vAlign w:val="center"/>
          </w:tcPr>
          <w:p w14:paraId="24BA43BA" w14:textId="77777777" w:rsidR="00DC183E" w:rsidRPr="00B93960" w:rsidRDefault="00DC183E" w:rsidP="00687230">
            <w:pPr>
              <w:jc w:val="center"/>
              <w:rPr>
                <w:color w:val="auto"/>
                <w:sz w:val="28"/>
                <w:szCs w:val="44"/>
              </w:rPr>
            </w:pPr>
            <w:r w:rsidRPr="00B93960">
              <w:rPr>
                <w:color w:val="1F1F1F"/>
                <w:sz w:val="28"/>
                <w:szCs w:val="44"/>
              </w:rPr>
              <w:t>0</w:t>
            </w:r>
          </w:p>
        </w:tc>
        <w:tc>
          <w:tcPr>
            <w:tcW w:w="1479" w:type="dxa"/>
            <w:vAlign w:val="center"/>
          </w:tcPr>
          <w:p w14:paraId="18C4F97C" w14:textId="77777777" w:rsidR="00DC183E" w:rsidRPr="00B93960" w:rsidRDefault="00DC183E" w:rsidP="00687230">
            <w:pPr>
              <w:jc w:val="center"/>
              <w:rPr>
                <w:color w:val="auto"/>
                <w:sz w:val="28"/>
                <w:szCs w:val="44"/>
              </w:rPr>
            </w:pPr>
            <w:r w:rsidRPr="00B93960">
              <w:rPr>
                <w:color w:val="1F1F1F"/>
                <w:sz w:val="28"/>
                <w:szCs w:val="44"/>
              </w:rPr>
              <w:t>0</w:t>
            </w:r>
          </w:p>
        </w:tc>
      </w:tr>
      <w:tr w:rsidR="00DC183E" w:rsidRPr="007132DC" w14:paraId="14490054" w14:textId="77777777" w:rsidTr="00A91DA4">
        <w:trPr>
          <w:trHeight w:val="864"/>
          <w:jc w:val="center"/>
        </w:trPr>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14:paraId="40D861C6" w14:textId="77777777" w:rsidR="00DC183E" w:rsidRPr="007132DC" w:rsidRDefault="00DC183E" w:rsidP="006F16F8">
            <w:pPr>
              <w:jc w:val="center"/>
              <w:rPr>
                <w:color w:val="auto"/>
                <w:sz w:val="28"/>
                <w:szCs w:val="44"/>
              </w:rPr>
            </w:pPr>
            <w:r w:rsidRPr="007132DC">
              <w:rPr>
                <w:b/>
                <w:color w:val="1F1F1F"/>
                <w:sz w:val="28"/>
                <w:szCs w:val="44"/>
              </w:rPr>
              <w:t>Goal III</w:t>
            </w:r>
          </w:p>
        </w:tc>
        <w:tc>
          <w:tcPr>
            <w:tcW w:w="9718" w:type="dxa"/>
            <w:tcBorders>
              <w:left w:val="single" w:sz="8" w:space="0" w:color="000000" w:themeColor="text1"/>
            </w:tcBorders>
            <w:vAlign w:val="center"/>
          </w:tcPr>
          <w:p w14:paraId="482BB79B" w14:textId="77777777" w:rsidR="00DC183E" w:rsidRPr="00B93960" w:rsidRDefault="00DC183E" w:rsidP="006F16F8">
            <w:pPr>
              <w:jc w:val="right"/>
              <w:rPr>
                <w:b/>
                <w:bCs/>
                <w:color w:val="auto"/>
                <w:sz w:val="28"/>
                <w:szCs w:val="44"/>
              </w:rPr>
            </w:pPr>
            <w:r w:rsidRPr="00B93960">
              <w:rPr>
                <w:b/>
                <w:bCs/>
                <w:color w:val="1F1F1F"/>
                <w:sz w:val="28"/>
                <w:szCs w:val="44"/>
              </w:rPr>
              <w:t>Encourage Client Stability and Upward Mobility</w:t>
            </w:r>
          </w:p>
        </w:tc>
        <w:tc>
          <w:tcPr>
            <w:tcW w:w="1962" w:type="dxa"/>
            <w:shd w:val="clear" w:color="auto" w:fill="F3F1EC"/>
            <w:vAlign w:val="center"/>
          </w:tcPr>
          <w:p w14:paraId="502F8482" w14:textId="77777777" w:rsidR="00DC183E" w:rsidRPr="00B93960" w:rsidRDefault="00DC183E" w:rsidP="00687230">
            <w:pPr>
              <w:jc w:val="center"/>
              <w:rPr>
                <w:b/>
                <w:bCs/>
                <w:color w:val="auto"/>
                <w:sz w:val="28"/>
                <w:szCs w:val="44"/>
              </w:rPr>
            </w:pPr>
            <w:r w:rsidRPr="00B93960">
              <w:rPr>
                <w:b/>
                <w:bCs/>
                <w:color w:val="1F1F1F"/>
                <w:sz w:val="28"/>
                <w:szCs w:val="44"/>
              </w:rPr>
              <w:t>13</w:t>
            </w:r>
          </w:p>
        </w:tc>
        <w:tc>
          <w:tcPr>
            <w:tcW w:w="1478" w:type="dxa"/>
            <w:vAlign w:val="center"/>
          </w:tcPr>
          <w:p w14:paraId="49FB48D7" w14:textId="77777777" w:rsidR="00DC183E" w:rsidRPr="00B93960" w:rsidRDefault="00DC183E" w:rsidP="00687230">
            <w:pPr>
              <w:jc w:val="center"/>
              <w:rPr>
                <w:color w:val="auto"/>
                <w:sz w:val="28"/>
                <w:szCs w:val="44"/>
              </w:rPr>
            </w:pPr>
            <w:r w:rsidRPr="00B93960">
              <w:rPr>
                <w:color w:val="1F1F1F"/>
                <w:sz w:val="28"/>
                <w:szCs w:val="44"/>
              </w:rPr>
              <w:t>13</w:t>
            </w:r>
          </w:p>
        </w:tc>
        <w:tc>
          <w:tcPr>
            <w:tcW w:w="1479" w:type="dxa"/>
            <w:vAlign w:val="center"/>
          </w:tcPr>
          <w:p w14:paraId="4826433C" w14:textId="77777777" w:rsidR="00DC183E" w:rsidRPr="00B93960" w:rsidRDefault="00DC183E" w:rsidP="00687230">
            <w:pPr>
              <w:jc w:val="center"/>
              <w:rPr>
                <w:color w:val="auto"/>
                <w:sz w:val="28"/>
                <w:szCs w:val="44"/>
              </w:rPr>
            </w:pPr>
            <w:r w:rsidRPr="00B93960">
              <w:rPr>
                <w:color w:val="1F1F1F"/>
                <w:sz w:val="28"/>
                <w:szCs w:val="44"/>
              </w:rPr>
              <w:t>0</w:t>
            </w:r>
          </w:p>
        </w:tc>
        <w:tc>
          <w:tcPr>
            <w:tcW w:w="1479" w:type="dxa"/>
            <w:vAlign w:val="center"/>
          </w:tcPr>
          <w:p w14:paraId="7EEE3A8C" w14:textId="77777777" w:rsidR="00DC183E" w:rsidRPr="00B93960" w:rsidRDefault="00DC183E" w:rsidP="00687230">
            <w:pPr>
              <w:jc w:val="center"/>
              <w:rPr>
                <w:color w:val="auto"/>
                <w:sz w:val="28"/>
                <w:szCs w:val="44"/>
              </w:rPr>
            </w:pPr>
            <w:r w:rsidRPr="00B93960">
              <w:rPr>
                <w:color w:val="1F1F1F"/>
                <w:sz w:val="28"/>
                <w:szCs w:val="44"/>
              </w:rPr>
              <w:t>0</w:t>
            </w:r>
          </w:p>
        </w:tc>
      </w:tr>
      <w:tr w:rsidR="00DC183E" w:rsidRPr="007132DC" w14:paraId="49A21AF2" w14:textId="77777777" w:rsidTr="00A91DA4">
        <w:trPr>
          <w:trHeight w:val="770"/>
          <w:jc w:val="center"/>
        </w:trPr>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14:paraId="4F9E468B" w14:textId="77777777" w:rsidR="00DC183E" w:rsidRPr="007132DC" w:rsidRDefault="00DC183E" w:rsidP="006F16F8">
            <w:pPr>
              <w:jc w:val="center"/>
              <w:rPr>
                <w:color w:val="auto"/>
                <w:sz w:val="28"/>
                <w:szCs w:val="44"/>
              </w:rPr>
            </w:pPr>
            <w:r w:rsidRPr="007132DC">
              <w:rPr>
                <w:b/>
                <w:color w:val="1F1F1F"/>
                <w:sz w:val="28"/>
                <w:szCs w:val="44"/>
              </w:rPr>
              <w:t>Goal IV</w:t>
            </w:r>
          </w:p>
        </w:tc>
        <w:tc>
          <w:tcPr>
            <w:tcW w:w="9718" w:type="dxa"/>
            <w:tcBorders>
              <w:left w:val="single" w:sz="8" w:space="0" w:color="000000" w:themeColor="text1"/>
            </w:tcBorders>
            <w:vAlign w:val="center"/>
          </w:tcPr>
          <w:p w14:paraId="06052CE6" w14:textId="77777777" w:rsidR="00DC183E" w:rsidRPr="00B93960" w:rsidRDefault="00DC183E" w:rsidP="006F16F8">
            <w:pPr>
              <w:jc w:val="right"/>
              <w:rPr>
                <w:b/>
                <w:bCs/>
                <w:color w:val="auto"/>
                <w:sz w:val="28"/>
                <w:szCs w:val="44"/>
              </w:rPr>
            </w:pPr>
            <w:r w:rsidRPr="00B93960">
              <w:rPr>
                <w:b/>
                <w:bCs/>
                <w:color w:val="1F1F1F"/>
                <w:sz w:val="28"/>
                <w:szCs w:val="44"/>
              </w:rPr>
              <w:t>Foster a Culture of Excellence and Innovation in Our Work Environment</w:t>
            </w:r>
          </w:p>
        </w:tc>
        <w:tc>
          <w:tcPr>
            <w:tcW w:w="1962" w:type="dxa"/>
            <w:shd w:val="clear" w:color="auto" w:fill="F3F1EC"/>
            <w:vAlign w:val="center"/>
          </w:tcPr>
          <w:p w14:paraId="0F982456" w14:textId="77777777" w:rsidR="00DC183E" w:rsidRPr="00B93960" w:rsidRDefault="00DC183E" w:rsidP="00687230">
            <w:pPr>
              <w:jc w:val="center"/>
              <w:rPr>
                <w:b/>
                <w:bCs/>
                <w:color w:val="auto"/>
                <w:sz w:val="28"/>
                <w:szCs w:val="44"/>
              </w:rPr>
            </w:pPr>
            <w:r w:rsidRPr="00B93960">
              <w:rPr>
                <w:b/>
                <w:bCs/>
                <w:color w:val="1F1F1F"/>
                <w:sz w:val="28"/>
                <w:szCs w:val="44"/>
              </w:rPr>
              <w:t>11</w:t>
            </w:r>
          </w:p>
        </w:tc>
        <w:tc>
          <w:tcPr>
            <w:tcW w:w="1478" w:type="dxa"/>
            <w:vAlign w:val="center"/>
          </w:tcPr>
          <w:p w14:paraId="5AB6B43C" w14:textId="77777777" w:rsidR="00DC183E" w:rsidRPr="00B93960" w:rsidRDefault="00DC183E" w:rsidP="00687230">
            <w:pPr>
              <w:jc w:val="center"/>
              <w:rPr>
                <w:color w:val="auto"/>
                <w:sz w:val="28"/>
                <w:szCs w:val="44"/>
              </w:rPr>
            </w:pPr>
            <w:r w:rsidRPr="00B93960">
              <w:rPr>
                <w:color w:val="1F1F1F"/>
                <w:sz w:val="28"/>
                <w:szCs w:val="44"/>
              </w:rPr>
              <w:t>10</w:t>
            </w:r>
          </w:p>
        </w:tc>
        <w:tc>
          <w:tcPr>
            <w:tcW w:w="1479" w:type="dxa"/>
            <w:vAlign w:val="center"/>
          </w:tcPr>
          <w:p w14:paraId="2E2D3618" w14:textId="77777777" w:rsidR="00DC183E" w:rsidRPr="00B93960" w:rsidRDefault="00DC183E" w:rsidP="00687230">
            <w:pPr>
              <w:jc w:val="center"/>
              <w:rPr>
                <w:color w:val="auto"/>
                <w:sz w:val="28"/>
                <w:szCs w:val="44"/>
              </w:rPr>
            </w:pPr>
            <w:r w:rsidRPr="00B93960">
              <w:rPr>
                <w:color w:val="1F1F1F"/>
                <w:sz w:val="28"/>
                <w:szCs w:val="44"/>
              </w:rPr>
              <w:t>1</w:t>
            </w:r>
          </w:p>
        </w:tc>
        <w:tc>
          <w:tcPr>
            <w:tcW w:w="1479" w:type="dxa"/>
            <w:vAlign w:val="center"/>
          </w:tcPr>
          <w:p w14:paraId="1780F776" w14:textId="77777777" w:rsidR="00DC183E" w:rsidRPr="00B93960" w:rsidRDefault="00DC183E" w:rsidP="00687230">
            <w:pPr>
              <w:jc w:val="center"/>
              <w:rPr>
                <w:color w:val="auto"/>
                <w:sz w:val="28"/>
                <w:szCs w:val="44"/>
              </w:rPr>
            </w:pPr>
            <w:r w:rsidRPr="00B93960">
              <w:rPr>
                <w:color w:val="1F1F1F"/>
                <w:sz w:val="28"/>
                <w:szCs w:val="44"/>
              </w:rPr>
              <w:t>0</w:t>
            </w:r>
          </w:p>
        </w:tc>
      </w:tr>
      <w:tr w:rsidR="00DC183E" w:rsidRPr="007132DC" w14:paraId="53F5F774" w14:textId="77777777" w:rsidTr="00A91DA4">
        <w:trPr>
          <w:trHeight w:val="864"/>
          <w:jc w:val="center"/>
        </w:trPr>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14:paraId="6AF08EC7" w14:textId="77777777" w:rsidR="00DC183E" w:rsidRPr="007132DC" w:rsidRDefault="00DC183E" w:rsidP="006F16F8">
            <w:pPr>
              <w:jc w:val="center"/>
              <w:rPr>
                <w:color w:val="auto"/>
                <w:sz w:val="28"/>
                <w:szCs w:val="44"/>
              </w:rPr>
            </w:pPr>
            <w:r w:rsidRPr="007132DC">
              <w:rPr>
                <w:b/>
                <w:color w:val="1F1F1F"/>
                <w:sz w:val="28"/>
                <w:szCs w:val="44"/>
              </w:rPr>
              <w:t>Goal V</w:t>
            </w:r>
          </w:p>
        </w:tc>
        <w:tc>
          <w:tcPr>
            <w:tcW w:w="9718" w:type="dxa"/>
            <w:tcBorders>
              <w:left w:val="single" w:sz="8" w:space="0" w:color="000000" w:themeColor="text1"/>
            </w:tcBorders>
            <w:vAlign w:val="center"/>
          </w:tcPr>
          <w:p w14:paraId="29A25278" w14:textId="77777777" w:rsidR="00DC183E" w:rsidRPr="00B93960" w:rsidRDefault="00DC183E" w:rsidP="006F16F8">
            <w:pPr>
              <w:jc w:val="right"/>
              <w:rPr>
                <w:b/>
                <w:bCs/>
                <w:color w:val="auto"/>
                <w:sz w:val="28"/>
                <w:szCs w:val="44"/>
              </w:rPr>
            </w:pPr>
            <w:r w:rsidRPr="00B93960">
              <w:rPr>
                <w:b/>
                <w:bCs/>
                <w:color w:val="1F1F1F"/>
                <w:sz w:val="28"/>
                <w:szCs w:val="44"/>
              </w:rPr>
              <w:t>Continue to Strengthen Relationships with the County, Our Board and Cities as the County’s Affordable Housing Provider</w:t>
            </w:r>
          </w:p>
        </w:tc>
        <w:tc>
          <w:tcPr>
            <w:tcW w:w="1962" w:type="dxa"/>
            <w:shd w:val="clear" w:color="auto" w:fill="F3F1EC"/>
            <w:vAlign w:val="center"/>
          </w:tcPr>
          <w:p w14:paraId="534287E8" w14:textId="77777777" w:rsidR="00DC183E" w:rsidRPr="00B93960" w:rsidRDefault="00DC183E" w:rsidP="00687230">
            <w:pPr>
              <w:jc w:val="center"/>
              <w:rPr>
                <w:b/>
                <w:bCs/>
                <w:color w:val="auto"/>
                <w:sz w:val="28"/>
                <w:szCs w:val="44"/>
              </w:rPr>
            </w:pPr>
            <w:r w:rsidRPr="00B93960">
              <w:rPr>
                <w:b/>
                <w:bCs/>
                <w:color w:val="1F1F1F"/>
                <w:sz w:val="28"/>
                <w:szCs w:val="44"/>
              </w:rPr>
              <w:t>5</w:t>
            </w:r>
          </w:p>
        </w:tc>
        <w:tc>
          <w:tcPr>
            <w:tcW w:w="1478" w:type="dxa"/>
            <w:vAlign w:val="center"/>
          </w:tcPr>
          <w:p w14:paraId="3A649F9B" w14:textId="77777777" w:rsidR="00DC183E" w:rsidRPr="00B93960" w:rsidRDefault="00DC183E" w:rsidP="00687230">
            <w:pPr>
              <w:jc w:val="center"/>
              <w:rPr>
                <w:color w:val="auto"/>
                <w:sz w:val="28"/>
                <w:szCs w:val="44"/>
              </w:rPr>
            </w:pPr>
            <w:r w:rsidRPr="00B93960">
              <w:rPr>
                <w:color w:val="1F1F1F"/>
                <w:sz w:val="28"/>
                <w:szCs w:val="44"/>
              </w:rPr>
              <w:t>5</w:t>
            </w:r>
          </w:p>
        </w:tc>
        <w:tc>
          <w:tcPr>
            <w:tcW w:w="1479" w:type="dxa"/>
            <w:vAlign w:val="center"/>
          </w:tcPr>
          <w:p w14:paraId="414BCC5C" w14:textId="77777777" w:rsidR="00DC183E" w:rsidRPr="00B93960" w:rsidRDefault="00DC183E" w:rsidP="00687230">
            <w:pPr>
              <w:jc w:val="center"/>
              <w:rPr>
                <w:color w:val="auto"/>
                <w:sz w:val="28"/>
                <w:szCs w:val="44"/>
              </w:rPr>
            </w:pPr>
            <w:r w:rsidRPr="00B93960">
              <w:rPr>
                <w:color w:val="1F1F1F"/>
                <w:sz w:val="28"/>
                <w:szCs w:val="44"/>
              </w:rPr>
              <w:t>0</w:t>
            </w:r>
          </w:p>
        </w:tc>
        <w:tc>
          <w:tcPr>
            <w:tcW w:w="1479" w:type="dxa"/>
            <w:vAlign w:val="center"/>
          </w:tcPr>
          <w:p w14:paraId="13EBB11A" w14:textId="77777777" w:rsidR="00DC183E" w:rsidRPr="00B93960" w:rsidRDefault="00DC183E" w:rsidP="00687230">
            <w:pPr>
              <w:jc w:val="center"/>
              <w:rPr>
                <w:color w:val="auto"/>
                <w:sz w:val="28"/>
                <w:szCs w:val="44"/>
              </w:rPr>
            </w:pPr>
            <w:r w:rsidRPr="00B93960">
              <w:rPr>
                <w:color w:val="1F1F1F"/>
                <w:sz w:val="28"/>
                <w:szCs w:val="44"/>
              </w:rPr>
              <w:t>0</w:t>
            </w:r>
          </w:p>
        </w:tc>
      </w:tr>
      <w:tr w:rsidR="00DC183E" w:rsidRPr="007132DC" w14:paraId="2E39E070" w14:textId="77777777" w:rsidTr="00C256E5">
        <w:trPr>
          <w:trHeight w:val="419"/>
          <w:jc w:val="center"/>
        </w:trPr>
        <w:tc>
          <w:tcPr>
            <w:tcW w:w="11180" w:type="dxa"/>
            <w:gridSpan w:val="2"/>
            <w:shd w:val="clear" w:color="auto" w:fill="F3F1EC"/>
            <w:vAlign w:val="center"/>
          </w:tcPr>
          <w:p w14:paraId="1E230225" w14:textId="77777777" w:rsidR="00DC183E" w:rsidRPr="007132DC" w:rsidRDefault="00DC183E" w:rsidP="0020541F">
            <w:pPr>
              <w:jc w:val="right"/>
              <w:rPr>
                <w:b/>
                <w:bCs/>
                <w:color w:val="1F1F1F"/>
                <w:sz w:val="28"/>
                <w:szCs w:val="44"/>
              </w:rPr>
            </w:pPr>
            <w:r w:rsidRPr="007132DC">
              <w:rPr>
                <w:b/>
                <w:bCs/>
                <w:color w:val="auto"/>
                <w:sz w:val="28"/>
                <w:szCs w:val="44"/>
              </w:rPr>
              <w:t>Total</w:t>
            </w:r>
          </w:p>
        </w:tc>
        <w:tc>
          <w:tcPr>
            <w:tcW w:w="1962" w:type="dxa"/>
            <w:shd w:val="clear" w:color="auto" w:fill="244F50"/>
            <w:vAlign w:val="center"/>
          </w:tcPr>
          <w:p w14:paraId="40161996" w14:textId="77777777" w:rsidR="00DC183E" w:rsidRPr="007132DC" w:rsidRDefault="00DC183E" w:rsidP="00887A82">
            <w:pPr>
              <w:jc w:val="center"/>
              <w:rPr>
                <w:b/>
                <w:bCs/>
                <w:color w:val="FFFFFF" w:themeColor="background1"/>
                <w:sz w:val="28"/>
                <w:szCs w:val="44"/>
              </w:rPr>
            </w:pPr>
            <w:r w:rsidRPr="007132DC">
              <w:rPr>
                <w:b/>
                <w:bCs/>
                <w:color w:val="FFFFFF" w:themeColor="background1"/>
                <w:sz w:val="28"/>
                <w:szCs w:val="44"/>
              </w:rPr>
              <w:t>45</w:t>
            </w:r>
          </w:p>
        </w:tc>
        <w:tc>
          <w:tcPr>
            <w:tcW w:w="1478" w:type="dxa"/>
            <w:vAlign w:val="center"/>
          </w:tcPr>
          <w:p w14:paraId="2AE068A9" w14:textId="77777777" w:rsidR="00DC183E" w:rsidRPr="007132DC" w:rsidRDefault="00DC183E" w:rsidP="00887A82">
            <w:pPr>
              <w:jc w:val="center"/>
              <w:rPr>
                <w:b/>
                <w:bCs/>
                <w:color w:val="1F1F1F"/>
                <w:sz w:val="28"/>
                <w:szCs w:val="44"/>
              </w:rPr>
            </w:pPr>
            <w:r w:rsidRPr="007132DC">
              <w:rPr>
                <w:b/>
                <w:bCs/>
                <w:color w:val="1F1F1F"/>
                <w:sz w:val="28"/>
                <w:szCs w:val="44"/>
              </w:rPr>
              <w:t>40</w:t>
            </w:r>
          </w:p>
        </w:tc>
        <w:tc>
          <w:tcPr>
            <w:tcW w:w="1479" w:type="dxa"/>
            <w:vAlign w:val="center"/>
          </w:tcPr>
          <w:p w14:paraId="7E1BD4B6" w14:textId="77777777" w:rsidR="00DC183E" w:rsidRPr="007132DC" w:rsidRDefault="00DC183E" w:rsidP="00887A82">
            <w:pPr>
              <w:jc w:val="center"/>
              <w:rPr>
                <w:b/>
                <w:bCs/>
                <w:color w:val="1F1F1F"/>
                <w:sz w:val="28"/>
                <w:szCs w:val="44"/>
              </w:rPr>
            </w:pPr>
            <w:r w:rsidRPr="007132DC">
              <w:rPr>
                <w:b/>
                <w:bCs/>
                <w:color w:val="1F1F1F"/>
                <w:sz w:val="28"/>
                <w:szCs w:val="44"/>
              </w:rPr>
              <w:t>4</w:t>
            </w:r>
          </w:p>
        </w:tc>
        <w:tc>
          <w:tcPr>
            <w:tcW w:w="1479" w:type="dxa"/>
            <w:vAlign w:val="center"/>
          </w:tcPr>
          <w:p w14:paraId="0CBC4899" w14:textId="77777777" w:rsidR="00DC183E" w:rsidRPr="007132DC" w:rsidRDefault="00DC183E" w:rsidP="00887A82">
            <w:pPr>
              <w:jc w:val="center"/>
              <w:rPr>
                <w:b/>
                <w:bCs/>
                <w:color w:val="1F1F1F"/>
                <w:sz w:val="28"/>
                <w:szCs w:val="44"/>
              </w:rPr>
            </w:pPr>
            <w:r w:rsidRPr="007132DC">
              <w:rPr>
                <w:b/>
                <w:bCs/>
                <w:color w:val="1F1F1F"/>
                <w:sz w:val="28"/>
                <w:szCs w:val="44"/>
              </w:rPr>
              <w:t>1</w:t>
            </w:r>
          </w:p>
        </w:tc>
      </w:tr>
    </w:tbl>
    <w:p w14:paraId="2E4D427C" w14:textId="1E2830CA" w:rsidR="006807E8" w:rsidRPr="00DC183E" w:rsidRDefault="000072CF" w:rsidP="001728D2">
      <w:pPr>
        <w:pageBreakBefore/>
        <w:pBdr>
          <w:top w:val="single" w:sz="6" w:space="1" w:color="000000" w:themeColor="text1"/>
          <w:left w:val="single" w:sz="6" w:space="4" w:color="000000" w:themeColor="text1"/>
          <w:bottom w:val="single" w:sz="6" w:space="1" w:color="000000" w:themeColor="text1"/>
          <w:right w:val="single" w:sz="6" w:space="4" w:color="000000" w:themeColor="text1"/>
        </w:pBdr>
        <w:shd w:val="clear" w:color="auto" w:fill="A64F24"/>
        <w:spacing w:after="160"/>
        <w:rPr>
          <w:sz w:val="28"/>
          <w:szCs w:val="28"/>
        </w:rPr>
      </w:pPr>
      <w:r w:rsidRPr="00DC183E">
        <w:rPr>
          <w:b/>
          <w:color w:val="FFFFFF"/>
          <w:sz w:val="32"/>
          <w:szCs w:val="32"/>
        </w:rPr>
        <w:lastRenderedPageBreak/>
        <w:t>Goal I | Preserve and Create Quality Affordable Housing Opportunities</w:t>
      </w:r>
    </w:p>
    <w:tbl>
      <w:tblPr>
        <w:tblStyle w:val="TableGrid"/>
        <w:tblW w:w="1745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42"/>
        <w:gridCol w:w="7594"/>
        <w:gridCol w:w="1143"/>
        <w:gridCol w:w="7471"/>
      </w:tblGrid>
      <w:tr w:rsidR="006807E8" w:rsidRPr="00383E1D" w14:paraId="72A6136C" w14:textId="77777777" w:rsidTr="00951D47">
        <w:trPr>
          <w:trHeight w:val="313"/>
          <w:tblHeader/>
          <w:jc w:val="center"/>
        </w:trPr>
        <w:tc>
          <w:tcPr>
            <w:tcW w:w="0" w:type="auto"/>
            <w:tcBorders>
              <w:right w:val="nil"/>
            </w:tcBorders>
            <w:shd w:val="clear" w:color="auto" w:fill="FFC000"/>
            <w:vAlign w:val="center"/>
          </w:tcPr>
          <w:p w14:paraId="64FC58ED" w14:textId="4E3EAF25" w:rsidR="006807E8" w:rsidRPr="00383E1D" w:rsidRDefault="006807E8" w:rsidP="005F5A6C">
            <w:pPr>
              <w:jc w:val="center"/>
              <w:rPr>
                <w:sz w:val="22"/>
              </w:rPr>
            </w:pPr>
          </w:p>
        </w:tc>
        <w:tc>
          <w:tcPr>
            <w:tcW w:w="0" w:type="auto"/>
            <w:tcBorders>
              <w:left w:val="nil"/>
            </w:tcBorders>
            <w:shd w:val="clear" w:color="auto" w:fill="FFC000"/>
            <w:vAlign w:val="center"/>
          </w:tcPr>
          <w:p w14:paraId="3FEC59AF" w14:textId="2E715604" w:rsidR="006807E8" w:rsidRPr="00D65A78" w:rsidRDefault="000072CF" w:rsidP="005F5A6C">
            <w:pPr>
              <w:jc w:val="center"/>
              <w:rPr>
                <w:color w:val="auto"/>
                <w:sz w:val="28"/>
                <w:szCs w:val="28"/>
              </w:rPr>
            </w:pPr>
            <w:r w:rsidRPr="00D65A78">
              <w:rPr>
                <w:b/>
                <w:color w:val="auto"/>
                <w:sz w:val="28"/>
                <w:szCs w:val="28"/>
              </w:rPr>
              <w:t>Objective</w:t>
            </w:r>
          </w:p>
        </w:tc>
        <w:tc>
          <w:tcPr>
            <w:tcW w:w="0" w:type="auto"/>
            <w:shd w:val="clear" w:color="auto" w:fill="FFC000"/>
            <w:vAlign w:val="center"/>
          </w:tcPr>
          <w:p w14:paraId="69396364" w14:textId="77777777" w:rsidR="006807E8" w:rsidRPr="00D65A78" w:rsidRDefault="000072CF" w:rsidP="005F5A6C">
            <w:pPr>
              <w:jc w:val="center"/>
              <w:rPr>
                <w:color w:val="auto"/>
                <w:sz w:val="28"/>
                <w:szCs w:val="28"/>
              </w:rPr>
            </w:pPr>
            <w:r w:rsidRPr="00D65A78">
              <w:rPr>
                <w:b/>
                <w:color w:val="auto"/>
                <w:sz w:val="28"/>
                <w:szCs w:val="28"/>
              </w:rPr>
              <w:t>Status</w:t>
            </w:r>
          </w:p>
        </w:tc>
        <w:tc>
          <w:tcPr>
            <w:tcW w:w="7471" w:type="dxa"/>
            <w:shd w:val="clear" w:color="auto" w:fill="FFC000"/>
            <w:vAlign w:val="center"/>
          </w:tcPr>
          <w:p w14:paraId="59A6E4D8" w14:textId="77777777" w:rsidR="006807E8" w:rsidRPr="00D65A78" w:rsidRDefault="000072CF" w:rsidP="005F5A6C">
            <w:pPr>
              <w:jc w:val="center"/>
              <w:rPr>
                <w:color w:val="auto"/>
                <w:sz w:val="28"/>
                <w:szCs w:val="28"/>
              </w:rPr>
            </w:pPr>
            <w:r w:rsidRPr="00D65A78">
              <w:rPr>
                <w:b/>
                <w:color w:val="auto"/>
                <w:sz w:val="28"/>
                <w:szCs w:val="28"/>
              </w:rPr>
              <w:t>Progress Update</w:t>
            </w:r>
          </w:p>
        </w:tc>
      </w:tr>
      <w:tr w:rsidR="006807E8" w:rsidRPr="00383E1D" w14:paraId="40108275" w14:textId="77777777" w:rsidTr="00951D47">
        <w:trPr>
          <w:trHeight w:val="772"/>
          <w:jc w:val="center"/>
        </w:trPr>
        <w:tc>
          <w:tcPr>
            <w:tcW w:w="0" w:type="auto"/>
            <w:shd w:val="clear" w:color="auto" w:fill="244F50"/>
            <w:vAlign w:val="center"/>
          </w:tcPr>
          <w:p w14:paraId="68441815" w14:textId="77777777" w:rsidR="006807E8" w:rsidRPr="00383E1D" w:rsidRDefault="000072CF" w:rsidP="005F5A6C">
            <w:pPr>
              <w:jc w:val="center"/>
              <w:rPr>
                <w:color w:val="FFFFFF" w:themeColor="background1"/>
                <w:sz w:val="22"/>
              </w:rPr>
            </w:pPr>
            <w:r w:rsidRPr="00383E1D">
              <w:rPr>
                <w:b/>
                <w:color w:val="FFFFFF" w:themeColor="background1"/>
                <w:sz w:val="22"/>
              </w:rPr>
              <w:t>Objective 1</w:t>
            </w:r>
          </w:p>
        </w:tc>
        <w:tc>
          <w:tcPr>
            <w:tcW w:w="0" w:type="auto"/>
            <w:shd w:val="clear" w:color="auto" w:fill="F3F1EC"/>
            <w:vAlign w:val="center"/>
          </w:tcPr>
          <w:p w14:paraId="175CD598" w14:textId="77777777" w:rsidR="006807E8" w:rsidRPr="00383E1D" w:rsidRDefault="000072CF" w:rsidP="005F5A6C">
            <w:pPr>
              <w:rPr>
                <w:sz w:val="22"/>
              </w:rPr>
            </w:pPr>
            <w:r w:rsidRPr="00383E1D">
              <w:rPr>
                <w:b/>
                <w:color w:val="000000"/>
                <w:sz w:val="22"/>
              </w:rPr>
              <w:t>Maintain 100% lease-up/voucher utilization in all programs</w:t>
            </w:r>
          </w:p>
        </w:tc>
        <w:tc>
          <w:tcPr>
            <w:tcW w:w="0" w:type="auto"/>
            <w:vAlign w:val="center"/>
          </w:tcPr>
          <w:p w14:paraId="5F7AD446" w14:textId="77777777" w:rsidR="006807E8" w:rsidRPr="00383E1D" w:rsidRDefault="000072CF" w:rsidP="005F5A6C">
            <w:pPr>
              <w:jc w:val="center"/>
              <w:rPr>
                <w:sz w:val="22"/>
              </w:rPr>
            </w:pPr>
            <w:r w:rsidRPr="00383E1D">
              <w:rPr>
                <w:b/>
                <w:color w:val="1F4E1F"/>
                <w:sz w:val="22"/>
              </w:rPr>
              <w:t>Met</w:t>
            </w:r>
          </w:p>
        </w:tc>
        <w:tc>
          <w:tcPr>
            <w:tcW w:w="7471" w:type="dxa"/>
            <w:vAlign w:val="center"/>
          </w:tcPr>
          <w:p w14:paraId="062E7A25" w14:textId="7A6EC3BF" w:rsidR="006807E8" w:rsidRPr="00383E1D" w:rsidRDefault="079D5683" w:rsidP="005F5A6C">
            <w:pPr>
              <w:rPr>
                <w:sz w:val="22"/>
              </w:rPr>
            </w:pPr>
            <w:r w:rsidRPr="7C9F70AD">
              <w:rPr>
                <w:rFonts w:cs="Aptos"/>
                <w:color w:val="000000" w:themeColor="text1"/>
                <w:sz w:val="24"/>
                <w:szCs w:val="24"/>
              </w:rPr>
              <w:t>Marin Housing Authority achieved 100% utilization within its Housing Choice Voucher program and AMP 2 portfolio during the reporting period. Golden Gate Village was not actively filling all vacancies, because those units were intentionally held to support resident relocation needs associated with the ongoing repositioning and redevelopment process. The vacancies were strategic and programmatic rather than attributable to leasing performance or demand, and the objective was considered achieved.</w:t>
            </w:r>
          </w:p>
        </w:tc>
      </w:tr>
      <w:tr w:rsidR="006807E8" w:rsidRPr="00383E1D" w14:paraId="6CC3217D" w14:textId="77777777" w:rsidTr="00951D47">
        <w:trPr>
          <w:trHeight w:val="1016"/>
          <w:jc w:val="center"/>
        </w:trPr>
        <w:tc>
          <w:tcPr>
            <w:tcW w:w="0" w:type="auto"/>
            <w:tcBorders>
              <w:bottom w:val="single" w:sz="8" w:space="0" w:color="000000" w:themeColor="text1"/>
            </w:tcBorders>
            <w:shd w:val="clear" w:color="auto" w:fill="244F50"/>
            <w:vAlign w:val="center"/>
          </w:tcPr>
          <w:p w14:paraId="54699200" w14:textId="77777777" w:rsidR="006807E8" w:rsidRPr="00383E1D" w:rsidRDefault="000072CF" w:rsidP="005F5A6C">
            <w:pPr>
              <w:jc w:val="center"/>
              <w:rPr>
                <w:color w:val="FFFFFF" w:themeColor="background1"/>
                <w:sz w:val="22"/>
              </w:rPr>
            </w:pPr>
            <w:r w:rsidRPr="00383E1D">
              <w:rPr>
                <w:b/>
                <w:color w:val="FFFFFF" w:themeColor="background1"/>
                <w:sz w:val="22"/>
              </w:rPr>
              <w:t>Objective 1.1</w:t>
            </w:r>
          </w:p>
        </w:tc>
        <w:tc>
          <w:tcPr>
            <w:tcW w:w="0" w:type="auto"/>
            <w:shd w:val="clear" w:color="auto" w:fill="F3F1EC"/>
            <w:vAlign w:val="center"/>
          </w:tcPr>
          <w:p w14:paraId="7112FF7C" w14:textId="77777777" w:rsidR="006807E8" w:rsidRPr="00383E1D" w:rsidRDefault="000072CF" w:rsidP="005F5A6C">
            <w:pPr>
              <w:rPr>
                <w:sz w:val="22"/>
              </w:rPr>
            </w:pPr>
            <w:r w:rsidRPr="00383E1D">
              <w:rPr>
                <w:b/>
                <w:color w:val="000000"/>
                <w:sz w:val="22"/>
              </w:rPr>
              <w:t>Maintain an average vacancy turnover rate of 14 days for MHA-owned units</w:t>
            </w:r>
          </w:p>
        </w:tc>
        <w:tc>
          <w:tcPr>
            <w:tcW w:w="0" w:type="auto"/>
            <w:vAlign w:val="center"/>
          </w:tcPr>
          <w:p w14:paraId="00E0310F" w14:textId="77777777" w:rsidR="006807E8" w:rsidRPr="00383E1D" w:rsidRDefault="000072CF" w:rsidP="005F5A6C">
            <w:pPr>
              <w:jc w:val="center"/>
              <w:rPr>
                <w:sz w:val="22"/>
              </w:rPr>
            </w:pPr>
            <w:r w:rsidRPr="00383E1D">
              <w:rPr>
                <w:b/>
                <w:color w:val="000000" w:themeColor="text1"/>
                <w:sz w:val="22"/>
              </w:rPr>
              <w:t>Not Met</w:t>
            </w:r>
          </w:p>
        </w:tc>
        <w:tc>
          <w:tcPr>
            <w:tcW w:w="7471" w:type="dxa"/>
            <w:vAlign w:val="center"/>
          </w:tcPr>
          <w:p w14:paraId="645C670F" w14:textId="4440AD37" w:rsidR="006807E8" w:rsidRPr="00383E1D" w:rsidRDefault="66B778E0" w:rsidP="7C9F70AD">
            <w:pPr>
              <w:spacing w:after="200" w:line="276" w:lineRule="auto"/>
              <w:rPr>
                <w:rFonts w:cs="Aptos"/>
                <w:color w:val="000000" w:themeColor="text1"/>
                <w:sz w:val="24"/>
                <w:szCs w:val="24"/>
              </w:rPr>
            </w:pPr>
            <w:r w:rsidRPr="7C9F70AD">
              <w:rPr>
                <w:rFonts w:cs="Aptos"/>
                <w:color w:val="000000" w:themeColor="text1"/>
                <w:sz w:val="24"/>
                <w:szCs w:val="24"/>
              </w:rPr>
              <w:t>The 14-day turnover target was not achieved during the reporting period. Extended vacancies were primarily attributable to pest remediation, extensive rehabilitation work, temporary relocation requirements, and resident transfer activities necessary to ensure units were safe, habitable, and available for occupancy.</w:t>
            </w:r>
          </w:p>
          <w:p w14:paraId="33C6CD6A" w14:textId="0DBBCB4D" w:rsidR="006807E8" w:rsidRPr="00383E1D" w:rsidRDefault="66B778E0" w:rsidP="005F5A6C">
            <w:pPr>
              <w:rPr>
                <w:rFonts w:cs="Aptos"/>
                <w:sz w:val="24"/>
                <w:szCs w:val="24"/>
              </w:rPr>
            </w:pPr>
            <w:r w:rsidRPr="7C9F70AD">
              <w:rPr>
                <w:rFonts w:cs="Aptos"/>
                <w:color w:val="000000" w:themeColor="text1"/>
                <w:sz w:val="24"/>
                <w:szCs w:val="24"/>
              </w:rPr>
              <w:t xml:space="preserve">MHA </w:t>
            </w:r>
            <w:r w:rsidR="000072CF" w:rsidRPr="7C9F70AD">
              <w:rPr>
                <w:rFonts w:cs="Aptos"/>
                <w:color w:val="000000" w:themeColor="text1"/>
                <w:sz w:val="24"/>
                <w:szCs w:val="24"/>
              </w:rPr>
              <w:t xml:space="preserve">completed </w:t>
            </w:r>
            <w:proofErr w:type="gramStart"/>
            <w:r w:rsidRPr="7C9F70AD">
              <w:rPr>
                <w:rFonts w:cs="Aptos"/>
                <w:color w:val="000000" w:themeColor="text1"/>
                <w:sz w:val="24"/>
                <w:szCs w:val="24"/>
              </w:rPr>
              <w:t>28 unit</w:t>
            </w:r>
            <w:proofErr w:type="gramEnd"/>
            <w:r w:rsidRPr="7C9F70AD">
              <w:rPr>
                <w:rFonts w:cs="Aptos"/>
                <w:color w:val="000000" w:themeColor="text1"/>
                <w:sz w:val="24"/>
                <w:szCs w:val="24"/>
              </w:rPr>
              <w:t xml:space="preserve"> </w:t>
            </w:r>
            <w:r w:rsidR="000072CF" w:rsidRPr="7C9F70AD">
              <w:rPr>
                <w:rFonts w:cs="Aptos"/>
                <w:color w:val="000000" w:themeColor="text1"/>
                <w:sz w:val="24"/>
                <w:szCs w:val="24"/>
              </w:rPr>
              <w:t xml:space="preserve">turnovers </w:t>
            </w:r>
            <w:r w:rsidRPr="7C9F70AD">
              <w:rPr>
                <w:rFonts w:cs="Aptos"/>
                <w:color w:val="000000" w:themeColor="text1"/>
                <w:sz w:val="24"/>
                <w:szCs w:val="24"/>
              </w:rPr>
              <w:t xml:space="preserve">within the AMP 2 portfolio. Of those units, </w:t>
            </w:r>
            <w:r w:rsidR="000072CF" w:rsidRPr="7C9F70AD">
              <w:rPr>
                <w:rFonts w:cs="Aptos"/>
                <w:color w:val="000000" w:themeColor="text1"/>
                <w:sz w:val="24"/>
                <w:szCs w:val="24"/>
              </w:rPr>
              <w:t xml:space="preserve">6 </w:t>
            </w:r>
            <w:r w:rsidRPr="7C9F70AD">
              <w:rPr>
                <w:rFonts w:cs="Aptos"/>
                <w:color w:val="000000" w:themeColor="text1"/>
                <w:sz w:val="24"/>
                <w:szCs w:val="24"/>
              </w:rPr>
              <w:t>(21%)</w:t>
            </w:r>
            <w:r w:rsidR="000072CF" w:rsidRPr="7C9F70AD">
              <w:rPr>
                <w:rFonts w:cs="Aptos"/>
                <w:color w:val="000000" w:themeColor="text1"/>
                <w:sz w:val="24"/>
                <w:szCs w:val="24"/>
              </w:rPr>
              <w:t xml:space="preserve"> were turned over within </w:t>
            </w:r>
            <w:r w:rsidRPr="7C9F70AD">
              <w:rPr>
                <w:rFonts w:cs="Aptos"/>
                <w:color w:val="000000" w:themeColor="text1"/>
                <w:sz w:val="24"/>
                <w:szCs w:val="24"/>
              </w:rPr>
              <w:t>the 14-day target,</w:t>
            </w:r>
            <w:r w:rsidR="000072CF" w:rsidRPr="7C9F70AD">
              <w:rPr>
                <w:rFonts w:cs="Aptos"/>
                <w:color w:val="000000" w:themeColor="text1"/>
                <w:sz w:val="24"/>
                <w:szCs w:val="24"/>
              </w:rPr>
              <w:t xml:space="preserve"> 12 </w:t>
            </w:r>
            <w:r w:rsidRPr="7C9F70AD">
              <w:rPr>
                <w:rFonts w:cs="Aptos"/>
                <w:color w:val="000000" w:themeColor="text1"/>
                <w:sz w:val="24"/>
                <w:szCs w:val="24"/>
              </w:rPr>
              <w:t>units were completed within 15 to 30 days, and 10 units exceeded 30 days due to the factors noted above.</w:t>
            </w:r>
          </w:p>
        </w:tc>
      </w:tr>
      <w:tr w:rsidR="006807E8" w:rsidRPr="00383E1D" w14:paraId="11480DA4" w14:textId="77777777" w:rsidTr="7C9F70AD">
        <w:trPr>
          <w:trHeight w:val="1440"/>
          <w:jc w:val="center"/>
        </w:trPr>
        <w:tc>
          <w:tcPr>
            <w:tcW w:w="0" w:type="auto"/>
            <w:shd w:val="clear" w:color="auto" w:fill="244F50"/>
            <w:vAlign w:val="center"/>
          </w:tcPr>
          <w:p w14:paraId="14E8B6C8" w14:textId="77777777" w:rsidR="006807E8" w:rsidRPr="00383E1D" w:rsidRDefault="000072CF" w:rsidP="005F5A6C">
            <w:pPr>
              <w:jc w:val="center"/>
              <w:rPr>
                <w:color w:val="FFFFFF" w:themeColor="background1"/>
                <w:sz w:val="22"/>
              </w:rPr>
            </w:pPr>
            <w:r w:rsidRPr="00383E1D">
              <w:rPr>
                <w:b/>
                <w:color w:val="FFFFFF" w:themeColor="background1"/>
                <w:sz w:val="22"/>
              </w:rPr>
              <w:t>Objective 2</w:t>
            </w:r>
          </w:p>
        </w:tc>
        <w:tc>
          <w:tcPr>
            <w:tcW w:w="0" w:type="auto"/>
            <w:shd w:val="clear" w:color="auto" w:fill="F3F1EC"/>
            <w:vAlign w:val="center"/>
          </w:tcPr>
          <w:p w14:paraId="3EB8C3FD" w14:textId="77777777" w:rsidR="006807E8" w:rsidRPr="00383E1D" w:rsidRDefault="000072CF" w:rsidP="005F5A6C">
            <w:pPr>
              <w:rPr>
                <w:sz w:val="22"/>
              </w:rPr>
            </w:pPr>
            <w:r w:rsidRPr="00383E1D">
              <w:rPr>
                <w:b/>
                <w:color w:val="000000"/>
                <w:sz w:val="22"/>
              </w:rPr>
              <w:t>Convert GGV (AMP001) to a local project-based voucher property using RAD/Section 18 Blend. The conversion will include recapitalizing GGV using Low-Income Housing Tax Credits, seller financing and other available resources needed to complete the revitalization.</w:t>
            </w:r>
          </w:p>
        </w:tc>
        <w:tc>
          <w:tcPr>
            <w:tcW w:w="0" w:type="auto"/>
            <w:vAlign w:val="center"/>
          </w:tcPr>
          <w:p w14:paraId="514396A1" w14:textId="77777777" w:rsidR="006807E8" w:rsidRPr="00383E1D" w:rsidRDefault="000072CF" w:rsidP="005F5A6C">
            <w:pPr>
              <w:jc w:val="center"/>
              <w:rPr>
                <w:sz w:val="22"/>
              </w:rPr>
            </w:pPr>
            <w:r w:rsidRPr="00383E1D">
              <w:rPr>
                <w:b/>
                <w:color w:val="1F4E1F"/>
                <w:sz w:val="22"/>
              </w:rPr>
              <w:t>Met</w:t>
            </w:r>
          </w:p>
        </w:tc>
        <w:tc>
          <w:tcPr>
            <w:tcW w:w="7471" w:type="dxa"/>
            <w:vAlign w:val="center"/>
          </w:tcPr>
          <w:p w14:paraId="2D17CEAA" w14:textId="3811B754" w:rsidR="7C9F70AD" w:rsidRDefault="7C9F70AD" w:rsidP="7C9F70AD">
            <w:pPr>
              <w:rPr>
                <w:rFonts w:cs="Aptos"/>
                <w:color w:val="000000" w:themeColor="text1"/>
                <w:sz w:val="24"/>
                <w:szCs w:val="24"/>
              </w:rPr>
            </w:pPr>
            <w:r w:rsidRPr="7C9F70AD">
              <w:rPr>
                <w:rFonts w:cs="Aptos"/>
                <w:color w:val="000000" w:themeColor="text1"/>
                <w:sz w:val="24"/>
                <w:szCs w:val="24"/>
              </w:rPr>
              <w:t>Golden Gate Village successfully achieved the major milestones necessary to advance the Phase 1 revitalization and repositioning effort. During the reporting period, Marin Housing Authority received HUD approval for the RAD/Section 18 Blend conversion and secured Low-Income Housing Tax Credit financing for Phase 1 of the redevelopment.</w:t>
            </w:r>
          </w:p>
          <w:p w14:paraId="3604281B" w14:textId="1A7AA4E6" w:rsidR="7C9F70AD" w:rsidRDefault="7C9F70AD" w:rsidP="7C9F70AD">
            <w:pPr>
              <w:rPr>
                <w:rFonts w:cs="Aptos"/>
                <w:color w:val="000000" w:themeColor="text1"/>
                <w:sz w:val="24"/>
                <w:szCs w:val="24"/>
              </w:rPr>
            </w:pPr>
            <w:r w:rsidRPr="7C9F70AD">
              <w:rPr>
                <w:rFonts w:cs="Aptos"/>
                <w:color w:val="000000" w:themeColor="text1"/>
                <w:sz w:val="24"/>
                <w:szCs w:val="24"/>
              </w:rPr>
              <w:lastRenderedPageBreak/>
              <w:t>These approvals positioned the project to proceed to financial closing, scheduled for June 23, 2026, with resident relocations anticipated to begin on July 1, 2026. The successful completion of these financing and regulatory milestones represents a significant step toward the long-term preservation, recapitalization, and revitalization of Golden Gate Village.</w:t>
            </w:r>
          </w:p>
          <w:p w14:paraId="0293E790" w14:textId="7A878F86" w:rsidR="7C9F70AD" w:rsidRPr="7C9F70AD" w:rsidRDefault="7C9F70AD" w:rsidP="7C9F70AD">
            <w:pPr>
              <w:rPr>
                <w:rFonts w:cs="Aptos"/>
                <w:color w:val="000000" w:themeColor="text1"/>
                <w:sz w:val="24"/>
                <w:szCs w:val="24"/>
              </w:rPr>
            </w:pPr>
          </w:p>
        </w:tc>
      </w:tr>
      <w:tr w:rsidR="006807E8" w:rsidRPr="00383E1D" w14:paraId="60E1D841" w14:textId="77777777" w:rsidTr="7C9F70AD">
        <w:trPr>
          <w:trHeight w:val="1213"/>
          <w:jc w:val="center"/>
        </w:trPr>
        <w:tc>
          <w:tcPr>
            <w:tcW w:w="0" w:type="auto"/>
            <w:shd w:val="clear" w:color="auto" w:fill="244F50"/>
            <w:vAlign w:val="center"/>
          </w:tcPr>
          <w:p w14:paraId="14400633" w14:textId="77777777" w:rsidR="006807E8" w:rsidRPr="00383E1D" w:rsidRDefault="000072CF" w:rsidP="005F5A6C">
            <w:pPr>
              <w:jc w:val="center"/>
              <w:rPr>
                <w:color w:val="FFFFFF" w:themeColor="background1"/>
                <w:sz w:val="22"/>
              </w:rPr>
            </w:pPr>
            <w:r w:rsidRPr="00383E1D">
              <w:rPr>
                <w:b/>
                <w:color w:val="FFFFFF" w:themeColor="background1"/>
                <w:sz w:val="22"/>
              </w:rPr>
              <w:lastRenderedPageBreak/>
              <w:t>Objective 2.1</w:t>
            </w:r>
          </w:p>
        </w:tc>
        <w:tc>
          <w:tcPr>
            <w:tcW w:w="0" w:type="auto"/>
            <w:shd w:val="clear" w:color="auto" w:fill="F3F1EC"/>
            <w:vAlign w:val="center"/>
          </w:tcPr>
          <w:p w14:paraId="773AA026" w14:textId="77777777" w:rsidR="006807E8" w:rsidRPr="00383E1D" w:rsidRDefault="000072CF" w:rsidP="005F5A6C">
            <w:pPr>
              <w:rPr>
                <w:sz w:val="22"/>
              </w:rPr>
            </w:pPr>
            <w:r w:rsidRPr="00383E1D">
              <w:rPr>
                <w:b/>
                <w:color w:val="000000"/>
                <w:sz w:val="22"/>
              </w:rPr>
              <w:t>Conversion of GGV will be conducted in phases with each phase being a separate RAD conversion/closing.</w:t>
            </w:r>
          </w:p>
        </w:tc>
        <w:tc>
          <w:tcPr>
            <w:tcW w:w="0" w:type="auto"/>
            <w:vAlign w:val="center"/>
          </w:tcPr>
          <w:p w14:paraId="1F1ED8E7" w14:textId="77777777" w:rsidR="006807E8" w:rsidRPr="00383E1D" w:rsidRDefault="000072CF" w:rsidP="005F5A6C">
            <w:pPr>
              <w:jc w:val="center"/>
              <w:rPr>
                <w:sz w:val="22"/>
              </w:rPr>
            </w:pPr>
            <w:r w:rsidRPr="00383E1D">
              <w:rPr>
                <w:b/>
                <w:color w:val="7A5B00"/>
                <w:sz w:val="22"/>
              </w:rPr>
              <w:t>In Progress</w:t>
            </w:r>
          </w:p>
        </w:tc>
        <w:tc>
          <w:tcPr>
            <w:tcW w:w="7471" w:type="dxa"/>
            <w:vAlign w:val="center"/>
          </w:tcPr>
          <w:p w14:paraId="583BB15A" w14:textId="626872BD" w:rsidR="7C9F70AD" w:rsidRDefault="7C9F70AD" w:rsidP="7C9F70AD">
            <w:pPr>
              <w:rPr>
                <w:rFonts w:cs="Aptos"/>
                <w:color w:val="000000" w:themeColor="text1"/>
                <w:sz w:val="24"/>
                <w:szCs w:val="24"/>
              </w:rPr>
            </w:pPr>
            <w:r w:rsidRPr="7C9F70AD">
              <w:rPr>
                <w:rFonts w:cs="Aptos"/>
                <w:color w:val="000000" w:themeColor="text1"/>
                <w:sz w:val="24"/>
                <w:szCs w:val="24"/>
              </w:rPr>
              <w:t>Implementation of the phased conversion strategy is underway as planned. Phase 1 consists of four subphases (A, B, C, and D) encompassing a total of 88 units and represents the initial stage of the Golden Gate Village repositioning and revitalization effort.</w:t>
            </w:r>
          </w:p>
          <w:p w14:paraId="33A82480" w14:textId="6359FB28" w:rsidR="7C9F70AD" w:rsidRDefault="7C9F70AD" w:rsidP="7C9F70AD">
            <w:pPr>
              <w:rPr>
                <w:rFonts w:cs="Aptos"/>
                <w:color w:val="000000" w:themeColor="text1"/>
                <w:sz w:val="24"/>
                <w:szCs w:val="24"/>
              </w:rPr>
            </w:pPr>
            <w:r w:rsidRPr="7C9F70AD">
              <w:rPr>
                <w:rFonts w:cs="Aptos"/>
                <w:color w:val="000000" w:themeColor="text1"/>
                <w:sz w:val="24"/>
                <w:szCs w:val="24"/>
              </w:rPr>
              <w:t>Planning for Phase 2, which will include all remaining units, is anticipated to begin in 2027. Each phase will proceed through its own RAD conversion and financing process consistent with the approved redevelopment strategy.</w:t>
            </w:r>
          </w:p>
          <w:p w14:paraId="780FB1F9" w14:textId="4F6818FF" w:rsidR="7C9F70AD" w:rsidRPr="7C9F70AD" w:rsidRDefault="7C9F70AD" w:rsidP="7C9F70AD">
            <w:pPr>
              <w:rPr>
                <w:rFonts w:cs="Aptos"/>
                <w:color w:val="000000" w:themeColor="text1"/>
                <w:sz w:val="24"/>
                <w:szCs w:val="24"/>
              </w:rPr>
            </w:pPr>
          </w:p>
        </w:tc>
      </w:tr>
      <w:tr w:rsidR="006807E8" w:rsidRPr="00383E1D" w14:paraId="3F3E9963" w14:textId="77777777" w:rsidTr="008224A8">
        <w:trPr>
          <w:trHeight w:val="979"/>
          <w:jc w:val="center"/>
        </w:trPr>
        <w:tc>
          <w:tcPr>
            <w:tcW w:w="0" w:type="auto"/>
            <w:shd w:val="clear" w:color="auto" w:fill="244F50"/>
            <w:vAlign w:val="center"/>
          </w:tcPr>
          <w:p w14:paraId="53322255" w14:textId="77777777" w:rsidR="006807E8" w:rsidRPr="00383E1D" w:rsidRDefault="000072CF" w:rsidP="005F5A6C">
            <w:pPr>
              <w:jc w:val="center"/>
              <w:rPr>
                <w:color w:val="FFFFFF" w:themeColor="background1"/>
                <w:sz w:val="22"/>
              </w:rPr>
            </w:pPr>
            <w:r w:rsidRPr="00383E1D">
              <w:rPr>
                <w:b/>
                <w:color w:val="FFFFFF" w:themeColor="background1"/>
                <w:sz w:val="22"/>
              </w:rPr>
              <w:t>Objective 2.2</w:t>
            </w:r>
          </w:p>
        </w:tc>
        <w:tc>
          <w:tcPr>
            <w:tcW w:w="0" w:type="auto"/>
            <w:shd w:val="clear" w:color="auto" w:fill="F3F1EC"/>
            <w:vAlign w:val="center"/>
          </w:tcPr>
          <w:p w14:paraId="455C0639" w14:textId="77777777" w:rsidR="006807E8" w:rsidRPr="00383E1D" w:rsidRDefault="000072CF" w:rsidP="005F5A6C">
            <w:pPr>
              <w:rPr>
                <w:sz w:val="22"/>
              </w:rPr>
            </w:pPr>
            <w:r w:rsidRPr="00383E1D">
              <w:rPr>
                <w:b/>
                <w:color w:val="000000"/>
                <w:sz w:val="22"/>
              </w:rPr>
              <w:t>Relocation of residents will occur for each phase. Relocation will be temporary as needed to support the renovation of buildings.</w:t>
            </w:r>
          </w:p>
        </w:tc>
        <w:tc>
          <w:tcPr>
            <w:tcW w:w="0" w:type="auto"/>
            <w:vAlign w:val="center"/>
          </w:tcPr>
          <w:p w14:paraId="76678F65" w14:textId="77777777" w:rsidR="006807E8" w:rsidRPr="00383E1D" w:rsidRDefault="000072CF" w:rsidP="005F5A6C">
            <w:pPr>
              <w:jc w:val="center"/>
              <w:rPr>
                <w:sz w:val="22"/>
              </w:rPr>
            </w:pPr>
            <w:r w:rsidRPr="00383E1D">
              <w:rPr>
                <w:b/>
                <w:color w:val="7A5B00"/>
                <w:sz w:val="22"/>
              </w:rPr>
              <w:t>In Progress</w:t>
            </w:r>
          </w:p>
        </w:tc>
        <w:tc>
          <w:tcPr>
            <w:tcW w:w="7471" w:type="dxa"/>
            <w:vAlign w:val="center"/>
          </w:tcPr>
          <w:p w14:paraId="72DA97B4" w14:textId="22E8CF66" w:rsidR="006807E8" w:rsidRPr="00383E1D" w:rsidRDefault="188A61CD" w:rsidP="7C9F70AD">
            <w:pPr>
              <w:spacing w:after="200" w:line="276" w:lineRule="auto"/>
              <w:rPr>
                <w:rFonts w:cs="Aptos"/>
                <w:color w:val="000000" w:themeColor="text1"/>
                <w:sz w:val="24"/>
                <w:szCs w:val="24"/>
              </w:rPr>
            </w:pPr>
            <w:r w:rsidRPr="7C9F70AD">
              <w:rPr>
                <w:rFonts w:cs="Aptos"/>
                <w:color w:val="000000" w:themeColor="text1"/>
                <w:sz w:val="24"/>
                <w:szCs w:val="24"/>
              </w:rPr>
              <w:t xml:space="preserve">Marin Housing Authority has developed a phased relocation strategy to support the renovation of Golden Gate Village while minimizing disruption to residents. </w:t>
            </w:r>
            <w:r w:rsidR="000072CF" w:rsidRPr="7C9F70AD">
              <w:rPr>
                <w:rFonts w:cs="Aptos"/>
                <w:color w:val="000000" w:themeColor="text1"/>
                <w:sz w:val="24"/>
                <w:szCs w:val="24"/>
              </w:rPr>
              <w:t xml:space="preserve">Residents </w:t>
            </w:r>
            <w:r w:rsidRPr="7C9F70AD">
              <w:rPr>
                <w:rFonts w:cs="Aptos"/>
                <w:color w:val="000000" w:themeColor="text1"/>
                <w:sz w:val="24"/>
                <w:szCs w:val="24"/>
              </w:rPr>
              <w:t xml:space="preserve">requiring temporary relocation during construction </w:t>
            </w:r>
            <w:r w:rsidR="000072CF" w:rsidRPr="7C9F70AD">
              <w:rPr>
                <w:rFonts w:cs="Aptos"/>
                <w:color w:val="000000" w:themeColor="text1"/>
                <w:sz w:val="24"/>
                <w:szCs w:val="24"/>
              </w:rPr>
              <w:t xml:space="preserve">will be </w:t>
            </w:r>
            <w:r w:rsidRPr="7C9F70AD">
              <w:rPr>
                <w:rFonts w:cs="Aptos"/>
                <w:color w:val="000000" w:themeColor="text1"/>
                <w:sz w:val="24"/>
                <w:szCs w:val="24"/>
              </w:rPr>
              <w:t>moved</w:t>
            </w:r>
            <w:r w:rsidR="000072CF" w:rsidRPr="7C9F70AD">
              <w:rPr>
                <w:rFonts w:cs="Aptos"/>
                <w:color w:val="000000" w:themeColor="text1"/>
                <w:sz w:val="24"/>
                <w:szCs w:val="24"/>
              </w:rPr>
              <w:t xml:space="preserve"> to available units within the property</w:t>
            </w:r>
            <w:r w:rsidRPr="7C9F70AD">
              <w:rPr>
                <w:rFonts w:cs="Aptos"/>
                <w:color w:val="000000" w:themeColor="text1"/>
                <w:sz w:val="24"/>
                <w:szCs w:val="24"/>
              </w:rPr>
              <w:t xml:space="preserve"> whenever feasible.</w:t>
            </w:r>
          </w:p>
          <w:p w14:paraId="6E4A0DC4" w14:textId="67F3AE48" w:rsidR="006807E8" w:rsidRPr="00383E1D" w:rsidRDefault="188A61CD" w:rsidP="7C9F70AD">
            <w:pPr>
              <w:spacing w:after="200" w:line="276" w:lineRule="auto"/>
              <w:rPr>
                <w:rFonts w:cs="Aptos"/>
                <w:color w:val="000000" w:themeColor="text1"/>
                <w:sz w:val="24"/>
                <w:szCs w:val="24"/>
              </w:rPr>
            </w:pPr>
            <w:r w:rsidRPr="7C9F70AD">
              <w:rPr>
                <w:rFonts w:cs="Aptos"/>
                <w:color w:val="000000" w:themeColor="text1"/>
                <w:sz w:val="24"/>
                <w:szCs w:val="24"/>
              </w:rPr>
              <w:t xml:space="preserve">Relocation activities are scheduled to begin in conjunction with Phase 1 implementation. All relocations will be conducted in accordance with applicable resident protections and project requirements to </w:t>
            </w:r>
            <w:r w:rsidRPr="7C9F70AD">
              <w:rPr>
                <w:rFonts w:cs="Aptos"/>
                <w:color w:val="000000" w:themeColor="text1"/>
                <w:sz w:val="24"/>
                <w:szCs w:val="24"/>
              </w:rPr>
              <w:lastRenderedPageBreak/>
              <w:t>support renovation activities while maintaining housing stability for affected households.</w:t>
            </w:r>
          </w:p>
          <w:p w14:paraId="7DF51BF6" w14:textId="04D38846" w:rsidR="006807E8" w:rsidRPr="00383E1D" w:rsidRDefault="006807E8" w:rsidP="005F5A6C">
            <w:pPr>
              <w:rPr>
                <w:color w:val="000000" w:themeColor="text1"/>
                <w:sz w:val="22"/>
              </w:rPr>
            </w:pPr>
          </w:p>
        </w:tc>
      </w:tr>
      <w:tr w:rsidR="006807E8" w:rsidRPr="00383E1D" w14:paraId="6EB6DF7D" w14:textId="77777777" w:rsidTr="7C9F70AD">
        <w:trPr>
          <w:cantSplit/>
          <w:trHeight w:val="3375"/>
          <w:jc w:val="center"/>
        </w:trPr>
        <w:tc>
          <w:tcPr>
            <w:tcW w:w="0" w:type="auto"/>
            <w:shd w:val="clear" w:color="auto" w:fill="244F50"/>
            <w:vAlign w:val="center"/>
          </w:tcPr>
          <w:p w14:paraId="5F8F4FE4" w14:textId="77777777" w:rsidR="006807E8" w:rsidRPr="00383E1D" w:rsidRDefault="000072CF" w:rsidP="005F5A6C">
            <w:pPr>
              <w:jc w:val="center"/>
              <w:rPr>
                <w:color w:val="FFFFFF" w:themeColor="background1"/>
                <w:sz w:val="22"/>
              </w:rPr>
            </w:pPr>
            <w:r w:rsidRPr="00383E1D">
              <w:rPr>
                <w:b/>
                <w:color w:val="FFFFFF" w:themeColor="background1"/>
                <w:sz w:val="22"/>
              </w:rPr>
              <w:lastRenderedPageBreak/>
              <w:t>Objective 3</w:t>
            </w:r>
          </w:p>
        </w:tc>
        <w:tc>
          <w:tcPr>
            <w:tcW w:w="0" w:type="auto"/>
            <w:shd w:val="clear" w:color="auto" w:fill="F3F1EC"/>
            <w:vAlign w:val="center"/>
          </w:tcPr>
          <w:p w14:paraId="17F8D15F" w14:textId="77777777" w:rsidR="006807E8" w:rsidRPr="00383E1D" w:rsidRDefault="000072CF" w:rsidP="005F5A6C">
            <w:pPr>
              <w:rPr>
                <w:sz w:val="22"/>
              </w:rPr>
            </w:pPr>
            <w:r w:rsidRPr="00383E1D">
              <w:rPr>
                <w:b/>
                <w:color w:val="000000"/>
                <w:sz w:val="22"/>
              </w:rPr>
              <w:t>MHA currently has a portfolio RAD approval that includes AMP002. MHA will engage in planning and predevelopment for the conversion of all AMP002 properties. MHA plans to use a RAD/Section 18 Blend to support the conversion and recapitalization of these properties.</w:t>
            </w:r>
          </w:p>
        </w:tc>
        <w:tc>
          <w:tcPr>
            <w:tcW w:w="0" w:type="auto"/>
            <w:vAlign w:val="center"/>
          </w:tcPr>
          <w:p w14:paraId="3F84E06F" w14:textId="77777777" w:rsidR="006807E8" w:rsidRPr="00383E1D" w:rsidRDefault="000072CF" w:rsidP="005F5A6C">
            <w:pPr>
              <w:jc w:val="center"/>
              <w:rPr>
                <w:sz w:val="22"/>
              </w:rPr>
            </w:pPr>
            <w:r w:rsidRPr="00383E1D">
              <w:rPr>
                <w:b/>
                <w:color w:val="7A5B00"/>
                <w:sz w:val="22"/>
              </w:rPr>
              <w:t>In Progress</w:t>
            </w:r>
          </w:p>
        </w:tc>
        <w:tc>
          <w:tcPr>
            <w:tcW w:w="7471" w:type="dxa"/>
            <w:vAlign w:val="center"/>
          </w:tcPr>
          <w:p w14:paraId="4A85EF22" w14:textId="38BE988F" w:rsidR="006807E8" w:rsidRPr="00383E1D" w:rsidRDefault="1CA2E5B8" w:rsidP="7C9F70AD">
            <w:pPr>
              <w:spacing w:after="200" w:line="276" w:lineRule="auto"/>
              <w:rPr>
                <w:rFonts w:cs="Aptos"/>
                <w:color w:val="000000" w:themeColor="text1"/>
                <w:sz w:val="24"/>
                <w:szCs w:val="24"/>
              </w:rPr>
            </w:pPr>
            <w:r w:rsidRPr="7C9F70AD">
              <w:rPr>
                <w:rFonts w:cs="Aptos"/>
                <w:color w:val="000000" w:themeColor="text1"/>
                <w:sz w:val="24"/>
                <w:szCs w:val="24"/>
              </w:rPr>
              <w:t>Predevelopment activities for the AMP 002 portfolio</w:t>
            </w:r>
            <w:r w:rsidR="000072CF" w:rsidRPr="7C9F70AD">
              <w:rPr>
                <w:rFonts w:cs="Aptos"/>
                <w:color w:val="000000" w:themeColor="text1"/>
                <w:sz w:val="24"/>
                <w:szCs w:val="24"/>
              </w:rPr>
              <w:t xml:space="preserve"> are </w:t>
            </w:r>
            <w:r w:rsidRPr="7C9F70AD">
              <w:rPr>
                <w:rFonts w:cs="Aptos"/>
                <w:color w:val="000000" w:themeColor="text1"/>
                <w:sz w:val="24"/>
                <w:szCs w:val="24"/>
              </w:rPr>
              <w:t xml:space="preserve">underway. Marin Housing Authority is </w:t>
            </w:r>
            <w:r w:rsidR="000072CF" w:rsidRPr="7C9F70AD">
              <w:rPr>
                <w:rFonts w:cs="Aptos"/>
                <w:color w:val="000000" w:themeColor="text1"/>
                <w:sz w:val="24"/>
                <w:szCs w:val="24"/>
              </w:rPr>
              <w:t xml:space="preserve">conducting </w:t>
            </w:r>
            <w:r w:rsidRPr="7C9F70AD">
              <w:rPr>
                <w:rFonts w:cs="Aptos"/>
                <w:color w:val="000000" w:themeColor="text1"/>
                <w:sz w:val="24"/>
                <w:szCs w:val="24"/>
              </w:rPr>
              <w:t>Physical Needs Assessments (PNAs) for</w:t>
            </w:r>
            <w:r w:rsidR="000072CF" w:rsidRPr="7C9F70AD">
              <w:rPr>
                <w:rFonts w:cs="Aptos"/>
                <w:color w:val="000000" w:themeColor="text1"/>
                <w:sz w:val="24"/>
                <w:szCs w:val="24"/>
              </w:rPr>
              <w:t xml:space="preserve"> each of the five </w:t>
            </w:r>
            <w:r w:rsidRPr="7C9F70AD">
              <w:rPr>
                <w:rFonts w:cs="Aptos"/>
                <w:color w:val="000000" w:themeColor="text1"/>
                <w:sz w:val="24"/>
                <w:szCs w:val="24"/>
              </w:rPr>
              <w:t>AMP 002 properties</w:t>
            </w:r>
            <w:r w:rsidR="000072CF" w:rsidRPr="7C9F70AD">
              <w:rPr>
                <w:rFonts w:cs="Aptos"/>
                <w:color w:val="000000" w:themeColor="text1"/>
                <w:sz w:val="24"/>
                <w:szCs w:val="24"/>
              </w:rPr>
              <w:t xml:space="preserve"> to </w:t>
            </w:r>
            <w:r w:rsidRPr="7C9F70AD">
              <w:rPr>
                <w:rFonts w:cs="Aptos"/>
                <w:color w:val="000000" w:themeColor="text1"/>
                <w:sz w:val="24"/>
                <w:szCs w:val="24"/>
              </w:rPr>
              <w:t xml:space="preserve">evaluate capital needs, inform the development of project scope, and </w:t>
            </w:r>
            <w:r w:rsidR="000072CF" w:rsidRPr="7C9F70AD">
              <w:rPr>
                <w:rFonts w:cs="Aptos"/>
                <w:color w:val="000000" w:themeColor="text1"/>
                <w:sz w:val="24"/>
                <w:szCs w:val="24"/>
              </w:rPr>
              <w:t xml:space="preserve">support </w:t>
            </w:r>
            <w:r w:rsidRPr="7C9F70AD">
              <w:rPr>
                <w:rFonts w:cs="Aptos"/>
                <w:color w:val="000000" w:themeColor="text1"/>
                <w:sz w:val="24"/>
                <w:szCs w:val="24"/>
              </w:rPr>
              <w:t xml:space="preserve">long-term repositioning and recapitalization </w:t>
            </w:r>
            <w:r w:rsidR="000072CF" w:rsidRPr="7C9F70AD">
              <w:rPr>
                <w:rFonts w:cs="Aptos"/>
                <w:color w:val="000000" w:themeColor="text1"/>
                <w:sz w:val="24"/>
                <w:szCs w:val="24"/>
              </w:rPr>
              <w:t>planning</w:t>
            </w:r>
            <w:r w:rsidRPr="7C9F70AD">
              <w:rPr>
                <w:rFonts w:cs="Aptos"/>
                <w:color w:val="000000" w:themeColor="text1"/>
                <w:sz w:val="24"/>
                <w:szCs w:val="24"/>
              </w:rPr>
              <w:t>.</w:t>
            </w:r>
          </w:p>
          <w:p w14:paraId="76CE6D9B" w14:textId="491A3BC1" w:rsidR="006807E8" w:rsidRPr="00383E1D" w:rsidRDefault="1CA2E5B8" w:rsidP="7C9F70AD">
            <w:pPr>
              <w:spacing w:after="200" w:line="276" w:lineRule="auto"/>
              <w:rPr>
                <w:rFonts w:cs="Aptos"/>
                <w:color w:val="000000" w:themeColor="text1"/>
                <w:sz w:val="24"/>
                <w:szCs w:val="24"/>
              </w:rPr>
            </w:pPr>
            <w:r w:rsidRPr="7C9F70AD">
              <w:rPr>
                <w:rFonts w:cs="Aptos"/>
                <w:color w:val="000000" w:themeColor="text1"/>
                <w:sz w:val="24"/>
                <w:szCs w:val="24"/>
              </w:rPr>
              <w:t>The PNA findings will help guide</w:t>
            </w:r>
            <w:r w:rsidR="000072CF" w:rsidRPr="7C9F70AD">
              <w:rPr>
                <w:rFonts w:cs="Aptos"/>
                <w:color w:val="000000" w:themeColor="text1"/>
                <w:sz w:val="24"/>
                <w:szCs w:val="24"/>
              </w:rPr>
              <w:t xml:space="preserve"> project </w:t>
            </w:r>
            <w:r w:rsidRPr="7C9F70AD">
              <w:rPr>
                <w:rFonts w:cs="Aptos"/>
                <w:color w:val="000000" w:themeColor="text1"/>
                <w:sz w:val="24"/>
                <w:szCs w:val="24"/>
              </w:rPr>
              <w:t>planning, financing strategies, and redevelopment sequencing as MHA advances preparations for a RAD/Section 18 Blend conversion. Project implementation is</w:t>
            </w:r>
            <w:r w:rsidR="000072CF" w:rsidRPr="7C9F70AD">
              <w:rPr>
                <w:rFonts w:cs="Aptos"/>
                <w:color w:val="000000" w:themeColor="text1"/>
                <w:sz w:val="24"/>
                <w:szCs w:val="24"/>
              </w:rPr>
              <w:t xml:space="preserve"> currently </w:t>
            </w:r>
            <w:r w:rsidRPr="7C9F70AD">
              <w:rPr>
                <w:rFonts w:cs="Aptos"/>
                <w:color w:val="000000" w:themeColor="text1"/>
                <w:sz w:val="24"/>
                <w:szCs w:val="24"/>
              </w:rPr>
              <w:t xml:space="preserve">anticipated to begin in </w:t>
            </w:r>
            <w:r w:rsidR="000072CF" w:rsidRPr="7C9F70AD">
              <w:rPr>
                <w:rFonts w:cs="Aptos"/>
                <w:color w:val="000000" w:themeColor="text1"/>
                <w:sz w:val="24"/>
                <w:szCs w:val="24"/>
              </w:rPr>
              <w:t>2027.</w:t>
            </w:r>
          </w:p>
          <w:p w14:paraId="64F62700" w14:textId="4BA9E40B" w:rsidR="006807E8" w:rsidRPr="00383E1D" w:rsidRDefault="006807E8" w:rsidP="7C9F70AD">
            <w:pPr>
              <w:spacing w:after="200" w:line="276" w:lineRule="auto"/>
              <w:rPr>
                <w:rFonts w:cs="Aptos"/>
                <w:color w:val="000000" w:themeColor="text1"/>
                <w:sz w:val="24"/>
                <w:szCs w:val="24"/>
              </w:rPr>
            </w:pPr>
          </w:p>
          <w:p w14:paraId="67A2E1A2" w14:textId="5A7C13D3" w:rsidR="006807E8" w:rsidRPr="00383E1D" w:rsidRDefault="006807E8" w:rsidP="005F5A6C">
            <w:pPr>
              <w:rPr>
                <w:color w:val="000000" w:themeColor="text1"/>
                <w:sz w:val="24"/>
                <w:szCs w:val="24"/>
              </w:rPr>
            </w:pPr>
          </w:p>
        </w:tc>
      </w:tr>
      <w:tr w:rsidR="006807E8" w:rsidRPr="00383E1D" w14:paraId="053B5DCB" w14:textId="77777777" w:rsidTr="00EE3718">
        <w:trPr>
          <w:trHeight w:val="864"/>
          <w:jc w:val="center"/>
        </w:trPr>
        <w:tc>
          <w:tcPr>
            <w:tcW w:w="0" w:type="auto"/>
            <w:shd w:val="clear" w:color="auto" w:fill="244F50"/>
            <w:vAlign w:val="center"/>
          </w:tcPr>
          <w:p w14:paraId="78A89DDE" w14:textId="77777777" w:rsidR="006807E8" w:rsidRPr="00383E1D" w:rsidRDefault="000072CF" w:rsidP="005F5A6C">
            <w:pPr>
              <w:jc w:val="center"/>
              <w:rPr>
                <w:color w:val="FFFFFF" w:themeColor="background1"/>
                <w:sz w:val="22"/>
              </w:rPr>
            </w:pPr>
            <w:r w:rsidRPr="00383E1D">
              <w:rPr>
                <w:b/>
                <w:color w:val="FFFFFF" w:themeColor="background1"/>
                <w:sz w:val="22"/>
              </w:rPr>
              <w:t>Objective 4</w:t>
            </w:r>
          </w:p>
        </w:tc>
        <w:tc>
          <w:tcPr>
            <w:tcW w:w="0" w:type="auto"/>
            <w:tcBorders>
              <w:bottom w:val="single" w:sz="4" w:space="0" w:color="auto"/>
            </w:tcBorders>
            <w:shd w:val="clear" w:color="auto" w:fill="F3F1EC"/>
            <w:vAlign w:val="center"/>
          </w:tcPr>
          <w:p w14:paraId="77BD375F" w14:textId="77777777" w:rsidR="006807E8" w:rsidRPr="00383E1D" w:rsidRDefault="000072CF" w:rsidP="005F5A6C">
            <w:pPr>
              <w:rPr>
                <w:sz w:val="22"/>
              </w:rPr>
            </w:pPr>
            <w:r w:rsidRPr="00383E1D">
              <w:rPr>
                <w:b/>
                <w:color w:val="000000"/>
                <w:sz w:val="22"/>
              </w:rPr>
              <w:t>Consider allocating more project-based vouchers to projects that meet community needs.</w:t>
            </w:r>
          </w:p>
        </w:tc>
        <w:tc>
          <w:tcPr>
            <w:tcW w:w="0" w:type="auto"/>
            <w:vAlign w:val="center"/>
          </w:tcPr>
          <w:p w14:paraId="31021CBE" w14:textId="77777777" w:rsidR="006807E8" w:rsidRPr="00383E1D" w:rsidRDefault="000072CF" w:rsidP="005F5A6C">
            <w:pPr>
              <w:jc w:val="center"/>
              <w:rPr>
                <w:sz w:val="22"/>
              </w:rPr>
            </w:pPr>
            <w:r w:rsidRPr="00383E1D">
              <w:rPr>
                <w:b/>
                <w:color w:val="1F4E1F"/>
                <w:sz w:val="22"/>
              </w:rPr>
              <w:t>Met</w:t>
            </w:r>
          </w:p>
        </w:tc>
        <w:tc>
          <w:tcPr>
            <w:tcW w:w="7471" w:type="dxa"/>
            <w:tcBorders>
              <w:bottom w:val="single" w:sz="4" w:space="0" w:color="auto"/>
            </w:tcBorders>
            <w:vAlign w:val="center"/>
          </w:tcPr>
          <w:p w14:paraId="4C7841C5" w14:textId="027AE5B4" w:rsidR="006807E8" w:rsidRPr="00383E1D" w:rsidRDefault="344C0427" w:rsidP="7C9F70AD">
            <w:pPr>
              <w:spacing w:after="200" w:line="276" w:lineRule="auto"/>
              <w:rPr>
                <w:rFonts w:cs="Aptos"/>
                <w:color w:val="000000" w:themeColor="text1"/>
                <w:sz w:val="24"/>
                <w:szCs w:val="24"/>
              </w:rPr>
            </w:pPr>
            <w:r w:rsidRPr="7C9F70AD">
              <w:rPr>
                <w:rFonts w:cs="Aptos"/>
                <w:color w:val="000000" w:themeColor="text1"/>
                <w:sz w:val="24"/>
                <w:szCs w:val="24"/>
              </w:rPr>
              <w:t>Marin Housing Authority advanced this objective by executing an Agreement to Enter into a Housing Assistance Payments Contract (AHAP) for the 825 Drake Avenue development, supporting the future allocation of 25 Project-Based Voucher units.</w:t>
            </w:r>
          </w:p>
          <w:p w14:paraId="73A236BC" w14:textId="77AD9D88" w:rsidR="006807E8" w:rsidRPr="00383E1D" w:rsidRDefault="344C0427" w:rsidP="7C9F70AD">
            <w:pPr>
              <w:spacing w:after="200" w:line="276" w:lineRule="auto"/>
              <w:rPr>
                <w:rFonts w:cs="Aptos"/>
                <w:color w:val="000000" w:themeColor="text1"/>
                <w:sz w:val="24"/>
                <w:szCs w:val="24"/>
              </w:rPr>
            </w:pPr>
            <w:r w:rsidRPr="7C9F70AD">
              <w:rPr>
                <w:rFonts w:cs="Aptos"/>
                <w:color w:val="000000" w:themeColor="text1"/>
                <w:sz w:val="24"/>
                <w:szCs w:val="24"/>
              </w:rPr>
              <w:t xml:space="preserve">The project will expand affordable housing opportunities within the community and demonstrate MHA's continued use of Project-Based </w:t>
            </w:r>
            <w:r w:rsidRPr="7C9F70AD">
              <w:rPr>
                <w:rFonts w:cs="Aptos"/>
                <w:color w:val="000000" w:themeColor="text1"/>
                <w:sz w:val="24"/>
                <w:szCs w:val="24"/>
              </w:rPr>
              <w:lastRenderedPageBreak/>
              <w:t>Vouchers as a tool to support the development and preservation of housing that addresses local housing needs.</w:t>
            </w:r>
          </w:p>
          <w:p w14:paraId="391567C9" w14:textId="024F8816" w:rsidR="006807E8" w:rsidRPr="00383E1D" w:rsidRDefault="006807E8" w:rsidP="005F5A6C">
            <w:pPr>
              <w:rPr>
                <w:color w:val="000000" w:themeColor="text1"/>
                <w:sz w:val="22"/>
              </w:rPr>
            </w:pPr>
          </w:p>
        </w:tc>
      </w:tr>
      <w:tr w:rsidR="006807E8" w:rsidRPr="00383E1D" w14:paraId="25D9CC42" w14:textId="77777777" w:rsidTr="00A43F4F">
        <w:trPr>
          <w:trHeight w:val="1440"/>
          <w:jc w:val="center"/>
        </w:trPr>
        <w:tc>
          <w:tcPr>
            <w:tcW w:w="0" w:type="auto"/>
            <w:tcBorders>
              <w:bottom w:val="single" w:sz="8" w:space="0" w:color="000000" w:themeColor="text1"/>
              <w:right w:val="single" w:sz="4" w:space="0" w:color="auto"/>
            </w:tcBorders>
            <w:shd w:val="clear" w:color="auto" w:fill="244F50"/>
            <w:vAlign w:val="center"/>
          </w:tcPr>
          <w:p w14:paraId="5189EB12" w14:textId="77777777" w:rsidR="006807E8" w:rsidRPr="00383E1D" w:rsidRDefault="000072CF" w:rsidP="005F5A6C">
            <w:pPr>
              <w:jc w:val="center"/>
              <w:rPr>
                <w:color w:val="FFFFFF" w:themeColor="background1"/>
                <w:sz w:val="22"/>
              </w:rPr>
            </w:pPr>
            <w:r w:rsidRPr="00383E1D">
              <w:rPr>
                <w:b/>
                <w:color w:val="FFFFFF" w:themeColor="background1"/>
                <w:sz w:val="22"/>
              </w:rPr>
              <w:lastRenderedPageBreak/>
              <w:t>Objective 5</w:t>
            </w:r>
          </w:p>
        </w:tc>
        <w:tc>
          <w:tcPr>
            <w:tcW w:w="0" w:type="auto"/>
            <w:tcBorders>
              <w:top w:val="single" w:sz="4" w:space="0" w:color="auto"/>
              <w:left w:val="single" w:sz="4" w:space="0" w:color="auto"/>
              <w:bottom w:val="single" w:sz="4" w:space="0" w:color="auto"/>
              <w:right w:val="single" w:sz="4" w:space="0" w:color="auto"/>
            </w:tcBorders>
            <w:shd w:val="clear" w:color="auto" w:fill="F3F1EC"/>
            <w:vAlign w:val="center"/>
          </w:tcPr>
          <w:p w14:paraId="330BDF77" w14:textId="77777777" w:rsidR="006807E8" w:rsidRPr="00383E1D" w:rsidRDefault="000072CF" w:rsidP="005F5A6C">
            <w:pPr>
              <w:rPr>
                <w:sz w:val="22"/>
              </w:rPr>
            </w:pPr>
            <w:r w:rsidRPr="00383E1D">
              <w:rPr>
                <w:b/>
                <w:color w:val="000000"/>
                <w:sz w:val="22"/>
              </w:rPr>
              <w:t>Remain a key partner in local efforts to end homelessness by maintaining regular participation in key stakeholder meetings including a voting member of Homeless Policy Steering Committee (HPSC), Marin Alliance to Solve Homelessness (MASH), Marin Transitional Aged Youth (TAY) planning meeting, and Chronic Homeless &amp; Coordinated Entry placement meetings.</w:t>
            </w:r>
          </w:p>
        </w:tc>
        <w:tc>
          <w:tcPr>
            <w:tcW w:w="0" w:type="auto"/>
            <w:tcBorders>
              <w:left w:val="single" w:sz="4" w:space="0" w:color="auto"/>
              <w:right w:val="single" w:sz="4" w:space="0" w:color="auto"/>
            </w:tcBorders>
            <w:vAlign w:val="center"/>
          </w:tcPr>
          <w:p w14:paraId="6988AE79" w14:textId="77777777" w:rsidR="006807E8" w:rsidRPr="00383E1D" w:rsidRDefault="000072CF" w:rsidP="005F5A6C">
            <w:pPr>
              <w:jc w:val="center"/>
              <w:rPr>
                <w:sz w:val="22"/>
              </w:rPr>
            </w:pPr>
            <w:r w:rsidRPr="00383E1D">
              <w:rPr>
                <w:b/>
                <w:color w:val="1F4E1F"/>
                <w:sz w:val="22"/>
              </w:rPr>
              <w:t>Met</w:t>
            </w:r>
          </w:p>
        </w:tc>
        <w:tc>
          <w:tcPr>
            <w:tcW w:w="7471" w:type="dxa"/>
            <w:tcBorders>
              <w:top w:val="single" w:sz="4" w:space="0" w:color="auto"/>
              <w:left w:val="single" w:sz="4" w:space="0" w:color="auto"/>
              <w:bottom w:val="single" w:sz="4" w:space="0" w:color="auto"/>
              <w:right w:val="single" w:sz="4" w:space="0" w:color="auto"/>
            </w:tcBorders>
            <w:vAlign w:val="center"/>
          </w:tcPr>
          <w:p w14:paraId="3B9A346B" w14:textId="5DA0CD88" w:rsidR="006807E8" w:rsidRPr="00383E1D" w:rsidRDefault="4C02AB76" w:rsidP="005F5A6C">
            <w:pPr>
              <w:rPr>
                <w:rFonts w:cs="Aptos"/>
                <w:sz w:val="24"/>
                <w:szCs w:val="24"/>
              </w:rPr>
            </w:pPr>
            <w:r w:rsidRPr="7C9F70AD">
              <w:rPr>
                <w:rFonts w:cs="Aptos"/>
                <w:color w:val="000000" w:themeColor="text1"/>
                <w:sz w:val="24"/>
                <w:szCs w:val="24"/>
              </w:rPr>
              <w:t>Marin Housing Authority remained an active partner in Marin County's homelessness response system through</w:t>
            </w:r>
            <w:r w:rsidR="000072CF" w:rsidRPr="7C9F70AD">
              <w:rPr>
                <w:rFonts w:cs="Aptos"/>
                <w:color w:val="000000" w:themeColor="text1"/>
                <w:sz w:val="24"/>
                <w:szCs w:val="24"/>
              </w:rPr>
              <w:t xml:space="preserve"> regular </w:t>
            </w:r>
            <w:r w:rsidRPr="7C9F70AD">
              <w:rPr>
                <w:rFonts w:cs="Aptos"/>
                <w:color w:val="000000" w:themeColor="text1"/>
                <w:sz w:val="24"/>
                <w:szCs w:val="24"/>
              </w:rPr>
              <w:t xml:space="preserve">participation in </w:t>
            </w:r>
            <w:r w:rsidR="000072CF" w:rsidRPr="7C9F70AD">
              <w:rPr>
                <w:rFonts w:cs="Aptos"/>
                <w:color w:val="000000" w:themeColor="text1"/>
                <w:sz w:val="24"/>
                <w:szCs w:val="24"/>
              </w:rPr>
              <w:t xml:space="preserve">key stakeholder meetings </w:t>
            </w:r>
            <w:r w:rsidRPr="7C9F70AD">
              <w:rPr>
                <w:rFonts w:cs="Aptos"/>
                <w:color w:val="000000" w:themeColor="text1"/>
                <w:sz w:val="24"/>
                <w:szCs w:val="24"/>
              </w:rPr>
              <w:t>and collaborative planning efforts. MHA maintained its role</w:t>
            </w:r>
            <w:r w:rsidR="000072CF" w:rsidRPr="7C9F70AD">
              <w:rPr>
                <w:rFonts w:cs="Aptos"/>
                <w:color w:val="000000" w:themeColor="text1"/>
                <w:sz w:val="24"/>
                <w:szCs w:val="24"/>
              </w:rPr>
              <w:t xml:space="preserve"> as a voting member</w:t>
            </w:r>
            <w:r w:rsidRPr="7C9F70AD">
              <w:rPr>
                <w:rFonts w:cs="Aptos"/>
                <w:color w:val="000000" w:themeColor="text1"/>
                <w:sz w:val="24"/>
                <w:szCs w:val="24"/>
              </w:rPr>
              <w:t xml:space="preserve"> of the Homeless Policy Steering Committee (HPSC) and regularly participated in Marin Alliance to Solve Homelessness (</w:t>
            </w:r>
            <w:r w:rsidR="000072CF" w:rsidRPr="7C9F70AD">
              <w:rPr>
                <w:rFonts w:cs="Aptos"/>
                <w:color w:val="000000" w:themeColor="text1"/>
                <w:sz w:val="24"/>
                <w:szCs w:val="24"/>
              </w:rPr>
              <w:t>MASH</w:t>
            </w:r>
            <w:r w:rsidRPr="7C9F70AD">
              <w:rPr>
                <w:rFonts w:cs="Aptos"/>
                <w:color w:val="000000" w:themeColor="text1"/>
                <w:sz w:val="24"/>
                <w:szCs w:val="24"/>
              </w:rPr>
              <w:t>), Transitional Aged Youth (</w:t>
            </w:r>
            <w:r w:rsidR="000072CF" w:rsidRPr="7C9F70AD">
              <w:rPr>
                <w:rFonts w:cs="Aptos"/>
                <w:color w:val="000000" w:themeColor="text1"/>
                <w:sz w:val="24"/>
                <w:szCs w:val="24"/>
              </w:rPr>
              <w:t>TAY</w:t>
            </w:r>
            <w:r w:rsidRPr="7C9F70AD">
              <w:rPr>
                <w:rFonts w:cs="Aptos"/>
                <w:color w:val="000000" w:themeColor="text1"/>
                <w:sz w:val="24"/>
                <w:szCs w:val="24"/>
              </w:rPr>
              <w:t>)</w:t>
            </w:r>
            <w:r w:rsidR="000072CF" w:rsidRPr="7C9F70AD">
              <w:rPr>
                <w:rFonts w:cs="Aptos"/>
                <w:color w:val="000000" w:themeColor="text1"/>
                <w:sz w:val="24"/>
                <w:szCs w:val="24"/>
              </w:rPr>
              <w:t xml:space="preserve"> planning meetings</w:t>
            </w:r>
            <w:r w:rsidRPr="7C9F70AD">
              <w:rPr>
                <w:rFonts w:cs="Aptos"/>
                <w:color w:val="000000" w:themeColor="text1"/>
                <w:sz w:val="24"/>
                <w:szCs w:val="24"/>
              </w:rPr>
              <w:t xml:space="preserve">, </w:t>
            </w:r>
            <w:r w:rsidR="000072CF" w:rsidRPr="7C9F70AD">
              <w:rPr>
                <w:rFonts w:cs="Aptos"/>
                <w:color w:val="000000" w:themeColor="text1"/>
                <w:sz w:val="24"/>
                <w:szCs w:val="24"/>
              </w:rPr>
              <w:t xml:space="preserve">Coordinated Entry placement </w:t>
            </w:r>
            <w:r w:rsidRPr="7C9F70AD">
              <w:rPr>
                <w:rFonts w:cs="Aptos"/>
                <w:color w:val="000000" w:themeColor="text1"/>
                <w:sz w:val="24"/>
                <w:szCs w:val="24"/>
              </w:rPr>
              <w:t xml:space="preserve">meetings, </w:t>
            </w:r>
            <w:r w:rsidR="000072CF" w:rsidRPr="7C9F70AD">
              <w:rPr>
                <w:rFonts w:cs="Aptos"/>
                <w:color w:val="000000" w:themeColor="text1"/>
                <w:sz w:val="24"/>
                <w:szCs w:val="24"/>
              </w:rPr>
              <w:t xml:space="preserve">and Chronic Homeless </w:t>
            </w:r>
            <w:r w:rsidRPr="7C9F70AD">
              <w:rPr>
                <w:rFonts w:cs="Aptos"/>
                <w:color w:val="000000" w:themeColor="text1"/>
                <w:sz w:val="24"/>
                <w:szCs w:val="24"/>
              </w:rPr>
              <w:t xml:space="preserve">case conferencing </w:t>
            </w:r>
            <w:r w:rsidR="000072CF" w:rsidRPr="7C9F70AD">
              <w:rPr>
                <w:rFonts w:cs="Aptos"/>
                <w:color w:val="000000" w:themeColor="text1"/>
                <w:sz w:val="24"/>
                <w:szCs w:val="24"/>
              </w:rPr>
              <w:t>meetings.</w:t>
            </w:r>
          </w:p>
        </w:tc>
      </w:tr>
      <w:tr w:rsidR="006807E8" w:rsidRPr="00383E1D" w14:paraId="0929EAA7" w14:textId="77777777" w:rsidTr="7C9F70AD">
        <w:trPr>
          <w:trHeight w:val="145"/>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44F50"/>
            <w:vAlign w:val="center"/>
          </w:tcPr>
          <w:p w14:paraId="2F7DBC38" w14:textId="77777777" w:rsidR="006807E8" w:rsidRPr="00383E1D" w:rsidRDefault="000072CF" w:rsidP="005F5A6C">
            <w:pPr>
              <w:jc w:val="center"/>
              <w:rPr>
                <w:color w:val="FFFFFF" w:themeColor="background1"/>
                <w:sz w:val="22"/>
              </w:rPr>
            </w:pPr>
            <w:r w:rsidRPr="00383E1D">
              <w:rPr>
                <w:b/>
                <w:color w:val="FFFFFF" w:themeColor="background1"/>
                <w:sz w:val="22"/>
              </w:rPr>
              <w:t>Objective 6</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shd w:val="clear" w:color="auto" w:fill="F3F1EC"/>
            <w:vAlign w:val="center"/>
          </w:tcPr>
          <w:p w14:paraId="05AA8BAF" w14:textId="77777777" w:rsidR="006807E8" w:rsidRPr="00383E1D" w:rsidRDefault="000072CF" w:rsidP="005F5A6C">
            <w:pPr>
              <w:rPr>
                <w:sz w:val="22"/>
              </w:rPr>
            </w:pPr>
            <w:r w:rsidRPr="00383E1D">
              <w:rPr>
                <w:b/>
                <w:color w:val="000000"/>
                <w:sz w:val="22"/>
              </w:rPr>
              <w:t>Promote homeownership through BMR and HCV Homeownership programs</w:t>
            </w:r>
          </w:p>
        </w:tc>
        <w:tc>
          <w:tcPr>
            <w:tcW w:w="0" w:type="auto"/>
            <w:tcBorders>
              <w:left w:val="single" w:sz="8" w:space="0" w:color="000000" w:themeColor="text1"/>
            </w:tcBorders>
            <w:vAlign w:val="center"/>
          </w:tcPr>
          <w:p w14:paraId="7ABD7C28" w14:textId="77777777" w:rsidR="006807E8" w:rsidRPr="00383E1D" w:rsidRDefault="000072CF" w:rsidP="005F5A6C">
            <w:pPr>
              <w:jc w:val="center"/>
              <w:rPr>
                <w:sz w:val="22"/>
              </w:rPr>
            </w:pPr>
            <w:r w:rsidRPr="00383E1D">
              <w:rPr>
                <w:b/>
                <w:color w:val="1F4E1F"/>
                <w:sz w:val="22"/>
              </w:rPr>
              <w:t>Met</w:t>
            </w:r>
          </w:p>
        </w:tc>
        <w:tc>
          <w:tcPr>
            <w:tcW w:w="7471" w:type="dxa"/>
            <w:tcBorders>
              <w:top w:val="single" w:sz="4" w:space="0" w:color="auto"/>
            </w:tcBorders>
            <w:vAlign w:val="center"/>
          </w:tcPr>
          <w:p w14:paraId="71641461" w14:textId="1BCEF66D" w:rsidR="7C9F70AD" w:rsidRDefault="7C9F70AD" w:rsidP="7C9F70AD">
            <w:pPr>
              <w:rPr>
                <w:rFonts w:cs="Aptos"/>
                <w:color w:val="000000" w:themeColor="text1"/>
                <w:sz w:val="24"/>
                <w:szCs w:val="24"/>
              </w:rPr>
            </w:pPr>
            <w:r w:rsidRPr="7C9F70AD">
              <w:rPr>
                <w:rFonts w:cs="Aptos"/>
                <w:color w:val="000000" w:themeColor="text1"/>
                <w:sz w:val="24"/>
                <w:szCs w:val="24"/>
              </w:rPr>
              <w:t>Marin Housing Authority promoted homeownership and preserved long-term affordability through a variety of homeownership, rehabilitation, and education programs. During the reporting period:</w:t>
            </w:r>
          </w:p>
          <w:p w14:paraId="032733DB" w14:textId="729C3BA5"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t>14 Below Market Rate (BMR) homes were rehabilitated and resold, with affordability restrictions renewed in perpetuity.</w:t>
            </w:r>
          </w:p>
          <w:p w14:paraId="467CC526" w14:textId="49C0C812"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t>Six Mortgage Assistance loans were originated through MHA's CalHome program to support eligible first-time homebuyers.</w:t>
            </w:r>
          </w:p>
          <w:p w14:paraId="37F21D5F" w14:textId="19E2D306"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t>Two mobile homes were preserved through the Owner-Occupied Rehabilitation Program.</w:t>
            </w:r>
          </w:p>
          <w:p w14:paraId="03732C6D" w14:textId="083B978C"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t>One junior accessory dwelling unit was created for a low-income homeowner with critical deferred maintenance needs.</w:t>
            </w:r>
          </w:p>
          <w:p w14:paraId="660F0780" w14:textId="7CDC1D17"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t>Quarterly First-Time Homebuyer Workshops were offered in both English and Spanish in partnership with Fair Housing Advocates of Northern California.</w:t>
            </w:r>
          </w:p>
          <w:p w14:paraId="7D49D107" w14:textId="1E6693D9"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lastRenderedPageBreak/>
              <w:t>Twenty Housing Choice Voucher (HCV) Homeownership orientation presentations were conducted, including 11 presentations for Family Self-Sufficiency (FSS) participants.</w:t>
            </w:r>
          </w:p>
          <w:p w14:paraId="5ACA884A" w14:textId="22896F51"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t>The HCV Homeownership Program currently supports 31 homeowners.</w:t>
            </w:r>
          </w:p>
          <w:p w14:paraId="5B23DE35" w14:textId="6F2FF2A1" w:rsidR="7C9F70AD" w:rsidRDefault="7C9F70AD" w:rsidP="7C9F70AD">
            <w:pPr>
              <w:pStyle w:val="ListParagraph"/>
              <w:numPr>
                <w:ilvl w:val="0"/>
                <w:numId w:val="10"/>
              </w:numPr>
              <w:tabs>
                <w:tab w:val="num" w:pos="360"/>
              </w:tabs>
              <w:ind w:left="360"/>
              <w:rPr>
                <w:rFonts w:cs="Aptos"/>
                <w:color w:val="000000" w:themeColor="text1"/>
                <w:sz w:val="24"/>
                <w:szCs w:val="24"/>
              </w:rPr>
            </w:pPr>
            <w:r w:rsidRPr="7C9F70AD">
              <w:rPr>
                <w:rFonts w:cs="Aptos"/>
                <w:color w:val="000000" w:themeColor="text1"/>
                <w:sz w:val="24"/>
                <w:szCs w:val="24"/>
              </w:rPr>
              <w:t>Two additional families successfully purchased homes through the HCV Homeownership Program during the reporting period.</w:t>
            </w:r>
          </w:p>
          <w:p w14:paraId="4C6A189B" w14:textId="1ED3EF03" w:rsidR="7C9F70AD" w:rsidRDefault="7C9F70AD" w:rsidP="7C9F70AD">
            <w:pPr>
              <w:rPr>
                <w:rFonts w:cs="Aptos"/>
                <w:color w:val="000000" w:themeColor="text1"/>
                <w:sz w:val="24"/>
                <w:szCs w:val="24"/>
              </w:rPr>
            </w:pPr>
            <w:r w:rsidRPr="7C9F70AD">
              <w:rPr>
                <w:rFonts w:cs="Aptos"/>
                <w:color w:val="000000" w:themeColor="text1"/>
                <w:sz w:val="24"/>
                <w:szCs w:val="24"/>
              </w:rPr>
              <w:t>These efforts helped preserve affordable homeownership opportunities, expand pathways to homeownership, and support long-term housing stability for low- and moderate-income households throughout Marin County.</w:t>
            </w:r>
          </w:p>
          <w:p w14:paraId="0F7E0FB5" w14:textId="665C14C2" w:rsidR="7C9F70AD" w:rsidRPr="7C9F70AD" w:rsidRDefault="7C9F70AD" w:rsidP="7C9F70AD">
            <w:pPr>
              <w:rPr>
                <w:rFonts w:cs="Aptos"/>
                <w:color w:val="000000" w:themeColor="text1"/>
                <w:sz w:val="24"/>
                <w:szCs w:val="24"/>
              </w:rPr>
            </w:pPr>
          </w:p>
        </w:tc>
      </w:tr>
      <w:tr w:rsidR="006807E8" w:rsidRPr="00383E1D" w14:paraId="4DE28AD8" w14:textId="77777777" w:rsidTr="7C9F70AD">
        <w:trPr>
          <w:trHeight w:val="360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44F50"/>
            <w:vAlign w:val="center"/>
          </w:tcPr>
          <w:p w14:paraId="281BBB52" w14:textId="77777777" w:rsidR="006807E8" w:rsidRPr="00383E1D" w:rsidRDefault="000072CF" w:rsidP="005F5A6C">
            <w:pPr>
              <w:jc w:val="center"/>
              <w:rPr>
                <w:color w:val="FFFFFF" w:themeColor="background1"/>
                <w:sz w:val="22"/>
              </w:rPr>
            </w:pPr>
            <w:r w:rsidRPr="00383E1D">
              <w:rPr>
                <w:b/>
                <w:color w:val="FFFFFF" w:themeColor="background1"/>
                <w:sz w:val="22"/>
              </w:rPr>
              <w:lastRenderedPageBreak/>
              <w:t>Objective 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1EC"/>
            <w:vAlign w:val="center"/>
          </w:tcPr>
          <w:p w14:paraId="4AEE0A89" w14:textId="77777777" w:rsidR="006807E8" w:rsidRPr="00383E1D" w:rsidRDefault="000072CF" w:rsidP="00DC183E">
            <w:pPr>
              <w:rPr>
                <w:sz w:val="22"/>
              </w:rPr>
            </w:pPr>
            <w:r w:rsidRPr="00383E1D">
              <w:rPr>
                <w:b/>
                <w:color w:val="000000"/>
                <w:sz w:val="22"/>
              </w:rPr>
              <w:t>Perform inspections of all PH units at least annually and all HCV units at least biennially, with proper enforcement of NSPIRE standards</w:t>
            </w:r>
          </w:p>
        </w:tc>
        <w:tc>
          <w:tcPr>
            <w:tcW w:w="0" w:type="auto"/>
            <w:tcBorders>
              <w:left w:val="single" w:sz="8" w:space="0" w:color="000000" w:themeColor="text1"/>
            </w:tcBorders>
            <w:vAlign w:val="center"/>
          </w:tcPr>
          <w:p w14:paraId="29170A21" w14:textId="77777777" w:rsidR="006807E8" w:rsidRPr="00383E1D" w:rsidRDefault="000072CF" w:rsidP="00DC183E">
            <w:pPr>
              <w:jc w:val="center"/>
              <w:rPr>
                <w:sz w:val="22"/>
              </w:rPr>
            </w:pPr>
            <w:r w:rsidRPr="00383E1D">
              <w:rPr>
                <w:b/>
                <w:color w:val="1F4E1F"/>
                <w:sz w:val="22"/>
              </w:rPr>
              <w:t>Met</w:t>
            </w:r>
          </w:p>
        </w:tc>
        <w:tc>
          <w:tcPr>
            <w:tcW w:w="7471" w:type="dxa"/>
            <w:vAlign w:val="center"/>
          </w:tcPr>
          <w:p w14:paraId="3243F440" w14:textId="412CA562" w:rsidR="006807E8" w:rsidRPr="00383E1D" w:rsidRDefault="5FA44B23" w:rsidP="7C9F70AD">
            <w:pPr>
              <w:spacing w:after="200" w:line="276" w:lineRule="auto"/>
              <w:rPr>
                <w:rFonts w:cs="Aptos"/>
                <w:color w:val="000000" w:themeColor="text1"/>
                <w:sz w:val="24"/>
                <w:szCs w:val="24"/>
              </w:rPr>
            </w:pPr>
            <w:r w:rsidRPr="7C9F70AD">
              <w:rPr>
                <w:rFonts w:cs="Aptos"/>
                <w:color w:val="000000" w:themeColor="text1"/>
                <w:sz w:val="24"/>
                <w:szCs w:val="24"/>
              </w:rPr>
              <w:t>Annual inspections were completed for all Public Housing units. All Housing Choice Voucher units received inspections in accordance with HUD's biennial inspection requirements. Public Housing inspections were conducted under NSPIRE standards, while Housing Choice Voucher inspections continued to be conducted under Housing Quality Standards (HQS), as permitted by HUD, with transition to NSPIRE for the HCV program anticipated by 2027.</w:t>
            </w:r>
          </w:p>
          <w:p w14:paraId="52CDD00B" w14:textId="7CFB6789" w:rsidR="006807E8" w:rsidRPr="00383E1D" w:rsidRDefault="4DFBD226" w:rsidP="7C9F70AD">
            <w:pPr>
              <w:spacing w:after="200" w:line="276" w:lineRule="auto"/>
              <w:rPr>
                <w:rFonts w:cs="Aptos"/>
                <w:color w:val="000000" w:themeColor="text1"/>
                <w:sz w:val="24"/>
                <w:szCs w:val="24"/>
              </w:rPr>
            </w:pPr>
            <w:r w:rsidRPr="7C9F70AD">
              <w:rPr>
                <w:rFonts w:cs="Aptos"/>
                <w:color w:val="000000" w:themeColor="text1"/>
                <w:sz w:val="24"/>
                <w:szCs w:val="24"/>
              </w:rPr>
              <w:t>Through these inspection activities, MHA continued to ensure safe, decent, and sanitary housing conditions for residents and program participants while maintaining compliance with HUD requirements.</w:t>
            </w:r>
          </w:p>
          <w:p w14:paraId="10983A1C" w14:textId="284D110A" w:rsidR="006807E8" w:rsidRPr="00383E1D" w:rsidRDefault="006807E8" w:rsidP="7C9F70AD">
            <w:pPr>
              <w:spacing w:after="200" w:line="276" w:lineRule="auto"/>
              <w:rPr>
                <w:rFonts w:cs="Aptos"/>
                <w:color w:val="000000" w:themeColor="text1"/>
                <w:sz w:val="24"/>
                <w:szCs w:val="24"/>
              </w:rPr>
            </w:pPr>
          </w:p>
          <w:p w14:paraId="73EC5E17" w14:textId="5CB76640" w:rsidR="006807E8" w:rsidRPr="00383E1D" w:rsidRDefault="006807E8" w:rsidP="00DC183E">
            <w:pPr>
              <w:rPr>
                <w:color w:val="000000" w:themeColor="text1"/>
                <w:sz w:val="22"/>
              </w:rPr>
            </w:pPr>
          </w:p>
        </w:tc>
      </w:tr>
      <w:tr w:rsidR="006807E8" w:rsidRPr="00383E1D" w14:paraId="1F446184" w14:textId="77777777" w:rsidTr="00EE3718">
        <w:trPr>
          <w:trHeight w:val="1152"/>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44F50"/>
            <w:vAlign w:val="center"/>
          </w:tcPr>
          <w:p w14:paraId="06F56F4B" w14:textId="77777777" w:rsidR="006807E8" w:rsidRPr="00383E1D" w:rsidRDefault="000072CF" w:rsidP="005F5A6C">
            <w:pPr>
              <w:jc w:val="center"/>
              <w:rPr>
                <w:color w:val="FFFFFF" w:themeColor="background1"/>
                <w:sz w:val="22"/>
              </w:rPr>
            </w:pPr>
            <w:r w:rsidRPr="00383E1D">
              <w:rPr>
                <w:b/>
                <w:color w:val="FFFFFF" w:themeColor="background1"/>
                <w:sz w:val="22"/>
              </w:rPr>
              <w:lastRenderedPageBreak/>
              <w:t>Objective 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1EC"/>
            <w:vAlign w:val="center"/>
          </w:tcPr>
          <w:p w14:paraId="10BB362A" w14:textId="77777777" w:rsidR="006807E8" w:rsidRPr="00383E1D" w:rsidRDefault="000072CF" w:rsidP="00DC183E">
            <w:pPr>
              <w:rPr>
                <w:sz w:val="22"/>
              </w:rPr>
            </w:pPr>
            <w:r w:rsidRPr="00383E1D">
              <w:rPr>
                <w:b/>
                <w:color w:val="000000"/>
                <w:sz w:val="22"/>
              </w:rPr>
              <w:t>Educate rental property owners on benefits and requirements of participating in MHA’s rental assistance programs.</w:t>
            </w:r>
          </w:p>
        </w:tc>
        <w:tc>
          <w:tcPr>
            <w:tcW w:w="0" w:type="auto"/>
            <w:tcBorders>
              <w:left w:val="single" w:sz="8" w:space="0" w:color="000000" w:themeColor="text1"/>
            </w:tcBorders>
            <w:vAlign w:val="center"/>
          </w:tcPr>
          <w:p w14:paraId="79199949" w14:textId="77777777" w:rsidR="006807E8" w:rsidRPr="00383E1D" w:rsidRDefault="000072CF" w:rsidP="00DC183E">
            <w:pPr>
              <w:jc w:val="center"/>
              <w:rPr>
                <w:sz w:val="22"/>
              </w:rPr>
            </w:pPr>
            <w:r w:rsidRPr="00383E1D">
              <w:rPr>
                <w:b/>
                <w:color w:val="1F4E1F"/>
                <w:sz w:val="22"/>
              </w:rPr>
              <w:t>Met</w:t>
            </w:r>
          </w:p>
        </w:tc>
        <w:tc>
          <w:tcPr>
            <w:tcW w:w="7471" w:type="dxa"/>
            <w:vAlign w:val="center"/>
          </w:tcPr>
          <w:p w14:paraId="661A6FEA" w14:textId="69A3E314" w:rsidR="006807E8" w:rsidRPr="00383E1D" w:rsidRDefault="349A17C7" w:rsidP="00DC183E">
            <w:pPr>
              <w:rPr>
                <w:color w:val="000000" w:themeColor="text1"/>
                <w:sz w:val="24"/>
                <w:szCs w:val="24"/>
              </w:rPr>
            </w:pPr>
            <w:r w:rsidRPr="7C9F70AD">
              <w:rPr>
                <w:color w:val="000000" w:themeColor="text1"/>
                <w:sz w:val="24"/>
                <w:szCs w:val="24"/>
              </w:rPr>
              <w:t>C</w:t>
            </w:r>
            <w:r w:rsidR="654E2C59" w:rsidRPr="7C9F70AD">
              <w:rPr>
                <w:color w:val="000000" w:themeColor="text1"/>
                <w:sz w:val="24"/>
                <w:szCs w:val="24"/>
              </w:rPr>
              <w:t>urrent l</w:t>
            </w:r>
            <w:r w:rsidR="00A45C47" w:rsidRPr="7C9F70AD">
              <w:rPr>
                <w:color w:val="000000" w:themeColor="text1"/>
                <w:sz w:val="24"/>
                <w:szCs w:val="24"/>
              </w:rPr>
              <w:t>andlords</w:t>
            </w:r>
            <w:r w:rsidR="000072CF" w:rsidRPr="7C9F70AD">
              <w:rPr>
                <w:color w:val="000000" w:themeColor="text1"/>
                <w:sz w:val="24"/>
                <w:szCs w:val="24"/>
              </w:rPr>
              <w:t xml:space="preserve"> were sent a newsletter in November 2025 which included timely and pertinent information. Designated staff responds to questions from </w:t>
            </w:r>
            <w:r w:rsidR="0E1E5187" w:rsidRPr="7C9F70AD">
              <w:rPr>
                <w:color w:val="000000" w:themeColor="text1"/>
                <w:sz w:val="24"/>
                <w:szCs w:val="24"/>
              </w:rPr>
              <w:t xml:space="preserve">current and </w:t>
            </w:r>
            <w:r w:rsidR="000072CF" w:rsidRPr="7C9F70AD">
              <w:rPr>
                <w:color w:val="000000" w:themeColor="text1"/>
                <w:sz w:val="24"/>
                <w:szCs w:val="24"/>
              </w:rPr>
              <w:t>potential new landlords</w:t>
            </w:r>
            <w:r w:rsidR="05B123E9" w:rsidRPr="7C9F70AD">
              <w:rPr>
                <w:color w:val="000000" w:themeColor="text1"/>
                <w:sz w:val="24"/>
                <w:szCs w:val="24"/>
              </w:rPr>
              <w:t xml:space="preserve"> daily</w:t>
            </w:r>
            <w:r w:rsidR="000072CF" w:rsidRPr="7C9F70AD">
              <w:rPr>
                <w:color w:val="000000" w:themeColor="text1"/>
                <w:sz w:val="24"/>
                <w:szCs w:val="24"/>
              </w:rPr>
              <w:t>.</w:t>
            </w:r>
          </w:p>
        </w:tc>
      </w:tr>
    </w:tbl>
    <w:p w14:paraId="1D5DC1F2" w14:textId="7CFB603D" w:rsidR="006807E8" w:rsidRPr="00061F5F" w:rsidRDefault="000072CF" w:rsidP="004966BF">
      <w:pPr>
        <w:pageBreakBefore/>
        <w:pBdr>
          <w:top w:val="single" w:sz="6" w:space="1" w:color="000000" w:themeColor="text1"/>
          <w:left w:val="single" w:sz="6" w:space="4" w:color="000000" w:themeColor="text1"/>
          <w:bottom w:val="single" w:sz="6" w:space="1" w:color="000000" w:themeColor="text1"/>
          <w:right w:val="single" w:sz="6" w:space="4" w:color="000000" w:themeColor="text1"/>
        </w:pBdr>
        <w:shd w:val="clear" w:color="auto" w:fill="A64F24"/>
        <w:spacing w:after="160"/>
        <w:rPr>
          <w:sz w:val="24"/>
          <w:szCs w:val="24"/>
        </w:rPr>
      </w:pPr>
      <w:r w:rsidRPr="00061F5F">
        <w:rPr>
          <w:b/>
          <w:color w:val="FFFFFF"/>
          <w:sz w:val="32"/>
          <w:szCs w:val="32"/>
        </w:rPr>
        <w:lastRenderedPageBreak/>
        <w:t xml:space="preserve">Goal II </w:t>
      </w:r>
      <w:r w:rsidR="00061F5F" w:rsidRPr="00061F5F">
        <w:rPr>
          <w:b/>
          <w:color w:val="FFFFFF"/>
          <w:sz w:val="32"/>
          <w:szCs w:val="32"/>
        </w:rPr>
        <w:t>| Maintain</w:t>
      </w:r>
      <w:r w:rsidRPr="00061F5F">
        <w:rPr>
          <w:b/>
          <w:color w:val="FFFFFF"/>
          <w:sz w:val="32"/>
          <w:szCs w:val="32"/>
        </w:rPr>
        <w:t xml:space="preserve"> Agency’s Strong Financial Position</w:t>
      </w:r>
    </w:p>
    <w:tbl>
      <w:tblPr>
        <w:tblStyle w:val="TableGrid"/>
        <w:tblW w:w="1745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23"/>
        <w:gridCol w:w="5055"/>
        <w:gridCol w:w="1045"/>
        <w:gridCol w:w="10127"/>
      </w:tblGrid>
      <w:tr w:rsidR="006807E8" w:rsidRPr="00061F5F" w14:paraId="140FAC1D" w14:textId="77777777" w:rsidTr="004150AC">
        <w:trPr>
          <w:trHeight w:val="288"/>
          <w:jc w:val="center"/>
        </w:trPr>
        <w:tc>
          <w:tcPr>
            <w:tcW w:w="0" w:type="auto"/>
            <w:tcBorders>
              <w:right w:val="nil"/>
            </w:tcBorders>
            <w:shd w:val="clear" w:color="auto" w:fill="FFC000"/>
            <w:vAlign w:val="center"/>
          </w:tcPr>
          <w:p w14:paraId="30E63536" w14:textId="72F2819F" w:rsidR="006807E8" w:rsidRPr="00061F5F" w:rsidRDefault="006807E8" w:rsidP="00061F5F">
            <w:pPr>
              <w:rPr>
                <w:szCs w:val="18"/>
              </w:rPr>
            </w:pPr>
          </w:p>
        </w:tc>
        <w:tc>
          <w:tcPr>
            <w:tcW w:w="0" w:type="auto"/>
            <w:tcBorders>
              <w:left w:val="nil"/>
            </w:tcBorders>
            <w:shd w:val="clear" w:color="auto" w:fill="FFC000"/>
            <w:vAlign w:val="center"/>
          </w:tcPr>
          <w:p w14:paraId="0A94195C" w14:textId="4FB1F09D" w:rsidR="006807E8" w:rsidRPr="00D65A78" w:rsidRDefault="000072CF" w:rsidP="00061F5F">
            <w:pPr>
              <w:jc w:val="center"/>
              <w:rPr>
                <w:color w:val="auto"/>
                <w:sz w:val="28"/>
                <w:szCs w:val="28"/>
              </w:rPr>
            </w:pPr>
            <w:r w:rsidRPr="00D65A78">
              <w:rPr>
                <w:b/>
                <w:color w:val="auto"/>
                <w:sz w:val="28"/>
                <w:szCs w:val="28"/>
              </w:rPr>
              <w:t>Objective</w:t>
            </w:r>
          </w:p>
        </w:tc>
        <w:tc>
          <w:tcPr>
            <w:tcW w:w="0" w:type="auto"/>
            <w:shd w:val="clear" w:color="auto" w:fill="FFC000"/>
            <w:vAlign w:val="center"/>
          </w:tcPr>
          <w:p w14:paraId="6E9D8F7F" w14:textId="77777777" w:rsidR="006807E8" w:rsidRPr="00D65A78" w:rsidRDefault="000072CF" w:rsidP="00BD2B31">
            <w:pPr>
              <w:jc w:val="center"/>
              <w:rPr>
                <w:color w:val="auto"/>
                <w:sz w:val="28"/>
                <w:szCs w:val="28"/>
              </w:rPr>
            </w:pPr>
            <w:r w:rsidRPr="00D65A78">
              <w:rPr>
                <w:b/>
                <w:color w:val="auto"/>
                <w:sz w:val="28"/>
                <w:szCs w:val="28"/>
              </w:rPr>
              <w:t>Status</w:t>
            </w:r>
          </w:p>
        </w:tc>
        <w:tc>
          <w:tcPr>
            <w:tcW w:w="10127" w:type="dxa"/>
            <w:shd w:val="clear" w:color="auto" w:fill="FFC000"/>
            <w:vAlign w:val="center"/>
          </w:tcPr>
          <w:p w14:paraId="2D96FA5E" w14:textId="77777777" w:rsidR="006807E8" w:rsidRPr="00D65A78" w:rsidRDefault="000072CF" w:rsidP="00BD2B31">
            <w:pPr>
              <w:jc w:val="center"/>
              <w:rPr>
                <w:color w:val="auto"/>
                <w:sz w:val="28"/>
                <w:szCs w:val="28"/>
              </w:rPr>
            </w:pPr>
            <w:r w:rsidRPr="00D65A78">
              <w:rPr>
                <w:b/>
                <w:color w:val="auto"/>
                <w:sz w:val="28"/>
                <w:szCs w:val="28"/>
              </w:rPr>
              <w:t>Progress Update</w:t>
            </w:r>
          </w:p>
        </w:tc>
      </w:tr>
      <w:tr w:rsidR="006807E8" w:rsidRPr="00061F5F" w14:paraId="04BA078D" w14:textId="77777777" w:rsidTr="00821F30">
        <w:trPr>
          <w:trHeight w:val="1440"/>
          <w:jc w:val="center"/>
        </w:trPr>
        <w:tc>
          <w:tcPr>
            <w:tcW w:w="0" w:type="auto"/>
            <w:shd w:val="clear" w:color="auto" w:fill="244F50"/>
            <w:vAlign w:val="center"/>
          </w:tcPr>
          <w:p w14:paraId="384A7E59" w14:textId="77777777" w:rsidR="006807E8" w:rsidRPr="004966BF" w:rsidRDefault="000072CF" w:rsidP="004966BF">
            <w:pPr>
              <w:jc w:val="center"/>
              <w:rPr>
                <w:sz w:val="22"/>
              </w:rPr>
            </w:pPr>
            <w:r w:rsidRPr="004966BF">
              <w:rPr>
                <w:b/>
                <w:color w:val="FFFFFF"/>
                <w:sz w:val="22"/>
              </w:rPr>
              <w:t>Objective 1</w:t>
            </w:r>
          </w:p>
        </w:tc>
        <w:tc>
          <w:tcPr>
            <w:tcW w:w="0" w:type="auto"/>
            <w:shd w:val="clear" w:color="auto" w:fill="F3F1EC"/>
            <w:vAlign w:val="center"/>
          </w:tcPr>
          <w:p w14:paraId="1CDDDD72" w14:textId="77777777" w:rsidR="006807E8" w:rsidRPr="004966BF" w:rsidRDefault="000072CF" w:rsidP="00061F5F">
            <w:pPr>
              <w:rPr>
                <w:sz w:val="22"/>
              </w:rPr>
            </w:pPr>
            <w:r w:rsidRPr="004966BF">
              <w:rPr>
                <w:b/>
                <w:color w:val="000000"/>
                <w:sz w:val="22"/>
              </w:rPr>
              <w:t>Control expenditures and seek other revenue sources to sustain and develop new housing opportunities.</w:t>
            </w:r>
          </w:p>
        </w:tc>
        <w:tc>
          <w:tcPr>
            <w:tcW w:w="0" w:type="auto"/>
            <w:vAlign w:val="center"/>
          </w:tcPr>
          <w:p w14:paraId="06853256" w14:textId="77777777" w:rsidR="006807E8" w:rsidRPr="004966BF" w:rsidRDefault="000072CF" w:rsidP="00FE4A7B">
            <w:pPr>
              <w:jc w:val="center"/>
              <w:rPr>
                <w:sz w:val="22"/>
              </w:rPr>
            </w:pPr>
            <w:r w:rsidRPr="004966BF">
              <w:rPr>
                <w:b/>
                <w:color w:val="1F4E1F"/>
                <w:sz w:val="22"/>
              </w:rPr>
              <w:t>Met</w:t>
            </w:r>
          </w:p>
        </w:tc>
        <w:tc>
          <w:tcPr>
            <w:tcW w:w="10127" w:type="dxa"/>
            <w:vAlign w:val="center"/>
          </w:tcPr>
          <w:p w14:paraId="2CF053D5" w14:textId="49EBED64" w:rsidR="006807E8" w:rsidRPr="004966BF" w:rsidRDefault="3227CEF7" w:rsidP="7C9F70AD">
            <w:pPr>
              <w:spacing w:after="200" w:line="276" w:lineRule="auto"/>
              <w:rPr>
                <w:rFonts w:cs="Aptos"/>
                <w:color w:val="000000" w:themeColor="text1"/>
                <w:sz w:val="24"/>
                <w:szCs w:val="24"/>
              </w:rPr>
            </w:pPr>
            <w:r w:rsidRPr="7C9F70AD">
              <w:rPr>
                <w:rFonts w:cs="Aptos"/>
                <w:color w:val="000000" w:themeColor="text1"/>
                <w:sz w:val="24"/>
                <w:szCs w:val="24"/>
              </w:rPr>
              <w:t>Marin Housing Authority maintained its housing programs and services despite ongoing federal funding constraints and challenging budget conditions. Average leased units declined by approximately 1% due to federal funding limitations, MHA sustained its overall housing portfolio and continued to provide housing opportunities for residents.</w:t>
            </w:r>
          </w:p>
          <w:p w14:paraId="0295C928" w14:textId="2ECC24F5" w:rsidR="006807E8" w:rsidRPr="004966BF" w:rsidRDefault="3227CEF7" w:rsidP="7C9F70AD">
            <w:pPr>
              <w:spacing w:after="200" w:line="276" w:lineRule="auto"/>
              <w:rPr>
                <w:rFonts w:cs="Aptos"/>
                <w:color w:val="000000" w:themeColor="text1"/>
                <w:sz w:val="24"/>
                <w:szCs w:val="24"/>
              </w:rPr>
            </w:pPr>
            <w:r w:rsidRPr="7C9F70AD">
              <w:rPr>
                <w:rFonts w:cs="Aptos"/>
                <w:color w:val="000000" w:themeColor="text1"/>
                <w:sz w:val="24"/>
                <w:szCs w:val="24"/>
              </w:rPr>
              <w:t>MHA secured Low-Income Housing Tax Credit financing in August 2025 for Phase 1 of the Golden Gate Village repositioning project, which will support the long-term preservation, revitalization, and sustainability of affordable housing.</w:t>
            </w:r>
          </w:p>
          <w:p w14:paraId="46A140B3" w14:textId="6C09C71C" w:rsidR="006807E8" w:rsidRPr="004966BF" w:rsidRDefault="3227CEF7" w:rsidP="7C9F70AD">
            <w:pPr>
              <w:spacing w:after="200" w:line="276" w:lineRule="auto"/>
              <w:rPr>
                <w:rFonts w:cs="Aptos"/>
                <w:color w:val="000000" w:themeColor="text1"/>
                <w:sz w:val="24"/>
                <w:szCs w:val="24"/>
              </w:rPr>
            </w:pPr>
            <w:r w:rsidRPr="7C9F70AD">
              <w:rPr>
                <w:rFonts w:cs="Aptos"/>
                <w:color w:val="000000" w:themeColor="text1"/>
                <w:sz w:val="24"/>
                <w:szCs w:val="24"/>
              </w:rPr>
              <w:t>MHA demonstrated fiscal stewardship by limiting growth in operating expenditures, with operating expenses increasing only 0.4% in 2025 compared to 2024.</w:t>
            </w:r>
          </w:p>
          <w:p w14:paraId="3EE8D181" w14:textId="53EADC6A" w:rsidR="006807E8" w:rsidRPr="004966BF" w:rsidRDefault="006807E8" w:rsidP="00061F5F">
            <w:pPr>
              <w:rPr>
                <w:color w:val="000000" w:themeColor="text1"/>
                <w:sz w:val="22"/>
              </w:rPr>
            </w:pPr>
          </w:p>
        </w:tc>
      </w:tr>
      <w:tr w:rsidR="006807E8" w:rsidRPr="00061F5F" w14:paraId="5EE37CD0" w14:textId="77777777" w:rsidTr="00BC5064">
        <w:trPr>
          <w:trHeight w:val="864"/>
          <w:jc w:val="center"/>
        </w:trPr>
        <w:tc>
          <w:tcPr>
            <w:tcW w:w="0" w:type="auto"/>
            <w:shd w:val="clear" w:color="auto" w:fill="244F50"/>
            <w:vAlign w:val="center"/>
          </w:tcPr>
          <w:p w14:paraId="6FC05CD9" w14:textId="77777777" w:rsidR="006807E8" w:rsidRPr="004966BF" w:rsidRDefault="000072CF" w:rsidP="004966BF">
            <w:pPr>
              <w:jc w:val="center"/>
              <w:rPr>
                <w:sz w:val="22"/>
              </w:rPr>
            </w:pPr>
            <w:r w:rsidRPr="004966BF">
              <w:rPr>
                <w:b/>
                <w:color w:val="FFFFFF"/>
                <w:sz w:val="22"/>
              </w:rPr>
              <w:t>Objective 2</w:t>
            </w:r>
          </w:p>
        </w:tc>
        <w:tc>
          <w:tcPr>
            <w:tcW w:w="0" w:type="auto"/>
            <w:shd w:val="clear" w:color="auto" w:fill="F3F1EC"/>
            <w:vAlign w:val="center"/>
          </w:tcPr>
          <w:p w14:paraId="41B6EC9D" w14:textId="77777777" w:rsidR="006807E8" w:rsidRPr="004966BF" w:rsidRDefault="000072CF" w:rsidP="00061F5F">
            <w:pPr>
              <w:rPr>
                <w:sz w:val="22"/>
              </w:rPr>
            </w:pPr>
            <w:r w:rsidRPr="004966BF">
              <w:rPr>
                <w:b/>
                <w:color w:val="000000"/>
                <w:sz w:val="22"/>
              </w:rPr>
              <w:t>Periodically assess staffing and business needs to implement changes as necessary.</w:t>
            </w:r>
          </w:p>
        </w:tc>
        <w:tc>
          <w:tcPr>
            <w:tcW w:w="0" w:type="auto"/>
            <w:vAlign w:val="center"/>
          </w:tcPr>
          <w:p w14:paraId="21A01F93" w14:textId="77777777" w:rsidR="006807E8" w:rsidRPr="004966BF" w:rsidRDefault="000072CF" w:rsidP="00FE4A7B">
            <w:pPr>
              <w:jc w:val="center"/>
              <w:rPr>
                <w:sz w:val="22"/>
              </w:rPr>
            </w:pPr>
            <w:r w:rsidRPr="004966BF">
              <w:rPr>
                <w:b/>
                <w:color w:val="1F4E1F"/>
                <w:sz w:val="22"/>
              </w:rPr>
              <w:t>Met</w:t>
            </w:r>
          </w:p>
        </w:tc>
        <w:tc>
          <w:tcPr>
            <w:tcW w:w="10127" w:type="dxa"/>
            <w:vAlign w:val="center"/>
          </w:tcPr>
          <w:p w14:paraId="16E80A65" w14:textId="77777777" w:rsidR="006807E8" w:rsidRPr="004966BF" w:rsidRDefault="000072CF" w:rsidP="00061F5F">
            <w:pPr>
              <w:rPr>
                <w:sz w:val="24"/>
                <w:szCs w:val="24"/>
              </w:rPr>
            </w:pPr>
            <w:r w:rsidRPr="7C9F70AD">
              <w:rPr>
                <w:color w:val="000000" w:themeColor="text1"/>
                <w:sz w:val="24"/>
                <w:szCs w:val="24"/>
              </w:rPr>
              <w:t>Staffing levels have remained consistent during 2025, which is reflective of flat Federal funding experienced in 2025. Review of all current staffing for efficiency and business needs starting in June 2026.</w:t>
            </w:r>
          </w:p>
        </w:tc>
      </w:tr>
      <w:tr w:rsidR="006807E8" w:rsidRPr="00061F5F" w14:paraId="6335BCC1" w14:textId="77777777" w:rsidTr="0028483C">
        <w:trPr>
          <w:trHeight w:val="1402"/>
          <w:jc w:val="center"/>
        </w:trPr>
        <w:tc>
          <w:tcPr>
            <w:tcW w:w="0" w:type="auto"/>
            <w:shd w:val="clear" w:color="auto" w:fill="244F50"/>
            <w:vAlign w:val="center"/>
          </w:tcPr>
          <w:p w14:paraId="58381346" w14:textId="77777777" w:rsidR="006807E8" w:rsidRPr="004966BF" w:rsidRDefault="000072CF" w:rsidP="004966BF">
            <w:pPr>
              <w:jc w:val="center"/>
              <w:rPr>
                <w:sz w:val="22"/>
              </w:rPr>
            </w:pPr>
            <w:r w:rsidRPr="004966BF">
              <w:rPr>
                <w:b/>
                <w:color w:val="FFFFFF"/>
                <w:sz w:val="22"/>
              </w:rPr>
              <w:t>Objective 3</w:t>
            </w:r>
          </w:p>
        </w:tc>
        <w:tc>
          <w:tcPr>
            <w:tcW w:w="0" w:type="auto"/>
            <w:shd w:val="clear" w:color="auto" w:fill="F3F1EC"/>
            <w:vAlign w:val="center"/>
          </w:tcPr>
          <w:p w14:paraId="7A484ADA" w14:textId="77777777" w:rsidR="006807E8" w:rsidRPr="004966BF" w:rsidRDefault="000072CF" w:rsidP="00061F5F">
            <w:pPr>
              <w:rPr>
                <w:sz w:val="22"/>
              </w:rPr>
            </w:pPr>
            <w:r w:rsidRPr="004966BF">
              <w:rPr>
                <w:b/>
                <w:color w:val="000000"/>
                <w:sz w:val="22"/>
              </w:rPr>
              <w:t>Develop and /or improve existing long-term capital plans for all properties.</w:t>
            </w:r>
          </w:p>
        </w:tc>
        <w:tc>
          <w:tcPr>
            <w:tcW w:w="0" w:type="auto"/>
            <w:vAlign w:val="center"/>
          </w:tcPr>
          <w:p w14:paraId="426C9903" w14:textId="77777777" w:rsidR="006807E8" w:rsidRPr="004966BF" w:rsidRDefault="000072CF" w:rsidP="00FE4A7B">
            <w:pPr>
              <w:jc w:val="center"/>
              <w:rPr>
                <w:sz w:val="22"/>
              </w:rPr>
            </w:pPr>
            <w:r w:rsidRPr="004966BF">
              <w:rPr>
                <w:b/>
                <w:color w:val="1F4E1F"/>
                <w:sz w:val="22"/>
              </w:rPr>
              <w:t>Met</w:t>
            </w:r>
          </w:p>
        </w:tc>
        <w:tc>
          <w:tcPr>
            <w:tcW w:w="10127" w:type="dxa"/>
            <w:vAlign w:val="center"/>
          </w:tcPr>
          <w:p w14:paraId="5B36DFD4" w14:textId="77777777" w:rsidR="006807E8" w:rsidRPr="004966BF" w:rsidRDefault="000072CF" w:rsidP="00061F5F">
            <w:pPr>
              <w:rPr>
                <w:sz w:val="24"/>
                <w:szCs w:val="24"/>
              </w:rPr>
            </w:pPr>
            <w:r w:rsidRPr="7C9F70AD">
              <w:rPr>
                <w:color w:val="000000" w:themeColor="text1"/>
                <w:sz w:val="24"/>
                <w:szCs w:val="24"/>
              </w:rPr>
              <w:t>MHA has 6 Public Housing properties, 1 State finance property, and one MHA owned property. The GGV PH property is currently being repositioned using RAD/Section 18 blend and State tax credits. Of the 8 HUD-funded properties, 6 have long-term capital plans in place and the other 2 are in progress.</w:t>
            </w:r>
          </w:p>
        </w:tc>
      </w:tr>
      <w:tr w:rsidR="006807E8" w:rsidRPr="00061F5F" w14:paraId="3E217FB4" w14:textId="77777777" w:rsidTr="00DB3EFA">
        <w:trPr>
          <w:trHeight w:val="1008"/>
          <w:jc w:val="center"/>
        </w:trPr>
        <w:tc>
          <w:tcPr>
            <w:tcW w:w="0" w:type="auto"/>
            <w:shd w:val="clear" w:color="auto" w:fill="244F50"/>
            <w:vAlign w:val="center"/>
          </w:tcPr>
          <w:p w14:paraId="1F9711CE" w14:textId="77777777" w:rsidR="006807E8" w:rsidRPr="004966BF" w:rsidRDefault="000072CF" w:rsidP="004966BF">
            <w:pPr>
              <w:jc w:val="center"/>
              <w:rPr>
                <w:sz w:val="22"/>
              </w:rPr>
            </w:pPr>
            <w:r w:rsidRPr="004966BF">
              <w:rPr>
                <w:b/>
                <w:color w:val="FFFFFF"/>
                <w:sz w:val="22"/>
              </w:rPr>
              <w:t>Objective 4</w:t>
            </w:r>
          </w:p>
        </w:tc>
        <w:tc>
          <w:tcPr>
            <w:tcW w:w="0" w:type="auto"/>
            <w:shd w:val="clear" w:color="auto" w:fill="F3F1EC"/>
            <w:vAlign w:val="center"/>
          </w:tcPr>
          <w:p w14:paraId="0192CF93" w14:textId="77777777" w:rsidR="006807E8" w:rsidRPr="004966BF" w:rsidRDefault="000072CF" w:rsidP="00061F5F">
            <w:pPr>
              <w:rPr>
                <w:sz w:val="22"/>
              </w:rPr>
            </w:pPr>
            <w:r w:rsidRPr="004966BF">
              <w:rPr>
                <w:b/>
                <w:color w:val="000000"/>
                <w:sz w:val="22"/>
              </w:rPr>
              <w:t>Maintain liquid, undesignated reserves of at least three months of operating costs.</w:t>
            </w:r>
          </w:p>
        </w:tc>
        <w:tc>
          <w:tcPr>
            <w:tcW w:w="0" w:type="auto"/>
            <w:vAlign w:val="center"/>
          </w:tcPr>
          <w:p w14:paraId="7831F5AB" w14:textId="77777777" w:rsidR="006807E8" w:rsidRPr="004966BF" w:rsidRDefault="000072CF" w:rsidP="00FE4A7B">
            <w:pPr>
              <w:jc w:val="center"/>
              <w:rPr>
                <w:sz w:val="22"/>
              </w:rPr>
            </w:pPr>
            <w:r w:rsidRPr="004966BF">
              <w:rPr>
                <w:b/>
                <w:color w:val="1F4E1F"/>
                <w:sz w:val="22"/>
              </w:rPr>
              <w:t>Met</w:t>
            </w:r>
          </w:p>
        </w:tc>
        <w:tc>
          <w:tcPr>
            <w:tcW w:w="10127" w:type="dxa"/>
            <w:vAlign w:val="center"/>
          </w:tcPr>
          <w:p w14:paraId="2FAA94F6" w14:textId="77777777" w:rsidR="006807E8" w:rsidRPr="004966BF" w:rsidRDefault="000072CF" w:rsidP="00061F5F">
            <w:pPr>
              <w:rPr>
                <w:sz w:val="24"/>
                <w:szCs w:val="24"/>
              </w:rPr>
            </w:pPr>
            <w:r w:rsidRPr="7C9F70AD">
              <w:rPr>
                <w:color w:val="000000" w:themeColor="text1"/>
                <w:sz w:val="24"/>
                <w:szCs w:val="24"/>
              </w:rPr>
              <w:t>As of 12/31/2025, this goal has been met and maintained from the prior year.</w:t>
            </w:r>
          </w:p>
        </w:tc>
      </w:tr>
      <w:tr w:rsidR="006807E8" w:rsidRPr="00061F5F" w14:paraId="23D39F76" w14:textId="77777777" w:rsidTr="00A312BA">
        <w:trPr>
          <w:trHeight w:val="1296"/>
          <w:jc w:val="center"/>
        </w:trPr>
        <w:tc>
          <w:tcPr>
            <w:tcW w:w="0" w:type="auto"/>
            <w:shd w:val="clear" w:color="auto" w:fill="244F50"/>
            <w:vAlign w:val="center"/>
          </w:tcPr>
          <w:p w14:paraId="262CEA2B" w14:textId="77777777" w:rsidR="006807E8" w:rsidRPr="004966BF" w:rsidRDefault="000072CF" w:rsidP="004966BF">
            <w:pPr>
              <w:jc w:val="center"/>
              <w:rPr>
                <w:sz w:val="22"/>
              </w:rPr>
            </w:pPr>
            <w:r w:rsidRPr="004966BF">
              <w:rPr>
                <w:b/>
                <w:color w:val="FFFFFF"/>
                <w:sz w:val="22"/>
              </w:rPr>
              <w:lastRenderedPageBreak/>
              <w:t>Objective 5</w:t>
            </w:r>
          </w:p>
        </w:tc>
        <w:tc>
          <w:tcPr>
            <w:tcW w:w="0" w:type="auto"/>
            <w:shd w:val="clear" w:color="auto" w:fill="F3F1EC"/>
            <w:vAlign w:val="center"/>
          </w:tcPr>
          <w:p w14:paraId="24203BEE" w14:textId="77777777" w:rsidR="006807E8" w:rsidRPr="004966BF" w:rsidRDefault="000072CF" w:rsidP="00061F5F">
            <w:pPr>
              <w:rPr>
                <w:sz w:val="22"/>
              </w:rPr>
            </w:pPr>
            <w:r w:rsidRPr="004966BF">
              <w:rPr>
                <w:b/>
                <w:color w:val="000000"/>
                <w:sz w:val="22"/>
              </w:rPr>
              <w:t>Seek out additional grants for supportive services and housing development through federal, state, local and philanthropic opportunities.</w:t>
            </w:r>
          </w:p>
        </w:tc>
        <w:tc>
          <w:tcPr>
            <w:tcW w:w="0" w:type="auto"/>
            <w:vAlign w:val="center"/>
          </w:tcPr>
          <w:p w14:paraId="03A7D7CE" w14:textId="77777777" w:rsidR="006807E8" w:rsidRPr="004966BF" w:rsidRDefault="000072CF" w:rsidP="00FE4A7B">
            <w:pPr>
              <w:jc w:val="center"/>
              <w:rPr>
                <w:sz w:val="22"/>
              </w:rPr>
            </w:pPr>
            <w:r w:rsidRPr="004966BF">
              <w:rPr>
                <w:b/>
                <w:color w:val="1F4E1F"/>
                <w:sz w:val="22"/>
              </w:rPr>
              <w:t>Met</w:t>
            </w:r>
          </w:p>
        </w:tc>
        <w:tc>
          <w:tcPr>
            <w:tcW w:w="10127" w:type="dxa"/>
            <w:vAlign w:val="center"/>
          </w:tcPr>
          <w:p w14:paraId="590EB21B" w14:textId="77777777" w:rsidR="006807E8" w:rsidRPr="004966BF" w:rsidRDefault="000072CF" w:rsidP="00061F5F">
            <w:pPr>
              <w:rPr>
                <w:sz w:val="24"/>
                <w:szCs w:val="24"/>
              </w:rPr>
            </w:pPr>
            <w:r w:rsidRPr="7C9F70AD">
              <w:rPr>
                <w:color w:val="000000" w:themeColor="text1"/>
                <w:sz w:val="24"/>
                <w:szCs w:val="24"/>
              </w:rPr>
              <w:t>MHA has applied for 13 new grant opportunities to strengthen supportive services provided. Of the 13 applications, MHA was awarded 5 new grants, there are two (2) grants pending award, and six (6) grant applications were declined.</w:t>
            </w:r>
          </w:p>
        </w:tc>
      </w:tr>
    </w:tbl>
    <w:p w14:paraId="089929B1" w14:textId="06CD3B37" w:rsidR="006807E8" w:rsidRPr="0077436E" w:rsidRDefault="000072CF" w:rsidP="003B27D0">
      <w:pPr>
        <w:pageBreakBefore/>
        <w:pBdr>
          <w:top w:val="single" w:sz="6" w:space="1" w:color="000000" w:themeColor="text1"/>
          <w:left w:val="single" w:sz="6" w:space="4" w:color="000000" w:themeColor="text1"/>
          <w:bottom w:val="single" w:sz="6" w:space="1" w:color="000000" w:themeColor="text1"/>
          <w:right w:val="single" w:sz="6" w:space="4" w:color="000000" w:themeColor="text1"/>
        </w:pBdr>
        <w:shd w:val="clear" w:color="auto" w:fill="A64F24"/>
        <w:spacing w:after="160"/>
        <w:rPr>
          <w:sz w:val="24"/>
          <w:szCs w:val="32"/>
        </w:rPr>
      </w:pPr>
      <w:r w:rsidRPr="0077436E">
        <w:rPr>
          <w:b/>
          <w:color w:val="FFFFFF"/>
          <w:sz w:val="32"/>
          <w:szCs w:val="32"/>
        </w:rPr>
        <w:lastRenderedPageBreak/>
        <w:t>Goal III | Encourage Client Stability and Upward Mobility</w:t>
      </w:r>
    </w:p>
    <w:tbl>
      <w:tblPr>
        <w:tblStyle w:val="TableGrid"/>
        <w:tblW w:w="1745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95"/>
        <w:gridCol w:w="6508"/>
        <w:gridCol w:w="1045"/>
        <w:gridCol w:w="8602"/>
      </w:tblGrid>
      <w:tr w:rsidR="006807E8" w:rsidRPr="00D65A78" w14:paraId="59D1B9F0" w14:textId="77777777" w:rsidTr="004150AC">
        <w:trPr>
          <w:trHeight w:val="328"/>
          <w:tblHeader/>
          <w:jc w:val="center"/>
        </w:trPr>
        <w:tc>
          <w:tcPr>
            <w:tcW w:w="0" w:type="auto"/>
            <w:tcBorders>
              <w:right w:val="nil"/>
            </w:tcBorders>
            <w:shd w:val="clear" w:color="auto" w:fill="FFC000"/>
          </w:tcPr>
          <w:p w14:paraId="76E12B23" w14:textId="04570911" w:rsidR="006807E8" w:rsidRPr="00D65A78" w:rsidRDefault="006807E8">
            <w:pPr>
              <w:jc w:val="center"/>
              <w:rPr>
                <w:sz w:val="22"/>
              </w:rPr>
            </w:pPr>
          </w:p>
        </w:tc>
        <w:tc>
          <w:tcPr>
            <w:tcW w:w="0" w:type="auto"/>
            <w:tcBorders>
              <w:left w:val="nil"/>
            </w:tcBorders>
            <w:shd w:val="clear" w:color="auto" w:fill="FFC000"/>
          </w:tcPr>
          <w:p w14:paraId="3740D4A0" w14:textId="3E47D9BC" w:rsidR="006807E8" w:rsidRPr="00D65A78" w:rsidRDefault="000072CF">
            <w:pPr>
              <w:jc w:val="center"/>
              <w:rPr>
                <w:color w:val="auto"/>
                <w:sz w:val="28"/>
                <w:szCs w:val="28"/>
              </w:rPr>
            </w:pPr>
            <w:r w:rsidRPr="00D65A78">
              <w:rPr>
                <w:b/>
                <w:color w:val="auto"/>
                <w:sz w:val="28"/>
                <w:szCs w:val="28"/>
              </w:rPr>
              <w:t xml:space="preserve">Objective </w:t>
            </w:r>
          </w:p>
        </w:tc>
        <w:tc>
          <w:tcPr>
            <w:tcW w:w="0" w:type="auto"/>
            <w:shd w:val="clear" w:color="auto" w:fill="FFC000"/>
          </w:tcPr>
          <w:p w14:paraId="4D29E227" w14:textId="77777777" w:rsidR="006807E8" w:rsidRPr="00D65A78" w:rsidRDefault="000072CF">
            <w:pPr>
              <w:jc w:val="center"/>
              <w:rPr>
                <w:color w:val="auto"/>
                <w:sz w:val="28"/>
                <w:szCs w:val="28"/>
              </w:rPr>
            </w:pPr>
            <w:r w:rsidRPr="00D65A78">
              <w:rPr>
                <w:b/>
                <w:color w:val="auto"/>
                <w:sz w:val="28"/>
                <w:szCs w:val="28"/>
              </w:rPr>
              <w:t>Status</w:t>
            </w:r>
          </w:p>
        </w:tc>
        <w:tc>
          <w:tcPr>
            <w:tcW w:w="8602" w:type="dxa"/>
            <w:shd w:val="clear" w:color="auto" w:fill="FFC000"/>
          </w:tcPr>
          <w:p w14:paraId="5AD5DED0" w14:textId="77777777" w:rsidR="006807E8" w:rsidRPr="00D65A78" w:rsidRDefault="000072CF">
            <w:pPr>
              <w:jc w:val="center"/>
              <w:rPr>
                <w:color w:val="auto"/>
                <w:sz w:val="28"/>
                <w:szCs w:val="28"/>
              </w:rPr>
            </w:pPr>
            <w:r w:rsidRPr="00D65A78">
              <w:rPr>
                <w:b/>
                <w:color w:val="auto"/>
                <w:sz w:val="28"/>
                <w:szCs w:val="28"/>
              </w:rPr>
              <w:t>Progress Update</w:t>
            </w:r>
          </w:p>
        </w:tc>
      </w:tr>
      <w:tr w:rsidR="006807E8" w:rsidRPr="00D65A78" w14:paraId="02D7FB4A" w14:textId="77777777" w:rsidTr="7C9F70AD">
        <w:trPr>
          <w:trHeight w:val="3456"/>
          <w:jc w:val="center"/>
        </w:trPr>
        <w:tc>
          <w:tcPr>
            <w:tcW w:w="0" w:type="auto"/>
            <w:shd w:val="clear" w:color="auto" w:fill="244F50"/>
            <w:vAlign w:val="center"/>
          </w:tcPr>
          <w:p w14:paraId="5DD70700" w14:textId="77777777" w:rsidR="006807E8" w:rsidRPr="00D65A78" w:rsidRDefault="000072CF" w:rsidP="00D96831">
            <w:pPr>
              <w:jc w:val="center"/>
              <w:rPr>
                <w:sz w:val="22"/>
              </w:rPr>
            </w:pPr>
            <w:r w:rsidRPr="00D65A78">
              <w:rPr>
                <w:b/>
                <w:color w:val="FFFFFF"/>
                <w:sz w:val="22"/>
              </w:rPr>
              <w:t>Objective 1</w:t>
            </w:r>
          </w:p>
        </w:tc>
        <w:tc>
          <w:tcPr>
            <w:tcW w:w="0" w:type="auto"/>
            <w:shd w:val="clear" w:color="auto" w:fill="F3F1EC"/>
            <w:vAlign w:val="center"/>
          </w:tcPr>
          <w:p w14:paraId="1D346A89" w14:textId="77777777" w:rsidR="006807E8" w:rsidRPr="00D65A78" w:rsidRDefault="000072CF" w:rsidP="00D96831">
            <w:pPr>
              <w:rPr>
                <w:sz w:val="22"/>
              </w:rPr>
            </w:pPr>
            <w:r w:rsidRPr="00D65A78">
              <w:rPr>
                <w:b/>
                <w:color w:val="000000"/>
                <w:sz w:val="22"/>
              </w:rPr>
              <w:t>Collaborate with community partners to strengthen MHA’s response to critical community needs and issues.</w:t>
            </w:r>
          </w:p>
        </w:tc>
        <w:tc>
          <w:tcPr>
            <w:tcW w:w="0" w:type="auto"/>
            <w:vAlign w:val="center"/>
          </w:tcPr>
          <w:p w14:paraId="7EE7D3F2" w14:textId="77777777" w:rsidR="006807E8" w:rsidRPr="00D65A78" w:rsidRDefault="000072CF" w:rsidP="0077436E">
            <w:pPr>
              <w:jc w:val="center"/>
              <w:rPr>
                <w:sz w:val="22"/>
              </w:rPr>
            </w:pPr>
            <w:r w:rsidRPr="00D65A78">
              <w:rPr>
                <w:b/>
                <w:color w:val="1F4E1F"/>
                <w:sz w:val="22"/>
              </w:rPr>
              <w:t>Met</w:t>
            </w:r>
          </w:p>
        </w:tc>
        <w:tc>
          <w:tcPr>
            <w:tcW w:w="8602" w:type="dxa"/>
            <w:vAlign w:val="center"/>
          </w:tcPr>
          <w:p w14:paraId="3D457ECF" w14:textId="246C1CD4" w:rsidR="7C9F70AD" w:rsidRDefault="7C9F70AD" w:rsidP="7C9F70AD">
            <w:pPr>
              <w:rPr>
                <w:rFonts w:cs="Aptos"/>
                <w:color w:val="000000" w:themeColor="text1"/>
                <w:sz w:val="24"/>
                <w:szCs w:val="24"/>
              </w:rPr>
            </w:pPr>
            <w:r w:rsidRPr="7C9F70AD">
              <w:rPr>
                <w:rFonts w:cs="Aptos"/>
                <w:color w:val="000000" w:themeColor="text1"/>
                <w:sz w:val="24"/>
                <w:szCs w:val="24"/>
              </w:rPr>
              <w:t xml:space="preserve">Marin Housing Authority continued to strengthen partnerships with county agencies, community-based organizations, and service providers to address critical </w:t>
            </w:r>
            <w:proofErr w:type="gramStart"/>
            <w:r w:rsidRPr="7C9F70AD">
              <w:rPr>
                <w:rFonts w:cs="Aptos"/>
                <w:color w:val="000000" w:themeColor="text1"/>
                <w:sz w:val="24"/>
                <w:szCs w:val="24"/>
              </w:rPr>
              <w:t>resident</w:t>
            </w:r>
            <w:proofErr w:type="gramEnd"/>
            <w:r w:rsidRPr="7C9F70AD">
              <w:rPr>
                <w:rFonts w:cs="Aptos"/>
                <w:color w:val="000000" w:themeColor="text1"/>
                <w:sz w:val="24"/>
                <w:szCs w:val="24"/>
              </w:rPr>
              <w:t xml:space="preserve"> needs and improve access to services. Key partnerships included ongoing collaboration with County departments such as Homelessness and Coordinated Care, Adult and Aging Services, and Behavioral Health and Recovery Services.</w:t>
            </w:r>
          </w:p>
          <w:p w14:paraId="7E29AF1D" w14:textId="7310EBFD" w:rsidR="7C9F70AD" w:rsidRDefault="7C9F70AD" w:rsidP="7C9F70AD">
            <w:pPr>
              <w:rPr>
                <w:rFonts w:cs="Aptos"/>
                <w:color w:val="000000" w:themeColor="text1"/>
                <w:sz w:val="24"/>
                <w:szCs w:val="24"/>
              </w:rPr>
            </w:pPr>
            <w:r w:rsidRPr="7C9F70AD">
              <w:rPr>
                <w:rFonts w:cs="Aptos"/>
                <w:color w:val="000000" w:themeColor="text1"/>
                <w:sz w:val="24"/>
                <w:szCs w:val="24"/>
              </w:rPr>
              <w:t>Through these partnerships, MHA expanded access to supportive services, emergency preparedness resources, and digital inclusion initiatives. The County Office of Emergency Management conducted emergency preparedness workshops at all public housing sites, while MHA service coordinators and case managers continued to connect residents and program participants with community-based services and resources.</w:t>
            </w:r>
          </w:p>
          <w:p w14:paraId="33E50620" w14:textId="64D3BCC0" w:rsidR="7C9F70AD" w:rsidRDefault="7C9F70AD" w:rsidP="7C9F70AD">
            <w:pPr>
              <w:rPr>
                <w:rFonts w:cs="Aptos"/>
                <w:color w:val="000000" w:themeColor="text1"/>
                <w:sz w:val="24"/>
                <w:szCs w:val="24"/>
              </w:rPr>
            </w:pPr>
            <w:r w:rsidRPr="7C9F70AD">
              <w:rPr>
                <w:rFonts w:cs="Aptos"/>
                <w:color w:val="000000" w:themeColor="text1"/>
                <w:sz w:val="24"/>
                <w:szCs w:val="24"/>
              </w:rPr>
              <w:t>MHA also partnered with the County of Marin to continue implementation of the Digital Literacy Program, which provides residents of senior and disabled public housing communities with free internet access and personal devices. Deployment of devices is expected to be completed in Fall 2026.</w:t>
            </w:r>
          </w:p>
          <w:p w14:paraId="6BCF6B6D" w14:textId="20D6B57E" w:rsidR="7C9F70AD" w:rsidRDefault="7C9F70AD" w:rsidP="7C9F70AD">
            <w:pPr>
              <w:rPr>
                <w:rFonts w:cs="Aptos"/>
                <w:color w:val="000000" w:themeColor="text1"/>
                <w:sz w:val="24"/>
                <w:szCs w:val="24"/>
              </w:rPr>
            </w:pPr>
            <w:r w:rsidRPr="7C9F70AD">
              <w:rPr>
                <w:rFonts w:cs="Aptos"/>
                <w:color w:val="000000" w:themeColor="text1"/>
                <w:sz w:val="24"/>
                <w:szCs w:val="24"/>
              </w:rPr>
              <w:t>In addition, MHA collaborated with County departments to host four resident service fairs at public housing sites, bringing as many as eight County departments directly to residents to improve access to programs and services. Two additional service fairs are scheduled for June and August 2026.</w:t>
            </w:r>
          </w:p>
          <w:p w14:paraId="4A3D91F6" w14:textId="33D69719" w:rsidR="7C9F70AD" w:rsidRPr="7C9F70AD" w:rsidRDefault="7C9F70AD" w:rsidP="7C9F70AD">
            <w:pPr>
              <w:rPr>
                <w:rFonts w:cs="Aptos"/>
                <w:color w:val="000000" w:themeColor="text1"/>
                <w:sz w:val="24"/>
                <w:szCs w:val="24"/>
              </w:rPr>
            </w:pPr>
          </w:p>
        </w:tc>
      </w:tr>
      <w:tr w:rsidR="006807E8" w:rsidRPr="00D65A78" w14:paraId="5B40EF7C" w14:textId="77777777" w:rsidTr="00A312BA">
        <w:trPr>
          <w:trHeight w:val="1584"/>
          <w:jc w:val="center"/>
        </w:trPr>
        <w:tc>
          <w:tcPr>
            <w:tcW w:w="0" w:type="auto"/>
            <w:shd w:val="clear" w:color="auto" w:fill="244F50"/>
            <w:vAlign w:val="center"/>
          </w:tcPr>
          <w:p w14:paraId="32CFF324" w14:textId="77777777" w:rsidR="006807E8" w:rsidRPr="00D65A78" w:rsidRDefault="000072CF" w:rsidP="00D96831">
            <w:pPr>
              <w:jc w:val="center"/>
              <w:rPr>
                <w:sz w:val="22"/>
              </w:rPr>
            </w:pPr>
            <w:r w:rsidRPr="00D65A78">
              <w:rPr>
                <w:b/>
                <w:color w:val="FFFFFF"/>
                <w:sz w:val="22"/>
              </w:rPr>
              <w:t>Objective 1.1</w:t>
            </w:r>
          </w:p>
        </w:tc>
        <w:tc>
          <w:tcPr>
            <w:tcW w:w="0" w:type="auto"/>
            <w:shd w:val="clear" w:color="auto" w:fill="F3F1EC"/>
            <w:vAlign w:val="center"/>
          </w:tcPr>
          <w:p w14:paraId="6EAF7AD4" w14:textId="77777777" w:rsidR="006807E8" w:rsidRPr="00D65A78" w:rsidRDefault="000072CF" w:rsidP="00D96831">
            <w:pPr>
              <w:rPr>
                <w:sz w:val="22"/>
              </w:rPr>
            </w:pPr>
            <w:r w:rsidRPr="00D65A78">
              <w:rPr>
                <w:b/>
                <w:color w:val="000000"/>
                <w:sz w:val="22"/>
              </w:rPr>
              <w:t>Continue collaborations with community organizations such as the Veteran Administration, Health and Human Services, and California Department of Public Health to provide affordable housing for vulnerable populations.</w:t>
            </w:r>
          </w:p>
        </w:tc>
        <w:tc>
          <w:tcPr>
            <w:tcW w:w="0" w:type="auto"/>
            <w:vAlign w:val="center"/>
          </w:tcPr>
          <w:p w14:paraId="5D08042F" w14:textId="77777777" w:rsidR="006807E8" w:rsidRPr="00D65A78" w:rsidRDefault="000072CF" w:rsidP="0077436E">
            <w:pPr>
              <w:jc w:val="center"/>
              <w:rPr>
                <w:sz w:val="22"/>
              </w:rPr>
            </w:pPr>
            <w:r w:rsidRPr="00D65A78">
              <w:rPr>
                <w:b/>
                <w:color w:val="1F4E1F"/>
                <w:sz w:val="22"/>
              </w:rPr>
              <w:t>Met</w:t>
            </w:r>
          </w:p>
        </w:tc>
        <w:tc>
          <w:tcPr>
            <w:tcW w:w="8602" w:type="dxa"/>
            <w:vAlign w:val="center"/>
          </w:tcPr>
          <w:p w14:paraId="179571F1" w14:textId="77777777" w:rsidR="006807E8" w:rsidRPr="00D65A78" w:rsidRDefault="000072CF" w:rsidP="00C23F7B">
            <w:pPr>
              <w:rPr>
                <w:sz w:val="24"/>
                <w:szCs w:val="24"/>
              </w:rPr>
            </w:pPr>
            <w:r w:rsidRPr="7C9F70AD">
              <w:rPr>
                <w:color w:val="000000" w:themeColor="text1"/>
                <w:sz w:val="24"/>
                <w:szCs w:val="24"/>
              </w:rPr>
              <w:t>MHA provides subsidies through the HUD-VASH program and California Department of Public Health's HOPWA program and works collaboratively with both agencies to execute these supportive housing programs. MHA provides local subsidies through multiple contracts with the County of Marin's Division on Homeless &amp; Coordinated Care and the Richardson Bay Regional Agency.</w:t>
            </w:r>
          </w:p>
        </w:tc>
      </w:tr>
      <w:tr w:rsidR="006807E8" w:rsidRPr="00D65A78" w14:paraId="104B8AB0" w14:textId="77777777" w:rsidTr="00BC5064">
        <w:trPr>
          <w:trHeight w:val="1152"/>
          <w:jc w:val="center"/>
        </w:trPr>
        <w:tc>
          <w:tcPr>
            <w:tcW w:w="0" w:type="auto"/>
            <w:shd w:val="clear" w:color="auto" w:fill="244F50"/>
            <w:vAlign w:val="center"/>
          </w:tcPr>
          <w:p w14:paraId="65304614" w14:textId="77777777" w:rsidR="006807E8" w:rsidRPr="00D65A78" w:rsidRDefault="000072CF" w:rsidP="00D96831">
            <w:pPr>
              <w:jc w:val="center"/>
              <w:rPr>
                <w:sz w:val="22"/>
              </w:rPr>
            </w:pPr>
            <w:r w:rsidRPr="00D65A78">
              <w:rPr>
                <w:b/>
                <w:color w:val="FFFFFF"/>
                <w:sz w:val="22"/>
              </w:rPr>
              <w:lastRenderedPageBreak/>
              <w:t>Objective 2</w:t>
            </w:r>
          </w:p>
        </w:tc>
        <w:tc>
          <w:tcPr>
            <w:tcW w:w="0" w:type="auto"/>
            <w:shd w:val="clear" w:color="auto" w:fill="F3F1EC"/>
            <w:vAlign w:val="center"/>
          </w:tcPr>
          <w:p w14:paraId="07FD6BE6" w14:textId="77777777" w:rsidR="006807E8" w:rsidRPr="00D65A78" w:rsidRDefault="000072CF" w:rsidP="00D96831">
            <w:pPr>
              <w:rPr>
                <w:sz w:val="22"/>
              </w:rPr>
            </w:pPr>
            <w:r w:rsidRPr="00D65A78">
              <w:rPr>
                <w:b/>
                <w:color w:val="000000"/>
                <w:sz w:val="22"/>
              </w:rPr>
              <w:t>Provide vouchers and services through special programs.</w:t>
            </w:r>
          </w:p>
        </w:tc>
        <w:tc>
          <w:tcPr>
            <w:tcW w:w="0" w:type="auto"/>
            <w:vAlign w:val="center"/>
          </w:tcPr>
          <w:p w14:paraId="202108FC" w14:textId="77777777" w:rsidR="006807E8" w:rsidRPr="00D65A78" w:rsidRDefault="000072CF" w:rsidP="0077436E">
            <w:pPr>
              <w:jc w:val="center"/>
              <w:rPr>
                <w:sz w:val="22"/>
              </w:rPr>
            </w:pPr>
            <w:r w:rsidRPr="00D65A78">
              <w:rPr>
                <w:b/>
                <w:color w:val="1F4E1F"/>
                <w:sz w:val="22"/>
              </w:rPr>
              <w:t>Met</w:t>
            </w:r>
          </w:p>
        </w:tc>
        <w:tc>
          <w:tcPr>
            <w:tcW w:w="8602" w:type="dxa"/>
            <w:vAlign w:val="center"/>
          </w:tcPr>
          <w:p w14:paraId="2E626864" w14:textId="77777777" w:rsidR="006807E8" w:rsidRPr="00D65A78" w:rsidRDefault="000072CF" w:rsidP="00C23F7B">
            <w:pPr>
              <w:rPr>
                <w:sz w:val="24"/>
                <w:szCs w:val="24"/>
              </w:rPr>
            </w:pPr>
            <w:r w:rsidRPr="7C9F70AD">
              <w:rPr>
                <w:color w:val="000000" w:themeColor="text1"/>
                <w:sz w:val="24"/>
                <w:szCs w:val="24"/>
              </w:rPr>
              <w:t>MHA manages the following special programs: Emergency Housing Voucher, Mainstream Voucher, HUD-VASH, Shelter Plus Care (Continuum of Care Program), Housing Opportunities for Persons with AIDS (HOPWA), Local Subsidy Programs, and Foster Youth for Independence vouchers (FYI).</w:t>
            </w:r>
          </w:p>
        </w:tc>
      </w:tr>
      <w:tr w:rsidR="006807E8" w:rsidRPr="00D65A78" w14:paraId="5FE30323" w14:textId="77777777" w:rsidTr="00D95A33">
        <w:trPr>
          <w:trHeight w:val="1152"/>
          <w:jc w:val="center"/>
        </w:trPr>
        <w:tc>
          <w:tcPr>
            <w:tcW w:w="0" w:type="auto"/>
            <w:shd w:val="clear" w:color="auto" w:fill="244F50"/>
            <w:vAlign w:val="center"/>
          </w:tcPr>
          <w:p w14:paraId="3D144AEB" w14:textId="77777777" w:rsidR="006807E8" w:rsidRPr="00D65A78" w:rsidRDefault="000072CF" w:rsidP="00D96831">
            <w:pPr>
              <w:jc w:val="center"/>
              <w:rPr>
                <w:sz w:val="22"/>
              </w:rPr>
            </w:pPr>
            <w:r w:rsidRPr="00D65A78">
              <w:rPr>
                <w:b/>
                <w:color w:val="FFFFFF"/>
                <w:sz w:val="22"/>
              </w:rPr>
              <w:t>Objective 2.1</w:t>
            </w:r>
          </w:p>
        </w:tc>
        <w:tc>
          <w:tcPr>
            <w:tcW w:w="0" w:type="auto"/>
            <w:shd w:val="clear" w:color="auto" w:fill="F3F1EC"/>
            <w:vAlign w:val="center"/>
          </w:tcPr>
          <w:p w14:paraId="4E8AF010" w14:textId="77777777" w:rsidR="006807E8" w:rsidRPr="00D65A78" w:rsidRDefault="000072CF" w:rsidP="00D96831">
            <w:pPr>
              <w:rPr>
                <w:sz w:val="22"/>
              </w:rPr>
            </w:pPr>
            <w:r w:rsidRPr="00D65A78">
              <w:rPr>
                <w:b/>
                <w:color w:val="000000"/>
                <w:sz w:val="22"/>
              </w:rPr>
              <w:t>Continue to provide permanent supportive housing through Shelter Plus Care subsidies and provide case management services to support housing stability in that program.</w:t>
            </w:r>
          </w:p>
        </w:tc>
        <w:tc>
          <w:tcPr>
            <w:tcW w:w="0" w:type="auto"/>
            <w:vAlign w:val="center"/>
          </w:tcPr>
          <w:p w14:paraId="432875B9" w14:textId="77777777" w:rsidR="006807E8" w:rsidRPr="00D65A78" w:rsidRDefault="000072CF" w:rsidP="0077436E">
            <w:pPr>
              <w:jc w:val="center"/>
              <w:rPr>
                <w:sz w:val="22"/>
              </w:rPr>
            </w:pPr>
            <w:r w:rsidRPr="00D65A78">
              <w:rPr>
                <w:b/>
                <w:color w:val="1F4E1F"/>
                <w:sz w:val="22"/>
              </w:rPr>
              <w:t>Met</w:t>
            </w:r>
          </w:p>
        </w:tc>
        <w:tc>
          <w:tcPr>
            <w:tcW w:w="8602" w:type="dxa"/>
            <w:vAlign w:val="center"/>
          </w:tcPr>
          <w:p w14:paraId="023900DE" w14:textId="77777777" w:rsidR="006807E8" w:rsidRPr="00D65A78" w:rsidRDefault="000072CF" w:rsidP="00C23F7B">
            <w:pPr>
              <w:rPr>
                <w:sz w:val="24"/>
                <w:szCs w:val="24"/>
              </w:rPr>
            </w:pPr>
            <w:r w:rsidRPr="7C9F70AD">
              <w:rPr>
                <w:color w:val="000000" w:themeColor="text1"/>
                <w:sz w:val="24"/>
                <w:szCs w:val="24"/>
              </w:rPr>
              <w:t>MHA provided housing subsidies to 64 households during the reporting period. There were no households that returned to homelessness during the reporting period, though nine (9) households were terminated (passed away, moved to higher level of care, relinquished voucher, and voucher expired).</w:t>
            </w:r>
          </w:p>
        </w:tc>
      </w:tr>
      <w:tr w:rsidR="006807E8" w:rsidRPr="00D65A78" w14:paraId="1DAFC434" w14:textId="77777777" w:rsidTr="00DA3887">
        <w:trPr>
          <w:trHeight w:val="1296"/>
          <w:jc w:val="center"/>
        </w:trPr>
        <w:tc>
          <w:tcPr>
            <w:tcW w:w="0" w:type="auto"/>
            <w:shd w:val="clear" w:color="auto" w:fill="244F50"/>
            <w:vAlign w:val="center"/>
          </w:tcPr>
          <w:p w14:paraId="22FC424A" w14:textId="77777777" w:rsidR="006807E8" w:rsidRPr="00D65A78" w:rsidRDefault="000072CF" w:rsidP="00D96831">
            <w:pPr>
              <w:jc w:val="center"/>
              <w:rPr>
                <w:sz w:val="22"/>
              </w:rPr>
            </w:pPr>
            <w:r w:rsidRPr="00D65A78">
              <w:rPr>
                <w:b/>
                <w:color w:val="FFFFFF"/>
                <w:sz w:val="22"/>
              </w:rPr>
              <w:t>Objective 2.2</w:t>
            </w:r>
          </w:p>
        </w:tc>
        <w:tc>
          <w:tcPr>
            <w:tcW w:w="0" w:type="auto"/>
            <w:shd w:val="clear" w:color="auto" w:fill="F3F1EC"/>
            <w:vAlign w:val="center"/>
          </w:tcPr>
          <w:p w14:paraId="4287E2EE" w14:textId="77777777" w:rsidR="006807E8" w:rsidRPr="00D65A78" w:rsidRDefault="000072CF" w:rsidP="00D96831">
            <w:pPr>
              <w:rPr>
                <w:sz w:val="22"/>
              </w:rPr>
            </w:pPr>
            <w:r w:rsidRPr="00D65A78">
              <w:rPr>
                <w:b/>
                <w:color w:val="000000"/>
                <w:sz w:val="22"/>
              </w:rPr>
              <w:t>Continue to provide rental assistance and support services to formerly homeless veterans in cooperation with the Veterans Administration.</w:t>
            </w:r>
          </w:p>
        </w:tc>
        <w:tc>
          <w:tcPr>
            <w:tcW w:w="0" w:type="auto"/>
            <w:vAlign w:val="center"/>
          </w:tcPr>
          <w:p w14:paraId="72199A53" w14:textId="77777777" w:rsidR="006807E8" w:rsidRPr="00D65A78" w:rsidRDefault="000072CF" w:rsidP="0077436E">
            <w:pPr>
              <w:jc w:val="center"/>
              <w:rPr>
                <w:sz w:val="22"/>
              </w:rPr>
            </w:pPr>
            <w:r w:rsidRPr="00D65A78">
              <w:rPr>
                <w:b/>
                <w:color w:val="1F4E1F"/>
                <w:sz w:val="22"/>
              </w:rPr>
              <w:t>Met</w:t>
            </w:r>
          </w:p>
        </w:tc>
        <w:tc>
          <w:tcPr>
            <w:tcW w:w="8602" w:type="dxa"/>
            <w:vAlign w:val="center"/>
          </w:tcPr>
          <w:p w14:paraId="5B42687F" w14:textId="77777777" w:rsidR="006807E8" w:rsidRPr="00D65A78" w:rsidRDefault="000072CF" w:rsidP="00C23F7B">
            <w:pPr>
              <w:rPr>
                <w:sz w:val="24"/>
                <w:szCs w:val="24"/>
              </w:rPr>
            </w:pPr>
            <w:r w:rsidRPr="7C9F70AD">
              <w:rPr>
                <w:color w:val="000000" w:themeColor="text1"/>
                <w:sz w:val="24"/>
                <w:szCs w:val="24"/>
              </w:rPr>
              <w:t>80 households were served with HUD-VASH vouchers during the reporting period. Currently MHA is 85% utilized with HUD-VASH vouchers. Will continue to communicate with the VA to request additional referrals to increase utilization.</w:t>
            </w:r>
          </w:p>
        </w:tc>
      </w:tr>
      <w:tr w:rsidR="006807E8" w:rsidRPr="00D65A78" w14:paraId="45D1CCBF" w14:textId="77777777" w:rsidTr="00BC5064">
        <w:trPr>
          <w:trHeight w:val="1152"/>
          <w:jc w:val="center"/>
        </w:trPr>
        <w:tc>
          <w:tcPr>
            <w:tcW w:w="0" w:type="auto"/>
            <w:shd w:val="clear" w:color="auto" w:fill="244F50"/>
            <w:vAlign w:val="center"/>
          </w:tcPr>
          <w:p w14:paraId="7B06C03A" w14:textId="77777777" w:rsidR="006807E8" w:rsidRPr="00D65A78" w:rsidRDefault="000072CF" w:rsidP="00D96831">
            <w:pPr>
              <w:jc w:val="center"/>
              <w:rPr>
                <w:sz w:val="22"/>
              </w:rPr>
            </w:pPr>
            <w:r w:rsidRPr="00D65A78">
              <w:rPr>
                <w:b/>
                <w:color w:val="FFFFFF"/>
                <w:sz w:val="22"/>
              </w:rPr>
              <w:t>Objective 3</w:t>
            </w:r>
          </w:p>
        </w:tc>
        <w:tc>
          <w:tcPr>
            <w:tcW w:w="0" w:type="auto"/>
            <w:shd w:val="clear" w:color="auto" w:fill="F3F1EC"/>
            <w:vAlign w:val="center"/>
          </w:tcPr>
          <w:p w14:paraId="4D0959E5" w14:textId="77777777" w:rsidR="006807E8" w:rsidRPr="00D65A78" w:rsidRDefault="000072CF" w:rsidP="00D96831">
            <w:pPr>
              <w:rPr>
                <w:sz w:val="22"/>
              </w:rPr>
            </w:pPr>
            <w:r w:rsidRPr="00D65A78">
              <w:rPr>
                <w:b/>
                <w:color w:val="000000"/>
                <w:sz w:val="22"/>
              </w:rPr>
              <w:t>Promote self-sufficiency and upward mobility among MHA residents and participants through special programs, resident services, community partnerships and initiatives.</w:t>
            </w:r>
          </w:p>
        </w:tc>
        <w:tc>
          <w:tcPr>
            <w:tcW w:w="0" w:type="auto"/>
            <w:vAlign w:val="center"/>
          </w:tcPr>
          <w:p w14:paraId="7ACA8486" w14:textId="77777777" w:rsidR="006807E8" w:rsidRPr="00D65A78" w:rsidRDefault="000072CF" w:rsidP="0077436E">
            <w:pPr>
              <w:jc w:val="center"/>
              <w:rPr>
                <w:sz w:val="22"/>
              </w:rPr>
            </w:pPr>
            <w:r w:rsidRPr="00D65A78">
              <w:rPr>
                <w:b/>
                <w:color w:val="1F4E1F"/>
                <w:sz w:val="22"/>
              </w:rPr>
              <w:t>Met</w:t>
            </w:r>
          </w:p>
        </w:tc>
        <w:tc>
          <w:tcPr>
            <w:tcW w:w="8602" w:type="dxa"/>
            <w:vAlign w:val="center"/>
          </w:tcPr>
          <w:p w14:paraId="464AFCD2" w14:textId="77777777" w:rsidR="006807E8" w:rsidRPr="00D65A78" w:rsidRDefault="000072CF" w:rsidP="00C23F7B">
            <w:pPr>
              <w:rPr>
                <w:sz w:val="24"/>
                <w:szCs w:val="24"/>
              </w:rPr>
            </w:pPr>
            <w:r w:rsidRPr="7C9F70AD">
              <w:rPr>
                <w:color w:val="000000" w:themeColor="text1"/>
                <w:sz w:val="24"/>
                <w:szCs w:val="24"/>
              </w:rPr>
              <w:t>MHA provides an array of supportive services to residents through a team of Service Coordinators, the Family Self Sufficiency program, and case management services to participants in Permanent Supportive Housing through the Shelter Plus Care CoC program.</w:t>
            </w:r>
          </w:p>
        </w:tc>
      </w:tr>
      <w:tr w:rsidR="006807E8" w:rsidRPr="00D65A78" w14:paraId="5E883342" w14:textId="77777777" w:rsidTr="003C6698">
        <w:trPr>
          <w:trHeight w:val="1312"/>
          <w:jc w:val="center"/>
        </w:trPr>
        <w:tc>
          <w:tcPr>
            <w:tcW w:w="0" w:type="auto"/>
            <w:shd w:val="clear" w:color="auto" w:fill="244F50"/>
            <w:vAlign w:val="center"/>
          </w:tcPr>
          <w:p w14:paraId="1CA887AB" w14:textId="77777777" w:rsidR="006807E8" w:rsidRPr="00D65A78" w:rsidRDefault="000072CF" w:rsidP="00D96831">
            <w:pPr>
              <w:jc w:val="center"/>
              <w:rPr>
                <w:sz w:val="22"/>
              </w:rPr>
            </w:pPr>
            <w:r w:rsidRPr="00D65A78">
              <w:rPr>
                <w:b/>
                <w:color w:val="FFFFFF"/>
                <w:sz w:val="22"/>
              </w:rPr>
              <w:t>Objective 3.1</w:t>
            </w:r>
          </w:p>
        </w:tc>
        <w:tc>
          <w:tcPr>
            <w:tcW w:w="0" w:type="auto"/>
            <w:shd w:val="clear" w:color="auto" w:fill="F3F1EC"/>
            <w:vAlign w:val="center"/>
          </w:tcPr>
          <w:p w14:paraId="08695B27" w14:textId="77777777" w:rsidR="006807E8" w:rsidRPr="00D65A78" w:rsidRDefault="000072CF" w:rsidP="00D96831">
            <w:pPr>
              <w:rPr>
                <w:sz w:val="22"/>
              </w:rPr>
            </w:pPr>
            <w:r w:rsidRPr="00D65A78">
              <w:rPr>
                <w:b/>
                <w:color w:val="000000"/>
                <w:sz w:val="22"/>
              </w:rPr>
              <w:t>Outreach to public housing and housing choice voucher participants to recruit and enroll new participants in the Family Self Sufficiency program and help them achieve their contracted FSS goals.</w:t>
            </w:r>
          </w:p>
        </w:tc>
        <w:tc>
          <w:tcPr>
            <w:tcW w:w="0" w:type="auto"/>
            <w:vAlign w:val="center"/>
          </w:tcPr>
          <w:p w14:paraId="4CDAAB34" w14:textId="77777777" w:rsidR="006807E8" w:rsidRPr="00D65A78" w:rsidRDefault="000072CF" w:rsidP="0077436E">
            <w:pPr>
              <w:jc w:val="center"/>
              <w:rPr>
                <w:sz w:val="22"/>
              </w:rPr>
            </w:pPr>
            <w:r w:rsidRPr="00D65A78">
              <w:rPr>
                <w:b/>
                <w:color w:val="1F4E1F"/>
                <w:sz w:val="22"/>
              </w:rPr>
              <w:t>Met</w:t>
            </w:r>
          </w:p>
        </w:tc>
        <w:tc>
          <w:tcPr>
            <w:tcW w:w="8602" w:type="dxa"/>
            <w:vAlign w:val="center"/>
          </w:tcPr>
          <w:p w14:paraId="7BE6C107" w14:textId="3BAEF4F6" w:rsidR="006807E8" w:rsidRPr="00D65A78" w:rsidRDefault="000072CF" w:rsidP="00C23F7B">
            <w:pPr>
              <w:rPr>
                <w:sz w:val="24"/>
                <w:szCs w:val="24"/>
              </w:rPr>
            </w:pPr>
            <w:r w:rsidRPr="7C9F70AD">
              <w:rPr>
                <w:color w:val="000000" w:themeColor="text1"/>
                <w:sz w:val="24"/>
                <w:szCs w:val="24"/>
              </w:rPr>
              <w:t>MH</w:t>
            </w:r>
            <w:r w:rsidR="0037355C" w:rsidRPr="7C9F70AD">
              <w:rPr>
                <w:color w:val="000000" w:themeColor="text1"/>
                <w:sz w:val="24"/>
                <w:szCs w:val="24"/>
              </w:rPr>
              <w:t>A</w:t>
            </w:r>
            <w:r w:rsidRPr="7C9F70AD">
              <w:rPr>
                <w:color w:val="000000" w:themeColor="text1"/>
                <w:sz w:val="24"/>
                <w:szCs w:val="24"/>
              </w:rPr>
              <w:t xml:space="preserve"> presented the FSS program to community organizations and professional networks to increase awareness. During the reporting period, MHA recruited 33 new FSS participants and the FSS program currently serves 150 participants between PH and HCV.</w:t>
            </w:r>
          </w:p>
        </w:tc>
      </w:tr>
      <w:tr w:rsidR="006807E8" w:rsidRPr="00D65A78" w14:paraId="36E1BEB0" w14:textId="77777777" w:rsidTr="006A3975">
        <w:trPr>
          <w:trHeight w:val="1440"/>
          <w:jc w:val="center"/>
        </w:trPr>
        <w:tc>
          <w:tcPr>
            <w:tcW w:w="0" w:type="auto"/>
            <w:shd w:val="clear" w:color="auto" w:fill="244F50"/>
            <w:vAlign w:val="center"/>
          </w:tcPr>
          <w:p w14:paraId="2A2365C9" w14:textId="41761650" w:rsidR="006807E8" w:rsidRPr="00D65A78" w:rsidRDefault="000072CF" w:rsidP="00C6275A">
            <w:pPr>
              <w:jc w:val="center"/>
              <w:rPr>
                <w:sz w:val="22"/>
              </w:rPr>
            </w:pPr>
            <w:r w:rsidRPr="00D65A78">
              <w:rPr>
                <w:b/>
                <w:color w:val="FFFFFF"/>
                <w:sz w:val="22"/>
              </w:rPr>
              <w:t>Objective 3.1</w:t>
            </w:r>
            <w:r w:rsidR="0077436E" w:rsidRPr="00D65A78">
              <w:rPr>
                <w:b/>
                <w:color w:val="FFFFFF"/>
                <w:sz w:val="22"/>
              </w:rPr>
              <w:t>.2</w:t>
            </w:r>
          </w:p>
        </w:tc>
        <w:tc>
          <w:tcPr>
            <w:tcW w:w="0" w:type="auto"/>
            <w:shd w:val="clear" w:color="auto" w:fill="F3F1EC"/>
            <w:vAlign w:val="center"/>
          </w:tcPr>
          <w:p w14:paraId="2B049EB2" w14:textId="77777777" w:rsidR="006807E8" w:rsidRPr="00D65A78" w:rsidRDefault="000072CF" w:rsidP="00D96831">
            <w:pPr>
              <w:rPr>
                <w:sz w:val="22"/>
              </w:rPr>
            </w:pPr>
            <w:r w:rsidRPr="00D65A78">
              <w:rPr>
                <w:b/>
                <w:color w:val="000000"/>
                <w:sz w:val="22"/>
              </w:rPr>
              <w:t>Empower FSS participants to reduce debt, improve credit, and work towards long term goals such as homeownership, education, or entrepreneurship.</w:t>
            </w:r>
          </w:p>
        </w:tc>
        <w:tc>
          <w:tcPr>
            <w:tcW w:w="0" w:type="auto"/>
            <w:vAlign w:val="center"/>
          </w:tcPr>
          <w:p w14:paraId="6B48E1DC" w14:textId="77777777" w:rsidR="006807E8" w:rsidRPr="00D65A78" w:rsidRDefault="000072CF" w:rsidP="00C6275A">
            <w:pPr>
              <w:jc w:val="center"/>
              <w:rPr>
                <w:sz w:val="22"/>
              </w:rPr>
            </w:pPr>
            <w:r w:rsidRPr="00D65A78">
              <w:rPr>
                <w:b/>
                <w:color w:val="1F4E1F"/>
                <w:sz w:val="22"/>
              </w:rPr>
              <w:t>Met</w:t>
            </w:r>
          </w:p>
        </w:tc>
        <w:tc>
          <w:tcPr>
            <w:tcW w:w="8602" w:type="dxa"/>
            <w:vAlign w:val="center"/>
          </w:tcPr>
          <w:p w14:paraId="660DB4E6" w14:textId="77777777" w:rsidR="006807E8" w:rsidRPr="00D65A78" w:rsidRDefault="000072CF" w:rsidP="00C23F7B">
            <w:pPr>
              <w:rPr>
                <w:sz w:val="24"/>
                <w:szCs w:val="24"/>
              </w:rPr>
            </w:pPr>
            <w:r w:rsidRPr="7C9F70AD">
              <w:rPr>
                <w:color w:val="000000" w:themeColor="text1"/>
                <w:sz w:val="24"/>
                <w:szCs w:val="24"/>
              </w:rPr>
              <w:t>FSS Coordinators referred 15 new participants to financial wellness programs to support income growth, savings, and long-term financial stability. Overall, 103 participants have established escrow savings accounts, 15 during the reporting period, and 83 participants increased their earned income and 19 participants graduated from FSS.</w:t>
            </w:r>
          </w:p>
        </w:tc>
      </w:tr>
      <w:tr w:rsidR="006807E8" w:rsidRPr="00D65A78" w14:paraId="6EB577E8" w14:textId="77777777" w:rsidTr="003C6698">
        <w:trPr>
          <w:trHeight w:val="1296"/>
          <w:jc w:val="center"/>
        </w:trPr>
        <w:tc>
          <w:tcPr>
            <w:tcW w:w="0" w:type="auto"/>
            <w:shd w:val="clear" w:color="auto" w:fill="244F50"/>
            <w:vAlign w:val="center"/>
          </w:tcPr>
          <w:p w14:paraId="0D5D2555" w14:textId="77777777" w:rsidR="006807E8" w:rsidRPr="00D65A78" w:rsidRDefault="000072CF" w:rsidP="00C6275A">
            <w:pPr>
              <w:jc w:val="center"/>
              <w:rPr>
                <w:sz w:val="22"/>
              </w:rPr>
            </w:pPr>
            <w:r w:rsidRPr="00D65A78">
              <w:rPr>
                <w:b/>
                <w:color w:val="FFFFFF"/>
                <w:sz w:val="22"/>
              </w:rPr>
              <w:lastRenderedPageBreak/>
              <w:t>Objective 3.2</w:t>
            </w:r>
          </w:p>
        </w:tc>
        <w:tc>
          <w:tcPr>
            <w:tcW w:w="0" w:type="auto"/>
            <w:shd w:val="clear" w:color="auto" w:fill="F3F1EC"/>
            <w:vAlign w:val="center"/>
          </w:tcPr>
          <w:p w14:paraId="496DD49E" w14:textId="77777777" w:rsidR="006807E8" w:rsidRPr="00D65A78" w:rsidRDefault="000072CF" w:rsidP="00D96831">
            <w:pPr>
              <w:rPr>
                <w:sz w:val="22"/>
              </w:rPr>
            </w:pPr>
            <w:r w:rsidRPr="00D65A78">
              <w:rPr>
                <w:b/>
                <w:color w:val="000000"/>
                <w:sz w:val="22"/>
              </w:rPr>
              <w:t>Conduct targeted outreach to FSS participants to build understanding of the HCV Homeownership program and the BMR program.</w:t>
            </w:r>
          </w:p>
        </w:tc>
        <w:tc>
          <w:tcPr>
            <w:tcW w:w="0" w:type="auto"/>
            <w:vAlign w:val="center"/>
          </w:tcPr>
          <w:p w14:paraId="158287B8" w14:textId="77777777" w:rsidR="006807E8" w:rsidRPr="00D65A78" w:rsidRDefault="000072CF" w:rsidP="00C6275A">
            <w:pPr>
              <w:jc w:val="center"/>
              <w:rPr>
                <w:sz w:val="22"/>
              </w:rPr>
            </w:pPr>
            <w:r w:rsidRPr="00D65A78">
              <w:rPr>
                <w:b/>
                <w:color w:val="1F4E1F"/>
                <w:sz w:val="22"/>
              </w:rPr>
              <w:t>Met</w:t>
            </w:r>
          </w:p>
        </w:tc>
        <w:tc>
          <w:tcPr>
            <w:tcW w:w="8602" w:type="dxa"/>
            <w:vAlign w:val="center"/>
          </w:tcPr>
          <w:p w14:paraId="4B9D5AE9" w14:textId="23BA7F11" w:rsidR="006807E8" w:rsidRPr="00D65A78" w:rsidRDefault="000072CF" w:rsidP="00C23F7B">
            <w:pPr>
              <w:rPr>
                <w:sz w:val="24"/>
                <w:szCs w:val="24"/>
              </w:rPr>
            </w:pPr>
            <w:r w:rsidRPr="7C9F70AD">
              <w:rPr>
                <w:color w:val="000000" w:themeColor="text1"/>
                <w:sz w:val="24"/>
                <w:szCs w:val="24"/>
              </w:rPr>
              <w:t xml:space="preserve">During the reporting period, there were 20 HCV Homeownership orientations and 11 of those were targeted </w:t>
            </w:r>
            <w:r w:rsidR="000A2019" w:rsidRPr="7C9F70AD">
              <w:rPr>
                <w:color w:val="000000" w:themeColor="text1"/>
                <w:sz w:val="24"/>
                <w:szCs w:val="24"/>
              </w:rPr>
              <w:t>at</w:t>
            </w:r>
            <w:r w:rsidRPr="7C9F70AD">
              <w:rPr>
                <w:color w:val="000000" w:themeColor="text1"/>
                <w:sz w:val="24"/>
                <w:szCs w:val="24"/>
              </w:rPr>
              <w:t xml:space="preserve"> FSS participants who were close to meeting their goals towards homeownership. There were also 20 referrals to the BMR program.</w:t>
            </w:r>
          </w:p>
        </w:tc>
      </w:tr>
      <w:tr w:rsidR="006807E8" w:rsidRPr="00D65A78" w14:paraId="0588FD4E" w14:textId="77777777" w:rsidTr="003C6698">
        <w:trPr>
          <w:trHeight w:val="2016"/>
          <w:jc w:val="center"/>
        </w:trPr>
        <w:tc>
          <w:tcPr>
            <w:tcW w:w="0" w:type="auto"/>
            <w:shd w:val="clear" w:color="auto" w:fill="244F50"/>
            <w:vAlign w:val="center"/>
          </w:tcPr>
          <w:p w14:paraId="42C5E243" w14:textId="77777777" w:rsidR="006807E8" w:rsidRPr="00D65A78" w:rsidRDefault="000072CF" w:rsidP="00C6275A">
            <w:pPr>
              <w:jc w:val="center"/>
              <w:rPr>
                <w:sz w:val="22"/>
              </w:rPr>
            </w:pPr>
            <w:r w:rsidRPr="00D65A78">
              <w:rPr>
                <w:b/>
                <w:color w:val="FFFFFF"/>
                <w:sz w:val="22"/>
              </w:rPr>
              <w:t>Objective 3.3</w:t>
            </w:r>
          </w:p>
        </w:tc>
        <w:tc>
          <w:tcPr>
            <w:tcW w:w="0" w:type="auto"/>
            <w:shd w:val="clear" w:color="auto" w:fill="F3F1EC"/>
            <w:vAlign w:val="center"/>
          </w:tcPr>
          <w:p w14:paraId="3C85FC3B" w14:textId="77777777" w:rsidR="006807E8" w:rsidRPr="00D65A78" w:rsidRDefault="000072CF" w:rsidP="00D96831">
            <w:pPr>
              <w:rPr>
                <w:sz w:val="22"/>
              </w:rPr>
            </w:pPr>
            <w:r w:rsidRPr="00D65A78">
              <w:rPr>
                <w:b/>
                <w:color w:val="000000"/>
                <w:sz w:val="22"/>
              </w:rPr>
              <w:t>Work with community partners and agencies to provide workshops at the Community Center on career coaching, skill development, job training, and technology training.</w:t>
            </w:r>
          </w:p>
        </w:tc>
        <w:tc>
          <w:tcPr>
            <w:tcW w:w="0" w:type="auto"/>
            <w:vAlign w:val="center"/>
          </w:tcPr>
          <w:p w14:paraId="7B2A3FBE" w14:textId="77777777" w:rsidR="006807E8" w:rsidRPr="00D65A78" w:rsidRDefault="000072CF" w:rsidP="00C6275A">
            <w:pPr>
              <w:jc w:val="center"/>
              <w:rPr>
                <w:sz w:val="22"/>
              </w:rPr>
            </w:pPr>
            <w:r w:rsidRPr="00D65A78">
              <w:rPr>
                <w:b/>
                <w:color w:val="1F4E1F"/>
                <w:sz w:val="22"/>
              </w:rPr>
              <w:t>Met</w:t>
            </w:r>
          </w:p>
        </w:tc>
        <w:tc>
          <w:tcPr>
            <w:tcW w:w="8602" w:type="dxa"/>
            <w:vAlign w:val="center"/>
          </w:tcPr>
          <w:p w14:paraId="1EDC53D6" w14:textId="2E1EB23E" w:rsidR="006807E8" w:rsidRPr="00D65A78" w:rsidRDefault="000072CF" w:rsidP="00C23F7B">
            <w:pPr>
              <w:rPr>
                <w:sz w:val="24"/>
                <w:szCs w:val="24"/>
              </w:rPr>
            </w:pPr>
            <w:r w:rsidRPr="7C9F70AD">
              <w:rPr>
                <w:color w:val="000000" w:themeColor="text1"/>
                <w:sz w:val="24"/>
                <w:szCs w:val="24"/>
              </w:rPr>
              <w:t xml:space="preserve">In collaboration, </w:t>
            </w:r>
            <w:r w:rsidR="00C6275A" w:rsidRPr="7C9F70AD">
              <w:rPr>
                <w:color w:val="000000" w:themeColor="text1"/>
                <w:sz w:val="24"/>
                <w:szCs w:val="24"/>
              </w:rPr>
              <w:t>community-based</w:t>
            </w:r>
            <w:r w:rsidRPr="7C9F70AD">
              <w:rPr>
                <w:color w:val="000000" w:themeColor="text1"/>
                <w:sz w:val="24"/>
                <w:szCs w:val="24"/>
              </w:rPr>
              <w:t xml:space="preserve"> organizations partnered with MHA to provide workshops and information on services to at least 125 residents (</w:t>
            </w:r>
            <w:r w:rsidR="00C6275A" w:rsidRPr="7C9F70AD">
              <w:rPr>
                <w:color w:val="000000" w:themeColor="text1"/>
                <w:sz w:val="24"/>
                <w:szCs w:val="24"/>
              </w:rPr>
              <w:t>maybe</w:t>
            </w:r>
            <w:r w:rsidRPr="7C9F70AD">
              <w:rPr>
                <w:color w:val="000000" w:themeColor="text1"/>
                <w:sz w:val="24"/>
                <w:szCs w:val="24"/>
              </w:rPr>
              <w:t xml:space="preserve"> duplicated) on topics such as rental and utility assistance, legal guidance, financial well-being programs, workforce development programs, and emergency preparedness. In partnership with MHA and Burbank Housing, Tradeswomen, Inc was contracted to provide an intensive </w:t>
            </w:r>
            <w:r w:rsidR="00C6275A" w:rsidRPr="7C9F70AD">
              <w:rPr>
                <w:color w:val="000000" w:themeColor="text1"/>
                <w:sz w:val="24"/>
                <w:szCs w:val="24"/>
              </w:rPr>
              <w:t>12-week</w:t>
            </w:r>
            <w:r w:rsidRPr="7C9F70AD">
              <w:rPr>
                <w:color w:val="000000" w:themeColor="text1"/>
                <w:sz w:val="24"/>
                <w:szCs w:val="24"/>
              </w:rPr>
              <w:t xml:space="preserve"> constructions trades program to GGV residents. There were 21 graduates and 4 have secured full-time empl</w:t>
            </w:r>
            <w:r w:rsidRPr="7C9F70AD">
              <w:rPr>
                <w:color w:val="000000" w:themeColor="text1"/>
                <w:sz w:val="24"/>
                <w:szCs w:val="24"/>
              </w:rPr>
              <w:t>oyment.</w:t>
            </w:r>
          </w:p>
        </w:tc>
      </w:tr>
      <w:tr w:rsidR="006807E8" w:rsidRPr="00D65A78" w14:paraId="3A01C569" w14:textId="77777777" w:rsidTr="00BC5064">
        <w:trPr>
          <w:trHeight w:val="864"/>
          <w:jc w:val="center"/>
        </w:trPr>
        <w:tc>
          <w:tcPr>
            <w:tcW w:w="0" w:type="auto"/>
            <w:tcBorders>
              <w:bottom w:val="single" w:sz="8" w:space="0" w:color="000000" w:themeColor="text1"/>
            </w:tcBorders>
            <w:shd w:val="clear" w:color="auto" w:fill="244F50"/>
            <w:vAlign w:val="center"/>
          </w:tcPr>
          <w:p w14:paraId="736A5487" w14:textId="77777777" w:rsidR="006807E8" w:rsidRPr="00D65A78" w:rsidRDefault="000072CF" w:rsidP="00C6275A">
            <w:pPr>
              <w:jc w:val="center"/>
              <w:rPr>
                <w:sz w:val="22"/>
              </w:rPr>
            </w:pPr>
            <w:r w:rsidRPr="00D65A78">
              <w:rPr>
                <w:b/>
                <w:color w:val="FFFFFF"/>
                <w:sz w:val="22"/>
              </w:rPr>
              <w:t>Objective 3.4</w:t>
            </w:r>
          </w:p>
        </w:tc>
        <w:tc>
          <w:tcPr>
            <w:tcW w:w="0" w:type="auto"/>
            <w:shd w:val="clear" w:color="auto" w:fill="F3F1EC"/>
            <w:vAlign w:val="center"/>
          </w:tcPr>
          <w:p w14:paraId="5139ABEA" w14:textId="77777777" w:rsidR="006807E8" w:rsidRPr="00D65A78" w:rsidRDefault="000072CF" w:rsidP="00C6275A">
            <w:pPr>
              <w:rPr>
                <w:sz w:val="22"/>
              </w:rPr>
            </w:pPr>
            <w:r w:rsidRPr="00D65A78">
              <w:rPr>
                <w:b/>
                <w:color w:val="000000"/>
                <w:sz w:val="22"/>
              </w:rPr>
              <w:t>Through Resident Services, provide public housing tenants with referrals to community agencies and county programs for services they need.</w:t>
            </w:r>
          </w:p>
        </w:tc>
        <w:tc>
          <w:tcPr>
            <w:tcW w:w="0" w:type="auto"/>
            <w:vAlign w:val="center"/>
          </w:tcPr>
          <w:p w14:paraId="2C850700" w14:textId="77777777" w:rsidR="006807E8" w:rsidRPr="00D65A78" w:rsidRDefault="000072CF" w:rsidP="00C6275A">
            <w:pPr>
              <w:jc w:val="center"/>
              <w:rPr>
                <w:sz w:val="22"/>
              </w:rPr>
            </w:pPr>
            <w:r w:rsidRPr="00D65A78">
              <w:rPr>
                <w:b/>
                <w:color w:val="1F4E1F"/>
                <w:sz w:val="22"/>
              </w:rPr>
              <w:t>Met</w:t>
            </w:r>
          </w:p>
        </w:tc>
        <w:tc>
          <w:tcPr>
            <w:tcW w:w="8602" w:type="dxa"/>
            <w:vAlign w:val="center"/>
          </w:tcPr>
          <w:p w14:paraId="066A606C" w14:textId="77777777" w:rsidR="006807E8" w:rsidRPr="00D65A78" w:rsidRDefault="000072CF" w:rsidP="00C23F7B">
            <w:pPr>
              <w:rPr>
                <w:sz w:val="24"/>
                <w:szCs w:val="24"/>
              </w:rPr>
            </w:pPr>
            <w:r w:rsidRPr="7C9F70AD">
              <w:rPr>
                <w:color w:val="000000" w:themeColor="text1"/>
                <w:sz w:val="24"/>
                <w:szCs w:val="24"/>
              </w:rPr>
              <w:t>During the reporting period, there were 273 unduplicated referrals made to community agencies and county programs for services through the Resident Services team at the 6 public housing sites.</w:t>
            </w:r>
          </w:p>
        </w:tc>
      </w:tr>
      <w:tr w:rsidR="006807E8" w:rsidRPr="00D65A78" w14:paraId="0656B206" w14:textId="77777777" w:rsidTr="00BC5064">
        <w:trPr>
          <w:trHeight w:val="1296"/>
          <w:jc w:val="center"/>
        </w:trPr>
        <w:tc>
          <w:tcPr>
            <w:tcW w:w="0" w:type="auto"/>
            <w:shd w:val="clear" w:color="auto" w:fill="244F50"/>
            <w:vAlign w:val="center"/>
          </w:tcPr>
          <w:p w14:paraId="70FF0D21" w14:textId="77777777" w:rsidR="006807E8" w:rsidRPr="00D65A78" w:rsidRDefault="000072CF" w:rsidP="00C6275A">
            <w:pPr>
              <w:jc w:val="center"/>
              <w:rPr>
                <w:sz w:val="22"/>
              </w:rPr>
            </w:pPr>
            <w:r w:rsidRPr="00D65A78">
              <w:rPr>
                <w:b/>
                <w:color w:val="FFFFFF"/>
                <w:sz w:val="22"/>
              </w:rPr>
              <w:t>Objective 3.5</w:t>
            </w:r>
          </w:p>
        </w:tc>
        <w:tc>
          <w:tcPr>
            <w:tcW w:w="0" w:type="auto"/>
            <w:shd w:val="clear" w:color="auto" w:fill="F3F1EC"/>
            <w:vAlign w:val="center"/>
          </w:tcPr>
          <w:p w14:paraId="03A7AFD7" w14:textId="77777777" w:rsidR="006807E8" w:rsidRPr="00D65A78" w:rsidRDefault="000072CF" w:rsidP="00C6275A">
            <w:pPr>
              <w:rPr>
                <w:sz w:val="22"/>
              </w:rPr>
            </w:pPr>
            <w:r w:rsidRPr="00D65A78">
              <w:rPr>
                <w:b/>
                <w:color w:val="000000"/>
                <w:sz w:val="22"/>
              </w:rPr>
              <w:t>Seek funding opportunities to expand Resident Services program.</w:t>
            </w:r>
          </w:p>
        </w:tc>
        <w:tc>
          <w:tcPr>
            <w:tcW w:w="0" w:type="auto"/>
            <w:vAlign w:val="center"/>
          </w:tcPr>
          <w:p w14:paraId="53118087" w14:textId="77777777" w:rsidR="006807E8" w:rsidRPr="00D65A78" w:rsidRDefault="000072CF" w:rsidP="00C6275A">
            <w:pPr>
              <w:jc w:val="center"/>
              <w:rPr>
                <w:sz w:val="22"/>
              </w:rPr>
            </w:pPr>
            <w:r w:rsidRPr="00D65A78">
              <w:rPr>
                <w:b/>
                <w:color w:val="1F4E1F"/>
                <w:sz w:val="22"/>
              </w:rPr>
              <w:t>Met</w:t>
            </w:r>
          </w:p>
        </w:tc>
        <w:tc>
          <w:tcPr>
            <w:tcW w:w="8602" w:type="dxa"/>
            <w:vAlign w:val="center"/>
          </w:tcPr>
          <w:p w14:paraId="617CA870" w14:textId="77777777" w:rsidR="006807E8" w:rsidRPr="00D65A78" w:rsidRDefault="000072CF" w:rsidP="00C23F7B">
            <w:pPr>
              <w:rPr>
                <w:sz w:val="24"/>
                <w:szCs w:val="24"/>
              </w:rPr>
            </w:pPr>
            <w:r w:rsidRPr="7C9F70AD">
              <w:rPr>
                <w:color w:val="000000" w:themeColor="text1"/>
                <w:sz w:val="24"/>
                <w:szCs w:val="24"/>
              </w:rPr>
              <w:t>MHA has applied for 13 new grant opportunities to strengthen supportive services provided. Of the 13 applications, MHA was awarded 5 new grants, there are two (2) grants pending award, and six (6) grant applications were declined.</w:t>
            </w:r>
          </w:p>
        </w:tc>
      </w:tr>
      <w:tr w:rsidR="006807E8" w:rsidRPr="00D65A78" w14:paraId="57871AA1" w14:textId="77777777" w:rsidTr="003C397D">
        <w:trPr>
          <w:trHeight w:val="1296"/>
          <w:jc w:val="center"/>
        </w:trPr>
        <w:tc>
          <w:tcPr>
            <w:tcW w:w="0" w:type="auto"/>
            <w:shd w:val="clear" w:color="auto" w:fill="244F50"/>
            <w:vAlign w:val="center"/>
          </w:tcPr>
          <w:p w14:paraId="46F841C8" w14:textId="77777777" w:rsidR="006807E8" w:rsidRPr="00D65A78" w:rsidRDefault="000072CF" w:rsidP="00C6275A">
            <w:pPr>
              <w:jc w:val="center"/>
              <w:rPr>
                <w:sz w:val="22"/>
              </w:rPr>
            </w:pPr>
            <w:r w:rsidRPr="00D65A78">
              <w:rPr>
                <w:b/>
                <w:color w:val="FFFFFF"/>
                <w:sz w:val="22"/>
              </w:rPr>
              <w:t>Objective 3.6</w:t>
            </w:r>
          </w:p>
        </w:tc>
        <w:tc>
          <w:tcPr>
            <w:tcW w:w="0" w:type="auto"/>
            <w:shd w:val="clear" w:color="auto" w:fill="F3F1EC"/>
            <w:vAlign w:val="center"/>
          </w:tcPr>
          <w:p w14:paraId="3D0078F0" w14:textId="77777777" w:rsidR="006807E8" w:rsidRPr="00D65A78" w:rsidRDefault="000072CF" w:rsidP="00C6275A">
            <w:pPr>
              <w:rPr>
                <w:sz w:val="22"/>
              </w:rPr>
            </w:pPr>
            <w:r w:rsidRPr="00D65A78">
              <w:rPr>
                <w:b/>
                <w:color w:val="000000"/>
                <w:sz w:val="22"/>
              </w:rPr>
              <w:t>Deliver individualized case management services to vulnerable populations via Shelter Plus Care program to help participants overcome barriers, build on strengths, and maintain housing stability.</w:t>
            </w:r>
          </w:p>
        </w:tc>
        <w:tc>
          <w:tcPr>
            <w:tcW w:w="0" w:type="auto"/>
            <w:vAlign w:val="center"/>
          </w:tcPr>
          <w:p w14:paraId="562C5C83" w14:textId="77777777" w:rsidR="006807E8" w:rsidRPr="00D65A78" w:rsidRDefault="000072CF" w:rsidP="00C6275A">
            <w:pPr>
              <w:jc w:val="center"/>
              <w:rPr>
                <w:sz w:val="22"/>
              </w:rPr>
            </w:pPr>
            <w:r w:rsidRPr="00D65A78">
              <w:rPr>
                <w:b/>
                <w:color w:val="1F4E1F"/>
                <w:sz w:val="22"/>
              </w:rPr>
              <w:t>Met</w:t>
            </w:r>
          </w:p>
        </w:tc>
        <w:tc>
          <w:tcPr>
            <w:tcW w:w="8602" w:type="dxa"/>
            <w:vAlign w:val="center"/>
          </w:tcPr>
          <w:p w14:paraId="7EE5F8CF" w14:textId="77777777" w:rsidR="006807E8" w:rsidRPr="00D65A78" w:rsidRDefault="000072CF" w:rsidP="00C23F7B">
            <w:pPr>
              <w:rPr>
                <w:sz w:val="24"/>
                <w:szCs w:val="24"/>
              </w:rPr>
            </w:pPr>
            <w:r w:rsidRPr="7C9F70AD">
              <w:rPr>
                <w:color w:val="000000" w:themeColor="text1"/>
                <w:sz w:val="24"/>
                <w:szCs w:val="24"/>
              </w:rPr>
              <w:t>During the reporting period, 86 households received case management services, and 86 households had service plans completed in the Shelter Plus Care program.</w:t>
            </w:r>
          </w:p>
        </w:tc>
      </w:tr>
    </w:tbl>
    <w:p w14:paraId="75156F06" w14:textId="6B531B46" w:rsidR="006807E8" w:rsidRPr="00324031" w:rsidRDefault="000072CF" w:rsidP="0092753C">
      <w:pPr>
        <w:pageBreakBefore/>
        <w:pBdr>
          <w:top w:val="single" w:sz="4" w:space="1" w:color="auto"/>
          <w:left w:val="single" w:sz="4" w:space="4" w:color="auto"/>
          <w:bottom w:val="single" w:sz="4" w:space="1" w:color="auto"/>
          <w:right w:val="single" w:sz="4" w:space="4" w:color="auto"/>
        </w:pBdr>
        <w:shd w:val="clear" w:color="auto" w:fill="A64F24"/>
        <w:spacing w:after="160"/>
        <w:rPr>
          <w:sz w:val="24"/>
          <w:szCs w:val="24"/>
        </w:rPr>
      </w:pPr>
      <w:r>
        <w:rPr>
          <w:b/>
          <w:color w:val="FFFFFF"/>
          <w:sz w:val="22"/>
        </w:rPr>
        <w:lastRenderedPageBreak/>
        <w:t xml:space="preserve">  </w:t>
      </w:r>
      <w:r w:rsidRPr="00324031">
        <w:rPr>
          <w:b/>
          <w:color w:val="FFFFFF"/>
          <w:sz w:val="32"/>
          <w:szCs w:val="32"/>
        </w:rPr>
        <w:t xml:space="preserve">Goal </w:t>
      </w:r>
      <w:r w:rsidR="00324031" w:rsidRPr="00324031">
        <w:rPr>
          <w:b/>
          <w:color w:val="FFFFFF"/>
          <w:sz w:val="32"/>
          <w:szCs w:val="32"/>
        </w:rPr>
        <w:t>IV | Foster</w:t>
      </w:r>
      <w:r w:rsidRPr="00324031">
        <w:rPr>
          <w:b/>
          <w:color w:val="FFFFFF"/>
          <w:sz w:val="32"/>
          <w:szCs w:val="32"/>
        </w:rPr>
        <w:t xml:space="preserve"> a Culture of Excellence and Innovation in Our Work Environment</w:t>
      </w:r>
    </w:p>
    <w:tbl>
      <w:tblPr>
        <w:tblStyle w:val="TableGrid"/>
        <w:tblW w:w="17452"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70"/>
        <w:gridCol w:w="4847"/>
        <w:gridCol w:w="1164"/>
        <w:gridCol w:w="10171"/>
      </w:tblGrid>
      <w:tr w:rsidR="006807E8" w14:paraId="27D0F7CF" w14:textId="77777777" w:rsidTr="004150AC">
        <w:trPr>
          <w:trHeight w:val="305"/>
          <w:tblHeader/>
          <w:jc w:val="center"/>
        </w:trPr>
        <w:tc>
          <w:tcPr>
            <w:tcW w:w="0" w:type="auto"/>
            <w:tcBorders>
              <w:right w:val="nil"/>
            </w:tcBorders>
            <w:shd w:val="clear" w:color="auto" w:fill="FFC000"/>
            <w:vAlign w:val="center"/>
          </w:tcPr>
          <w:p w14:paraId="52511F88" w14:textId="371798F8" w:rsidR="006807E8" w:rsidRPr="00DC2988" w:rsidRDefault="006807E8" w:rsidP="00B11217">
            <w:pPr>
              <w:rPr>
                <w:color w:val="auto"/>
                <w:sz w:val="20"/>
                <w:szCs w:val="28"/>
              </w:rPr>
            </w:pPr>
          </w:p>
        </w:tc>
        <w:tc>
          <w:tcPr>
            <w:tcW w:w="0" w:type="auto"/>
            <w:tcBorders>
              <w:left w:val="nil"/>
            </w:tcBorders>
            <w:shd w:val="clear" w:color="auto" w:fill="FFC000"/>
            <w:vAlign w:val="center"/>
          </w:tcPr>
          <w:p w14:paraId="0D33830B" w14:textId="4CFD90C6" w:rsidR="006807E8" w:rsidRPr="00A956EE" w:rsidRDefault="000072CF" w:rsidP="00790D8E">
            <w:pPr>
              <w:jc w:val="center"/>
              <w:rPr>
                <w:color w:val="auto"/>
                <w:sz w:val="28"/>
                <w:szCs w:val="40"/>
              </w:rPr>
            </w:pPr>
            <w:r w:rsidRPr="00A956EE">
              <w:rPr>
                <w:b/>
                <w:color w:val="auto"/>
                <w:sz w:val="28"/>
                <w:szCs w:val="40"/>
              </w:rPr>
              <w:t>Objective</w:t>
            </w:r>
          </w:p>
        </w:tc>
        <w:tc>
          <w:tcPr>
            <w:tcW w:w="0" w:type="auto"/>
            <w:shd w:val="clear" w:color="auto" w:fill="FFC000"/>
            <w:vAlign w:val="center"/>
          </w:tcPr>
          <w:p w14:paraId="0C370049" w14:textId="77777777" w:rsidR="006807E8" w:rsidRPr="00A956EE" w:rsidRDefault="000072CF" w:rsidP="00790D8E">
            <w:pPr>
              <w:jc w:val="center"/>
              <w:rPr>
                <w:color w:val="auto"/>
                <w:sz w:val="28"/>
                <w:szCs w:val="40"/>
              </w:rPr>
            </w:pPr>
            <w:r w:rsidRPr="00A956EE">
              <w:rPr>
                <w:b/>
                <w:color w:val="auto"/>
                <w:sz w:val="28"/>
                <w:szCs w:val="40"/>
              </w:rPr>
              <w:t>Status</w:t>
            </w:r>
          </w:p>
        </w:tc>
        <w:tc>
          <w:tcPr>
            <w:tcW w:w="10171" w:type="dxa"/>
            <w:shd w:val="clear" w:color="auto" w:fill="FFC000"/>
            <w:vAlign w:val="center"/>
          </w:tcPr>
          <w:p w14:paraId="3512A858" w14:textId="77777777" w:rsidR="006807E8" w:rsidRPr="00A956EE" w:rsidRDefault="000072CF" w:rsidP="00790D8E">
            <w:pPr>
              <w:jc w:val="center"/>
              <w:rPr>
                <w:color w:val="auto"/>
                <w:sz w:val="28"/>
                <w:szCs w:val="40"/>
              </w:rPr>
            </w:pPr>
            <w:r w:rsidRPr="00A956EE">
              <w:rPr>
                <w:b/>
                <w:color w:val="auto"/>
                <w:sz w:val="28"/>
                <w:szCs w:val="40"/>
              </w:rPr>
              <w:t>Progress Update</w:t>
            </w:r>
          </w:p>
        </w:tc>
      </w:tr>
      <w:tr w:rsidR="006807E8" w14:paraId="4A12C51B" w14:textId="77777777" w:rsidTr="007B663A">
        <w:trPr>
          <w:trHeight w:val="1704"/>
          <w:jc w:val="center"/>
        </w:trPr>
        <w:tc>
          <w:tcPr>
            <w:tcW w:w="0" w:type="auto"/>
            <w:shd w:val="clear" w:color="auto" w:fill="244F50"/>
            <w:vAlign w:val="center"/>
          </w:tcPr>
          <w:p w14:paraId="16BF90C0" w14:textId="77777777" w:rsidR="006807E8" w:rsidRPr="00176FA5" w:rsidRDefault="000072CF" w:rsidP="00176FA5">
            <w:pPr>
              <w:jc w:val="center"/>
              <w:rPr>
                <w:sz w:val="22"/>
              </w:rPr>
            </w:pPr>
            <w:r w:rsidRPr="00176FA5">
              <w:rPr>
                <w:b/>
                <w:color w:val="FFFFFF"/>
                <w:sz w:val="22"/>
              </w:rPr>
              <w:t>Objective 1</w:t>
            </w:r>
          </w:p>
        </w:tc>
        <w:tc>
          <w:tcPr>
            <w:tcW w:w="0" w:type="auto"/>
            <w:shd w:val="clear" w:color="auto" w:fill="F3F1EC"/>
            <w:vAlign w:val="center"/>
          </w:tcPr>
          <w:p w14:paraId="4E20D357" w14:textId="77777777" w:rsidR="006807E8" w:rsidRPr="00176FA5" w:rsidRDefault="000072CF" w:rsidP="00176FA5">
            <w:pPr>
              <w:rPr>
                <w:sz w:val="22"/>
              </w:rPr>
            </w:pPr>
            <w:r w:rsidRPr="00176FA5">
              <w:rPr>
                <w:b/>
                <w:color w:val="000000"/>
                <w:sz w:val="22"/>
              </w:rPr>
              <w:t>Incorporate core values of Compassion, Commitment, Cooperation, Competence and Communication in all aspects of our work.</w:t>
            </w:r>
          </w:p>
        </w:tc>
        <w:tc>
          <w:tcPr>
            <w:tcW w:w="0" w:type="auto"/>
            <w:vAlign w:val="center"/>
          </w:tcPr>
          <w:p w14:paraId="5C589648" w14:textId="77777777" w:rsidR="006807E8" w:rsidRPr="00176FA5" w:rsidRDefault="000072CF" w:rsidP="00790D8E">
            <w:pPr>
              <w:jc w:val="center"/>
              <w:rPr>
                <w:sz w:val="22"/>
              </w:rPr>
            </w:pPr>
            <w:r w:rsidRPr="00176FA5">
              <w:rPr>
                <w:b/>
                <w:color w:val="1F4E1F"/>
                <w:sz w:val="22"/>
              </w:rPr>
              <w:t>Met</w:t>
            </w:r>
          </w:p>
        </w:tc>
        <w:tc>
          <w:tcPr>
            <w:tcW w:w="10171" w:type="dxa"/>
            <w:vAlign w:val="center"/>
          </w:tcPr>
          <w:p w14:paraId="4D8A34A7" w14:textId="7A4FAB5B" w:rsidR="006807E8" w:rsidRPr="00176FA5" w:rsidRDefault="000072CF" w:rsidP="00B11217">
            <w:pPr>
              <w:rPr>
                <w:sz w:val="22"/>
              </w:rPr>
            </w:pPr>
            <w:r w:rsidRPr="7C9F70AD">
              <w:rPr>
                <w:color w:val="000000" w:themeColor="text1"/>
                <w:sz w:val="24"/>
                <w:szCs w:val="24"/>
              </w:rPr>
              <w:t xml:space="preserve">MHA has provided continuous training for all staff, including mandatory Fair Housing training, De-escalation training, training </w:t>
            </w:r>
            <w:r w:rsidR="00A14F99" w:rsidRPr="7C9F70AD">
              <w:rPr>
                <w:color w:val="000000" w:themeColor="text1"/>
                <w:sz w:val="24"/>
                <w:szCs w:val="24"/>
              </w:rPr>
              <w:t>in</w:t>
            </w:r>
            <w:r w:rsidRPr="7C9F70AD">
              <w:rPr>
                <w:color w:val="000000" w:themeColor="text1"/>
                <w:sz w:val="24"/>
                <w:szCs w:val="24"/>
              </w:rPr>
              <w:t xml:space="preserve"> First Amendment rights and Customer Service, Rent Calculation training and multiple management training. As a result of staff training MHA has achieved high performer status on HCV's SEMAP assessment. PH engaged Resident Services team to provide in-person, individual assistance to complete ARs, pay rent and address outstanding concerns. All training has enhanced skills of staff and resulted in building trust with our clients, and fewer complaints.</w:t>
            </w:r>
          </w:p>
        </w:tc>
      </w:tr>
      <w:tr w:rsidR="006807E8" w14:paraId="0E99709C" w14:textId="77777777" w:rsidTr="007B663A">
        <w:trPr>
          <w:trHeight w:val="1236"/>
          <w:jc w:val="center"/>
        </w:trPr>
        <w:tc>
          <w:tcPr>
            <w:tcW w:w="0" w:type="auto"/>
            <w:shd w:val="clear" w:color="auto" w:fill="244F50"/>
            <w:vAlign w:val="center"/>
          </w:tcPr>
          <w:p w14:paraId="4D207FDD" w14:textId="77777777" w:rsidR="006807E8" w:rsidRPr="00176FA5" w:rsidRDefault="000072CF" w:rsidP="00176FA5">
            <w:pPr>
              <w:jc w:val="center"/>
              <w:rPr>
                <w:sz w:val="22"/>
              </w:rPr>
            </w:pPr>
            <w:r w:rsidRPr="00176FA5">
              <w:rPr>
                <w:b/>
                <w:color w:val="FFFFFF"/>
                <w:sz w:val="22"/>
              </w:rPr>
              <w:t>Objective 2</w:t>
            </w:r>
          </w:p>
        </w:tc>
        <w:tc>
          <w:tcPr>
            <w:tcW w:w="0" w:type="auto"/>
            <w:shd w:val="clear" w:color="auto" w:fill="F3F1EC"/>
            <w:vAlign w:val="center"/>
          </w:tcPr>
          <w:p w14:paraId="72D62011" w14:textId="1AFE9CAF" w:rsidR="006807E8" w:rsidRPr="00176FA5" w:rsidRDefault="000072CF" w:rsidP="00176FA5">
            <w:pPr>
              <w:rPr>
                <w:sz w:val="22"/>
              </w:rPr>
            </w:pPr>
            <w:r w:rsidRPr="00176FA5">
              <w:rPr>
                <w:b/>
                <w:color w:val="000000"/>
                <w:sz w:val="22"/>
              </w:rPr>
              <w:t xml:space="preserve">Continue to review the method and </w:t>
            </w:r>
            <w:r w:rsidR="00DC2988" w:rsidRPr="00176FA5">
              <w:rPr>
                <w:b/>
                <w:color w:val="000000"/>
                <w:sz w:val="22"/>
              </w:rPr>
              <w:t>way</w:t>
            </w:r>
            <w:r w:rsidRPr="00176FA5">
              <w:rPr>
                <w:b/>
                <w:color w:val="000000"/>
                <w:sz w:val="22"/>
              </w:rPr>
              <w:t xml:space="preserve"> we do our work </w:t>
            </w:r>
            <w:r w:rsidR="00DC2988" w:rsidRPr="00176FA5">
              <w:rPr>
                <w:b/>
                <w:color w:val="000000"/>
                <w:sz w:val="22"/>
              </w:rPr>
              <w:t>to</w:t>
            </w:r>
            <w:r w:rsidRPr="00176FA5">
              <w:rPr>
                <w:b/>
                <w:color w:val="000000"/>
                <w:sz w:val="22"/>
              </w:rPr>
              <w:t xml:space="preserve"> accomplish our mission and be open to change.</w:t>
            </w:r>
          </w:p>
        </w:tc>
        <w:tc>
          <w:tcPr>
            <w:tcW w:w="0" w:type="auto"/>
            <w:vAlign w:val="center"/>
          </w:tcPr>
          <w:p w14:paraId="1B9923C4" w14:textId="77777777" w:rsidR="006807E8" w:rsidRPr="00176FA5" w:rsidRDefault="000072CF" w:rsidP="00790D8E">
            <w:pPr>
              <w:jc w:val="center"/>
              <w:rPr>
                <w:sz w:val="22"/>
              </w:rPr>
            </w:pPr>
            <w:r w:rsidRPr="00176FA5">
              <w:rPr>
                <w:b/>
                <w:color w:val="1F4E1F"/>
                <w:sz w:val="22"/>
              </w:rPr>
              <w:t>Met</w:t>
            </w:r>
          </w:p>
        </w:tc>
        <w:tc>
          <w:tcPr>
            <w:tcW w:w="10171" w:type="dxa"/>
            <w:vAlign w:val="center"/>
          </w:tcPr>
          <w:p w14:paraId="5CFDC5C8" w14:textId="77777777" w:rsidR="006807E8" w:rsidRPr="00176FA5" w:rsidRDefault="000072CF" w:rsidP="00B11217">
            <w:pPr>
              <w:rPr>
                <w:sz w:val="24"/>
                <w:szCs w:val="24"/>
              </w:rPr>
            </w:pPr>
            <w:r w:rsidRPr="7C9F70AD">
              <w:rPr>
                <w:color w:val="000000" w:themeColor="text1"/>
                <w:sz w:val="24"/>
                <w:szCs w:val="24"/>
              </w:rPr>
              <w:t>Added 214 form to every HCV Annual Recert packet to ensure compliance with all required forms. In HCV all HEWs now process rent increases, instead of all performed by one. PH has increased number of staff to respond to resident needs. The Single audit conducted for the fiscal year ended 12/31/2024 cleared 4 of the 6 findings contained in the prior audit.</w:t>
            </w:r>
          </w:p>
        </w:tc>
      </w:tr>
      <w:tr w:rsidR="006807E8" w14:paraId="63A81234" w14:textId="77777777" w:rsidTr="0060052E">
        <w:trPr>
          <w:trHeight w:val="752"/>
          <w:jc w:val="center"/>
        </w:trPr>
        <w:tc>
          <w:tcPr>
            <w:tcW w:w="0" w:type="auto"/>
            <w:shd w:val="clear" w:color="auto" w:fill="244F50"/>
            <w:vAlign w:val="center"/>
          </w:tcPr>
          <w:p w14:paraId="2F81DA2E" w14:textId="77777777" w:rsidR="006807E8" w:rsidRPr="00176FA5" w:rsidRDefault="000072CF" w:rsidP="00176FA5">
            <w:pPr>
              <w:jc w:val="center"/>
              <w:rPr>
                <w:sz w:val="22"/>
              </w:rPr>
            </w:pPr>
            <w:r w:rsidRPr="00176FA5">
              <w:rPr>
                <w:b/>
                <w:color w:val="FFFFFF"/>
                <w:sz w:val="22"/>
              </w:rPr>
              <w:t>Objective 3</w:t>
            </w:r>
          </w:p>
        </w:tc>
        <w:tc>
          <w:tcPr>
            <w:tcW w:w="0" w:type="auto"/>
            <w:shd w:val="clear" w:color="auto" w:fill="F3F1EC"/>
            <w:vAlign w:val="center"/>
          </w:tcPr>
          <w:p w14:paraId="239BD175" w14:textId="77777777" w:rsidR="006807E8" w:rsidRPr="00176FA5" w:rsidRDefault="000072CF" w:rsidP="00176FA5">
            <w:pPr>
              <w:rPr>
                <w:sz w:val="22"/>
              </w:rPr>
            </w:pPr>
            <w:r w:rsidRPr="00176FA5">
              <w:rPr>
                <w:b/>
                <w:color w:val="000000"/>
                <w:sz w:val="22"/>
              </w:rPr>
              <w:t>Maximize the use of technology for innovation, efficiency and increased security.</w:t>
            </w:r>
          </w:p>
        </w:tc>
        <w:tc>
          <w:tcPr>
            <w:tcW w:w="0" w:type="auto"/>
            <w:vAlign w:val="center"/>
          </w:tcPr>
          <w:p w14:paraId="2BBF3891" w14:textId="77777777" w:rsidR="006807E8" w:rsidRPr="00176FA5" w:rsidRDefault="000072CF" w:rsidP="00790D8E">
            <w:pPr>
              <w:jc w:val="center"/>
              <w:rPr>
                <w:sz w:val="22"/>
              </w:rPr>
            </w:pPr>
            <w:r w:rsidRPr="00176FA5">
              <w:rPr>
                <w:b/>
                <w:color w:val="1F4E1F"/>
                <w:sz w:val="22"/>
              </w:rPr>
              <w:t>Met</w:t>
            </w:r>
          </w:p>
        </w:tc>
        <w:tc>
          <w:tcPr>
            <w:tcW w:w="10171" w:type="dxa"/>
            <w:vAlign w:val="center"/>
          </w:tcPr>
          <w:p w14:paraId="61E9DBF4" w14:textId="77777777" w:rsidR="006807E8" w:rsidRPr="00176FA5" w:rsidRDefault="000072CF" w:rsidP="00B11217">
            <w:pPr>
              <w:rPr>
                <w:sz w:val="24"/>
                <w:szCs w:val="24"/>
              </w:rPr>
            </w:pPr>
            <w:r w:rsidRPr="7C9F70AD">
              <w:rPr>
                <w:color w:val="000000" w:themeColor="text1"/>
                <w:sz w:val="24"/>
                <w:szCs w:val="24"/>
              </w:rPr>
              <w:t>Upgraded equipment and applications. Provided reliable support and guidance for staff on applying new features and resolving issues. Installed emergency communication system.</w:t>
            </w:r>
          </w:p>
        </w:tc>
      </w:tr>
      <w:tr w:rsidR="006807E8" w14:paraId="1B807F01" w14:textId="77777777" w:rsidTr="7C9F70AD">
        <w:trPr>
          <w:trHeight w:val="79"/>
          <w:jc w:val="center"/>
        </w:trPr>
        <w:tc>
          <w:tcPr>
            <w:tcW w:w="0" w:type="auto"/>
            <w:shd w:val="clear" w:color="auto" w:fill="244F50"/>
            <w:vAlign w:val="center"/>
          </w:tcPr>
          <w:p w14:paraId="41CF4AAE" w14:textId="77777777" w:rsidR="006807E8" w:rsidRPr="00176FA5" w:rsidRDefault="000072CF" w:rsidP="00176FA5">
            <w:pPr>
              <w:jc w:val="center"/>
              <w:rPr>
                <w:sz w:val="22"/>
              </w:rPr>
            </w:pPr>
            <w:r w:rsidRPr="00176FA5">
              <w:rPr>
                <w:b/>
                <w:color w:val="FFFFFF"/>
                <w:sz w:val="22"/>
              </w:rPr>
              <w:t>Objective 3.1</w:t>
            </w:r>
          </w:p>
        </w:tc>
        <w:tc>
          <w:tcPr>
            <w:tcW w:w="0" w:type="auto"/>
            <w:shd w:val="clear" w:color="auto" w:fill="F3F1EC"/>
            <w:vAlign w:val="center"/>
          </w:tcPr>
          <w:p w14:paraId="4870BD5E" w14:textId="77777777" w:rsidR="006807E8" w:rsidRPr="00176FA5" w:rsidRDefault="000072CF" w:rsidP="00176FA5">
            <w:pPr>
              <w:rPr>
                <w:sz w:val="22"/>
              </w:rPr>
            </w:pPr>
            <w:r w:rsidRPr="00176FA5">
              <w:rPr>
                <w:b/>
                <w:color w:val="000000"/>
                <w:sz w:val="22"/>
              </w:rPr>
              <w:t>Improve MHA's cybersecurity profile.</w:t>
            </w:r>
          </w:p>
        </w:tc>
        <w:tc>
          <w:tcPr>
            <w:tcW w:w="0" w:type="auto"/>
            <w:vAlign w:val="center"/>
          </w:tcPr>
          <w:p w14:paraId="281D95EB" w14:textId="77777777" w:rsidR="006807E8" w:rsidRPr="00176FA5" w:rsidRDefault="000072CF" w:rsidP="00790D8E">
            <w:pPr>
              <w:jc w:val="center"/>
              <w:rPr>
                <w:sz w:val="22"/>
              </w:rPr>
            </w:pPr>
            <w:r w:rsidRPr="00176FA5">
              <w:rPr>
                <w:b/>
                <w:color w:val="1F4E1F"/>
                <w:sz w:val="22"/>
              </w:rPr>
              <w:t>Met</w:t>
            </w:r>
          </w:p>
        </w:tc>
        <w:tc>
          <w:tcPr>
            <w:tcW w:w="10171" w:type="dxa"/>
            <w:vAlign w:val="center"/>
          </w:tcPr>
          <w:p w14:paraId="0C23860A" w14:textId="58328D05" w:rsidR="7C9F70AD" w:rsidRDefault="7C9F70AD" w:rsidP="7C9F70AD">
            <w:pPr>
              <w:rPr>
                <w:rFonts w:cs="Aptos"/>
                <w:color w:val="000000" w:themeColor="text1"/>
                <w:sz w:val="24"/>
                <w:szCs w:val="24"/>
              </w:rPr>
            </w:pPr>
            <w:r w:rsidRPr="7C9F70AD">
              <w:rPr>
                <w:rFonts w:cs="Aptos"/>
                <w:color w:val="000000" w:themeColor="text1"/>
                <w:sz w:val="24"/>
                <w:szCs w:val="24"/>
              </w:rPr>
              <w:t>Marin Housing Authority significantly strengthened its cybersecurity and information technology infrastructure during the reporting period. In January 2025, MHA engaged a new managed IT service provider to deliver comprehensive technology, cybersecurity, and strategic IT support services, including 24/7 monitoring, security management, systems administration, staff training, and technology planning.</w:t>
            </w:r>
          </w:p>
          <w:p w14:paraId="5FC7DAC9" w14:textId="6328DFFB" w:rsidR="7C9F70AD" w:rsidRDefault="7C9F70AD" w:rsidP="7C9F70AD">
            <w:pPr>
              <w:rPr>
                <w:rFonts w:cs="Aptos"/>
                <w:color w:val="000000" w:themeColor="text1"/>
                <w:sz w:val="24"/>
                <w:szCs w:val="24"/>
              </w:rPr>
            </w:pPr>
            <w:r w:rsidRPr="7C9F70AD">
              <w:rPr>
                <w:rFonts w:cs="Aptos"/>
                <w:color w:val="000000" w:themeColor="text1"/>
                <w:sz w:val="24"/>
                <w:szCs w:val="24"/>
              </w:rPr>
              <w:t>To further enhance cybersecurity oversight, MHA partnered with Marin County to access the expertise of the County's Chief Information Security Officer (CISO) and became a member of the Multi-State Information Sharing and Analysis Center (MS-ISAC), a national cybersecurity network supporting state and local governments.</w:t>
            </w:r>
          </w:p>
          <w:p w14:paraId="5CE7134A" w14:textId="7CC811A8" w:rsidR="7C9F70AD" w:rsidRDefault="7C9F70AD" w:rsidP="7C9F70AD">
            <w:pPr>
              <w:rPr>
                <w:rFonts w:cs="Aptos"/>
                <w:color w:val="000000" w:themeColor="text1"/>
                <w:sz w:val="24"/>
                <w:szCs w:val="24"/>
              </w:rPr>
            </w:pPr>
            <w:r w:rsidRPr="7C9F70AD">
              <w:rPr>
                <w:rFonts w:cs="Aptos"/>
                <w:color w:val="000000" w:themeColor="text1"/>
                <w:sz w:val="24"/>
                <w:szCs w:val="24"/>
              </w:rPr>
              <w:t xml:space="preserve">MHA also completed a cybersecurity assessment aligned with the NIST 2.0 Cybersecurity Framework and implemented a series of security improvements, including enhanced endpoint </w:t>
            </w:r>
            <w:r w:rsidRPr="7C9F70AD">
              <w:rPr>
                <w:rFonts w:cs="Aptos"/>
                <w:color w:val="000000" w:themeColor="text1"/>
                <w:sz w:val="24"/>
                <w:szCs w:val="24"/>
              </w:rPr>
              <w:lastRenderedPageBreak/>
              <w:t>protection, strengthened firewall controls, improved patch management practices, regular staff cybersecurity training, and clearer incident communication protocols.</w:t>
            </w:r>
          </w:p>
          <w:p w14:paraId="5C0B3D8C" w14:textId="7D94C397" w:rsidR="7C9F70AD" w:rsidRDefault="7C9F70AD" w:rsidP="7C9F70AD">
            <w:pPr>
              <w:rPr>
                <w:rFonts w:cs="Aptos"/>
                <w:color w:val="000000" w:themeColor="text1"/>
                <w:sz w:val="24"/>
                <w:szCs w:val="24"/>
              </w:rPr>
            </w:pPr>
            <w:r w:rsidRPr="7C9F70AD">
              <w:rPr>
                <w:rFonts w:cs="Aptos"/>
                <w:color w:val="000000" w:themeColor="text1"/>
                <w:sz w:val="24"/>
                <w:szCs w:val="24"/>
              </w:rPr>
              <w:t>These efforts improved MHA's cybersecurity posture, strengthened organizational resilience, and enhanced the protection of resident, employee, and organizational information systems.</w:t>
            </w:r>
          </w:p>
          <w:p w14:paraId="2203C228" w14:textId="38D795DC" w:rsidR="7C9F70AD" w:rsidRPr="7C9F70AD" w:rsidRDefault="7C9F70AD" w:rsidP="7C9F70AD">
            <w:pPr>
              <w:rPr>
                <w:rFonts w:cs="Aptos"/>
                <w:color w:val="000000" w:themeColor="text1"/>
                <w:sz w:val="24"/>
                <w:szCs w:val="24"/>
              </w:rPr>
            </w:pPr>
          </w:p>
        </w:tc>
      </w:tr>
      <w:tr w:rsidR="00A14F99" w14:paraId="44911B50" w14:textId="77777777" w:rsidTr="0060052E">
        <w:trPr>
          <w:trHeight w:val="145"/>
          <w:jc w:val="center"/>
        </w:trPr>
        <w:tc>
          <w:tcPr>
            <w:tcW w:w="0" w:type="auto"/>
            <w:shd w:val="clear" w:color="auto" w:fill="244F50"/>
            <w:vAlign w:val="center"/>
          </w:tcPr>
          <w:p w14:paraId="2B95083B" w14:textId="77777777" w:rsidR="00A14F99" w:rsidRPr="00176FA5" w:rsidRDefault="00A14F99" w:rsidP="00176FA5">
            <w:pPr>
              <w:jc w:val="center"/>
              <w:rPr>
                <w:sz w:val="22"/>
              </w:rPr>
            </w:pPr>
            <w:r w:rsidRPr="00176FA5">
              <w:rPr>
                <w:b/>
                <w:color w:val="FFFFFF"/>
                <w:sz w:val="22"/>
              </w:rPr>
              <w:lastRenderedPageBreak/>
              <w:t>Objective 4</w:t>
            </w:r>
          </w:p>
        </w:tc>
        <w:tc>
          <w:tcPr>
            <w:tcW w:w="0" w:type="auto"/>
            <w:shd w:val="clear" w:color="auto" w:fill="F3F1EC"/>
            <w:vAlign w:val="center"/>
          </w:tcPr>
          <w:p w14:paraId="0F698220" w14:textId="77777777" w:rsidR="00A14F99" w:rsidRPr="00176FA5" w:rsidRDefault="00A14F99" w:rsidP="00176FA5">
            <w:pPr>
              <w:rPr>
                <w:sz w:val="22"/>
              </w:rPr>
            </w:pPr>
            <w:r w:rsidRPr="00176FA5">
              <w:rPr>
                <w:b/>
                <w:color w:val="000000"/>
                <w:sz w:val="22"/>
              </w:rPr>
              <w:t>Strive for excellence in customer service by providing respectful, empathetic, timely and effective service to all.</w:t>
            </w:r>
          </w:p>
        </w:tc>
        <w:tc>
          <w:tcPr>
            <w:tcW w:w="0" w:type="auto"/>
            <w:vAlign w:val="center"/>
          </w:tcPr>
          <w:p w14:paraId="5DB1AC10" w14:textId="77777777" w:rsidR="00A14F99" w:rsidRPr="00176FA5" w:rsidRDefault="00A14F99" w:rsidP="001131DD">
            <w:pPr>
              <w:jc w:val="center"/>
              <w:rPr>
                <w:sz w:val="22"/>
              </w:rPr>
            </w:pPr>
            <w:r w:rsidRPr="00176FA5">
              <w:rPr>
                <w:b/>
                <w:color w:val="1F4E1F"/>
                <w:sz w:val="22"/>
              </w:rPr>
              <w:t>Met</w:t>
            </w:r>
          </w:p>
        </w:tc>
        <w:tc>
          <w:tcPr>
            <w:tcW w:w="10171" w:type="dxa"/>
            <w:vAlign w:val="center"/>
          </w:tcPr>
          <w:p w14:paraId="0422C2A0" w14:textId="77777777" w:rsidR="00A14F99" w:rsidRPr="00176FA5" w:rsidRDefault="00A14F99" w:rsidP="00B11217">
            <w:pPr>
              <w:rPr>
                <w:sz w:val="24"/>
                <w:szCs w:val="24"/>
              </w:rPr>
            </w:pPr>
            <w:r w:rsidRPr="7C9F70AD">
              <w:rPr>
                <w:color w:val="000000" w:themeColor="text1"/>
                <w:sz w:val="24"/>
                <w:szCs w:val="24"/>
              </w:rPr>
              <w:t>Training was provided to all staff on De-escalation, Fair Housing and Customer Service. The enhanced knowledge has resulted in fewer complaints being received about non-responsiveness and the semi-monthly case management meetings have been reduced from one hour to 15 minutes due to fewer questions about case matters in process. Answering service answers many questions and relays all other calls to proper staff as directed. 75 % of the walk-in inquiries are fully resolved. 23% need to return/or need additional assistance and 2% need manager's assistance.</w:t>
            </w:r>
          </w:p>
        </w:tc>
      </w:tr>
      <w:tr w:rsidR="00A14F99" w14:paraId="13FBD9EC" w14:textId="77777777" w:rsidTr="0060052E">
        <w:trPr>
          <w:trHeight w:val="145"/>
          <w:jc w:val="center"/>
        </w:trPr>
        <w:tc>
          <w:tcPr>
            <w:tcW w:w="0" w:type="auto"/>
            <w:tcBorders>
              <w:bottom w:val="single" w:sz="8" w:space="0" w:color="000000" w:themeColor="text1"/>
            </w:tcBorders>
            <w:shd w:val="clear" w:color="auto" w:fill="244F50"/>
            <w:vAlign w:val="center"/>
          </w:tcPr>
          <w:p w14:paraId="0DD1A5D4" w14:textId="77777777" w:rsidR="00A14F99" w:rsidRPr="00176FA5" w:rsidRDefault="00A14F99" w:rsidP="00176FA5">
            <w:pPr>
              <w:jc w:val="center"/>
              <w:rPr>
                <w:sz w:val="22"/>
              </w:rPr>
            </w:pPr>
            <w:r w:rsidRPr="00176FA5">
              <w:rPr>
                <w:b/>
                <w:color w:val="FFFFFF"/>
                <w:sz w:val="22"/>
              </w:rPr>
              <w:t>Objective 4.1</w:t>
            </w:r>
          </w:p>
        </w:tc>
        <w:tc>
          <w:tcPr>
            <w:tcW w:w="0" w:type="auto"/>
            <w:shd w:val="clear" w:color="auto" w:fill="F3F1EC"/>
            <w:vAlign w:val="center"/>
          </w:tcPr>
          <w:p w14:paraId="3ED380B8" w14:textId="77777777" w:rsidR="00A14F99" w:rsidRPr="00176FA5" w:rsidRDefault="00A14F99" w:rsidP="00176FA5">
            <w:pPr>
              <w:rPr>
                <w:sz w:val="22"/>
              </w:rPr>
            </w:pPr>
            <w:r w:rsidRPr="00176FA5">
              <w:rPr>
                <w:b/>
                <w:color w:val="000000"/>
                <w:sz w:val="22"/>
              </w:rPr>
              <w:t>Conduct a customer service survey of all participants, residents and landlords to gain feedback and make necessary changes.</w:t>
            </w:r>
          </w:p>
        </w:tc>
        <w:tc>
          <w:tcPr>
            <w:tcW w:w="0" w:type="auto"/>
            <w:vAlign w:val="center"/>
          </w:tcPr>
          <w:p w14:paraId="52FDF05A" w14:textId="77777777" w:rsidR="00A14F99" w:rsidRPr="00176FA5" w:rsidRDefault="00A14F99" w:rsidP="001131DD">
            <w:pPr>
              <w:jc w:val="center"/>
              <w:rPr>
                <w:sz w:val="22"/>
              </w:rPr>
            </w:pPr>
            <w:r w:rsidRPr="00176FA5">
              <w:rPr>
                <w:b/>
                <w:color w:val="7A5B00"/>
                <w:sz w:val="22"/>
              </w:rPr>
              <w:t>In Progress</w:t>
            </w:r>
          </w:p>
        </w:tc>
        <w:tc>
          <w:tcPr>
            <w:tcW w:w="10171" w:type="dxa"/>
            <w:vAlign w:val="center"/>
          </w:tcPr>
          <w:p w14:paraId="72FAA0E8" w14:textId="77777777" w:rsidR="00A14F99" w:rsidRPr="00176FA5" w:rsidRDefault="00A14F99" w:rsidP="00B11217">
            <w:pPr>
              <w:rPr>
                <w:sz w:val="24"/>
                <w:szCs w:val="24"/>
              </w:rPr>
            </w:pPr>
            <w:r w:rsidRPr="7C9F70AD">
              <w:rPr>
                <w:color w:val="000000" w:themeColor="text1"/>
                <w:sz w:val="24"/>
                <w:szCs w:val="24"/>
              </w:rPr>
              <w:t>Projected to start by October 2026</w:t>
            </w:r>
          </w:p>
        </w:tc>
      </w:tr>
      <w:tr w:rsidR="00A14F99" w14:paraId="4E9060BB" w14:textId="77777777" w:rsidTr="00384F24">
        <w:trPr>
          <w:trHeight w:val="1152"/>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44F50"/>
            <w:vAlign w:val="center"/>
          </w:tcPr>
          <w:p w14:paraId="3FE3ED1B" w14:textId="77777777" w:rsidR="00A14F99" w:rsidRPr="00176FA5" w:rsidRDefault="00A14F99" w:rsidP="00176FA5">
            <w:pPr>
              <w:jc w:val="center"/>
              <w:rPr>
                <w:sz w:val="22"/>
              </w:rPr>
            </w:pPr>
            <w:r w:rsidRPr="00176FA5">
              <w:rPr>
                <w:b/>
                <w:color w:val="FFFFFF"/>
                <w:sz w:val="22"/>
              </w:rPr>
              <w:t>Objective 4.2</w:t>
            </w:r>
          </w:p>
        </w:tc>
        <w:tc>
          <w:tcPr>
            <w:tcW w:w="0" w:type="auto"/>
            <w:tcBorders>
              <w:left w:val="single" w:sz="8" w:space="0" w:color="000000" w:themeColor="text1"/>
            </w:tcBorders>
            <w:shd w:val="clear" w:color="auto" w:fill="F3F1EC"/>
            <w:vAlign w:val="center"/>
          </w:tcPr>
          <w:p w14:paraId="260BEB65" w14:textId="77777777" w:rsidR="00A14F99" w:rsidRPr="00176FA5" w:rsidRDefault="00A14F99" w:rsidP="00176FA5">
            <w:pPr>
              <w:rPr>
                <w:sz w:val="22"/>
              </w:rPr>
            </w:pPr>
            <w:r w:rsidRPr="00176FA5">
              <w:rPr>
                <w:b/>
                <w:color w:val="000000"/>
                <w:sz w:val="22"/>
              </w:rPr>
              <w:t>Improve organization and information provided on the website.</w:t>
            </w:r>
          </w:p>
        </w:tc>
        <w:tc>
          <w:tcPr>
            <w:tcW w:w="0" w:type="auto"/>
            <w:vAlign w:val="center"/>
          </w:tcPr>
          <w:p w14:paraId="32523937" w14:textId="77777777" w:rsidR="00A14F99" w:rsidRPr="00176FA5" w:rsidRDefault="00A14F99" w:rsidP="001131DD">
            <w:pPr>
              <w:jc w:val="center"/>
              <w:rPr>
                <w:sz w:val="22"/>
              </w:rPr>
            </w:pPr>
            <w:r w:rsidRPr="00176FA5">
              <w:rPr>
                <w:b/>
                <w:color w:val="1F4E1F"/>
                <w:sz w:val="22"/>
              </w:rPr>
              <w:t>Met</w:t>
            </w:r>
          </w:p>
        </w:tc>
        <w:tc>
          <w:tcPr>
            <w:tcW w:w="10171" w:type="dxa"/>
            <w:vAlign w:val="center"/>
          </w:tcPr>
          <w:p w14:paraId="1769BD50" w14:textId="77777777" w:rsidR="00A14F99" w:rsidRPr="00176FA5" w:rsidRDefault="00A14F99" w:rsidP="00B11217">
            <w:pPr>
              <w:rPr>
                <w:sz w:val="24"/>
                <w:szCs w:val="24"/>
              </w:rPr>
            </w:pPr>
            <w:r w:rsidRPr="7C9F70AD">
              <w:rPr>
                <w:color w:val="000000" w:themeColor="text1"/>
                <w:sz w:val="24"/>
                <w:szCs w:val="24"/>
              </w:rPr>
              <w:t>Applied industry standard best practices for improved home page announcements, report pages, and documents indexing as well as ADA and multilingual access. Launched a dedicated website as a resource for residents during RAD conversion.</w:t>
            </w:r>
          </w:p>
        </w:tc>
      </w:tr>
      <w:tr w:rsidR="00A14F99" w14:paraId="26E548C8" w14:textId="77777777" w:rsidTr="00384F24">
        <w:trPr>
          <w:trHeight w:val="864"/>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44F50"/>
            <w:vAlign w:val="center"/>
          </w:tcPr>
          <w:p w14:paraId="13DBC864" w14:textId="77777777" w:rsidR="00A14F99" w:rsidRPr="00176FA5" w:rsidRDefault="00A14F99" w:rsidP="00176FA5">
            <w:pPr>
              <w:jc w:val="center"/>
              <w:rPr>
                <w:sz w:val="22"/>
              </w:rPr>
            </w:pPr>
            <w:r w:rsidRPr="00176FA5">
              <w:rPr>
                <w:b/>
                <w:color w:val="FFFFFF"/>
                <w:sz w:val="22"/>
              </w:rPr>
              <w:t>Objective 4.3</w:t>
            </w:r>
          </w:p>
        </w:tc>
        <w:tc>
          <w:tcPr>
            <w:tcW w:w="0" w:type="auto"/>
            <w:tcBorders>
              <w:left w:val="single" w:sz="8" w:space="0" w:color="000000" w:themeColor="text1"/>
            </w:tcBorders>
            <w:shd w:val="clear" w:color="auto" w:fill="F3F1EC"/>
            <w:vAlign w:val="center"/>
          </w:tcPr>
          <w:p w14:paraId="71A371BA" w14:textId="77777777" w:rsidR="00A14F99" w:rsidRPr="00176FA5" w:rsidRDefault="00A14F99" w:rsidP="00176FA5">
            <w:pPr>
              <w:rPr>
                <w:sz w:val="22"/>
              </w:rPr>
            </w:pPr>
            <w:r w:rsidRPr="00176FA5">
              <w:rPr>
                <w:b/>
                <w:color w:val="000000"/>
                <w:sz w:val="22"/>
              </w:rPr>
              <w:t>Update and improve phone tree and answering service for incoming phone calls.</w:t>
            </w:r>
          </w:p>
        </w:tc>
        <w:tc>
          <w:tcPr>
            <w:tcW w:w="0" w:type="auto"/>
            <w:vAlign w:val="center"/>
          </w:tcPr>
          <w:p w14:paraId="264EDEC3" w14:textId="77777777" w:rsidR="00A14F99" w:rsidRPr="00176FA5" w:rsidRDefault="00A14F99" w:rsidP="001131DD">
            <w:pPr>
              <w:jc w:val="center"/>
              <w:rPr>
                <w:sz w:val="22"/>
              </w:rPr>
            </w:pPr>
            <w:r w:rsidRPr="00176FA5">
              <w:rPr>
                <w:b/>
                <w:color w:val="1F4E1F"/>
                <w:sz w:val="22"/>
              </w:rPr>
              <w:t>Met</w:t>
            </w:r>
          </w:p>
        </w:tc>
        <w:tc>
          <w:tcPr>
            <w:tcW w:w="10171" w:type="dxa"/>
            <w:vAlign w:val="center"/>
          </w:tcPr>
          <w:p w14:paraId="3AC4B1C9" w14:textId="77777777" w:rsidR="00A14F99" w:rsidRPr="00176FA5" w:rsidRDefault="00A14F99" w:rsidP="00B11217">
            <w:pPr>
              <w:rPr>
                <w:sz w:val="24"/>
                <w:szCs w:val="24"/>
              </w:rPr>
            </w:pPr>
            <w:r w:rsidRPr="7C9F70AD">
              <w:rPr>
                <w:color w:val="000000" w:themeColor="text1"/>
                <w:sz w:val="24"/>
                <w:szCs w:val="24"/>
              </w:rPr>
              <w:t>Transitioned main number and maintenance calls to 24x7 Yardi trained, live operator call service for improved continuity in communications, streamlined process follow-through, and dependable response to public inquiries. Monitor daily call logs to ensure callers are accurately directed.</w:t>
            </w:r>
          </w:p>
        </w:tc>
      </w:tr>
      <w:tr w:rsidR="00A14F99" w14:paraId="1E076308" w14:textId="77777777" w:rsidTr="00384F24">
        <w:trPr>
          <w:trHeight w:val="1152"/>
          <w:jc w:val="center"/>
        </w:trPr>
        <w:tc>
          <w:tcPr>
            <w:tcW w:w="0" w:type="auto"/>
            <w:tcBorders>
              <w:top w:val="single" w:sz="8" w:space="0" w:color="000000" w:themeColor="text1"/>
            </w:tcBorders>
            <w:shd w:val="clear" w:color="auto" w:fill="244F50"/>
            <w:vAlign w:val="center"/>
          </w:tcPr>
          <w:p w14:paraId="4525F58D" w14:textId="77777777" w:rsidR="00A14F99" w:rsidRPr="00176FA5" w:rsidRDefault="00A14F99" w:rsidP="00176FA5">
            <w:pPr>
              <w:jc w:val="center"/>
              <w:rPr>
                <w:color w:val="FFFFFF" w:themeColor="background1"/>
                <w:sz w:val="22"/>
              </w:rPr>
            </w:pPr>
            <w:r w:rsidRPr="00176FA5">
              <w:rPr>
                <w:b/>
                <w:color w:val="FFFFFF" w:themeColor="background1"/>
                <w:sz w:val="22"/>
              </w:rPr>
              <w:t>Objective 5</w:t>
            </w:r>
          </w:p>
        </w:tc>
        <w:tc>
          <w:tcPr>
            <w:tcW w:w="0" w:type="auto"/>
            <w:shd w:val="clear" w:color="auto" w:fill="F3F1EC"/>
            <w:vAlign w:val="center"/>
          </w:tcPr>
          <w:p w14:paraId="5C49F458" w14:textId="77777777" w:rsidR="00A14F99" w:rsidRPr="00176FA5" w:rsidRDefault="00A14F99" w:rsidP="00176FA5">
            <w:pPr>
              <w:rPr>
                <w:sz w:val="22"/>
              </w:rPr>
            </w:pPr>
            <w:r w:rsidRPr="00176FA5">
              <w:rPr>
                <w:b/>
                <w:color w:val="000000"/>
                <w:sz w:val="22"/>
              </w:rPr>
              <w:t>Develop ways to reward innovation, initiative and problem-solving to promote team building and improve employee retention.</w:t>
            </w:r>
          </w:p>
        </w:tc>
        <w:tc>
          <w:tcPr>
            <w:tcW w:w="0" w:type="auto"/>
            <w:vAlign w:val="center"/>
          </w:tcPr>
          <w:p w14:paraId="1C2FB0CF" w14:textId="77777777" w:rsidR="00A14F99" w:rsidRPr="00176FA5" w:rsidRDefault="00A14F99" w:rsidP="001131DD">
            <w:pPr>
              <w:jc w:val="center"/>
              <w:rPr>
                <w:sz w:val="22"/>
              </w:rPr>
            </w:pPr>
            <w:r w:rsidRPr="00176FA5">
              <w:rPr>
                <w:b/>
                <w:color w:val="1F4E1F"/>
                <w:sz w:val="22"/>
              </w:rPr>
              <w:t>Met</w:t>
            </w:r>
          </w:p>
        </w:tc>
        <w:tc>
          <w:tcPr>
            <w:tcW w:w="10171" w:type="dxa"/>
            <w:vAlign w:val="center"/>
          </w:tcPr>
          <w:p w14:paraId="6C9EAAB2" w14:textId="77777777" w:rsidR="00A14F99" w:rsidRPr="00176FA5" w:rsidRDefault="00A14F99" w:rsidP="00B11217">
            <w:pPr>
              <w:rPr>
                <w:sz w:val="24"/>
                <w:szCs w:val="24"/>
              </w:rPr>
            </w:pPr>
            <w:r w:rsidRPr="7C9F70AD">
              <w:rPr>
                <w:color w:val="000000" w:themeColor="text1"/>
                <w:sz w:val="24"/>
                <w:szCs w:val="24"/>
              </w:rPr>
              <w:t>MHA has an employee acknowledgment program at all-staff meetings.</w:t>
            </w:r>
          </w:p>
        </w:tc>
      </w:tr>
      <w:tr w:rsidR="00A14F99" w14:paraId="30102CAE" w14:textId="77777777" w:rsidTr="0060052E">
        <w:trPr>
          <w:trHeight w:val="1008"/>
          <w:jc w:val="center"/>
        </w:trPr>
        <w:tc>
          <w:tcPr>
            <w:tcW w:w="0" w:type="auto"/>
            <w:shd w:val="clear" w:color="auto" w:fill="244F50"/>
            <w:vAlign w:val="center"/>
          </w:tcPr>
          <w:p w14:paraId="1C6EE0D5" w14:textId="77777777" w:rsidR="00A14F99" w:rsidRPr="00176FA5" w:rsidRDefault="00A14F99" w:rsidP="00176FA5">
            <w:pPr>
              <w:jc w:val="center"/>
              <w:rPr>
                <w:color w:val="FFFFFF" w:themeColor="background1"/>
                <w:sz w:val="22"/>
              </w:rPr>
            </w:pPr>
            <w:r w:rsidRPr="00176FA5">
              <w:rPr>
                <w:b/>
                <w:color w:val="FFFFFF" w:themeColor="background1"/>
                <w:sz w:val="22"/>
              </w:rPr>
              <w:lastRenderedPageBreak/>
              <w:t>Objective 6</w:t>
            </w:r>
          </w:p>
        </w:tc>
        <w:tc>
          <w:tcPr>
            <w:tcW w:w="0" w:type="auto"/>
            <w:shd w:val="clear" w:color="auto" w:fill="F3F1EC"/>
            <w:vAlign w:val="center"/>
          </w:tcPr>
          <w:p w14:paraId="64B40453" w14:textId="77777777" w:rsidR="00A14F99" w:rsidRPr="00176FA5" w:rsidRDefault="00A14F99" w:rsidP="00176FA5">
            <w:pPr>
              <w:rPr>
                <w:sz w:val="22"/>
              </w:rPr>
            </w:pPr>
            <w:r w:rsidRPr="00176FA5">
              <w:rPr>
                <w:b/>
                <w:color w:val="000000"/>
                <w:sz w:val="22"/>
              </w:rPr>
              <w:t>Conduct regular staff meetings and perform regular employee evaluations to obtain and provide feedback.</w:t>
            </w:r>
          </w:p>
        </w:tc>
        <w:tc>
          <w:tcPr>
            <w:tcW w:w="0" w:type="auto"/>
            <w:vAlign w:val="center"/>
          </w:tcPr>
          <w:p w14:paraId="6916BFCA" w14:textId="77777777" w:rsidR="00A14F99" w:rsidRPr="00176FA5" w:rsidRDefault="00A14F99" w:rsidP="001131DD">
            <w:pPr>
              <w:jc w:val="center"/>
              <w:rPr>
                <w:sz w:val="22"/>
              </w:rPr>
            </w:pPr>
            <w:r w:rsidRPr="00176FA5">
              <w:rPr>
                <w:b/>
                <w:color w:val="1F4E1F"/>
                <w:sz w:val="22"/>
              </w:rPr>
              <w:t>Met</w:t>
            </w:r>
          </w:p>
        </w:tc>
        <w:tc>
          <w:tcPr>
            <w:tcW w:w="10171" w:type="dxa"/>
            <w:vAlign w:val="center"/>
          </w:tcPr>
          <w:p w14:paraId="28C887D8" w14:textId="77777777" w:rsidR="00A14F99" w:rsidRPr="00176FA5" w:rsidRDefault="00A14F99" w:rsidP="00B11217">
            <w:pPr>
              <w:rPr>
                <w:sz w:val="24"/>
                <w:szCs w:val="24"/>
              </w:rPr>
            </w:pPr>
            <w:r w:rsidRPr="7C9F70AD">
              <w:rPr>
                <w:color w:val="000000" w:themeColor="text1"/>
                <w:sz w:val="24"/>
                <w:szCs w:val="24"/>
              </w:rPr>
              <w:t>All departments meet at least weekly to review operational needs. Staff meet with supervisors individually for coaching and assistance to ensure timely ARs. MHA has conducted several all-staff meetings. There is a performance management program.</w:t>
            </w:r>
          </w:p>
        </w:tc>
      </w:tr>
      <w:tr w:rsidR="00A14F99" w14:paraId="222DC54A" w14:textId="77777777" w:rsidTr="008A0969">
        <w:trPr>
          <w:trHeight w:val="864"/>
          <w:jc w:val="center"/>
        </w:trPr>
        <w:tc>
          <w:tcPr>
            <w:tcW w:w="0" w:type="auto"/>
            <w:shd w:val="clear" w:color="auto" w:fill="244F50"/>
            <w:vAlign w:val="center"/>
          </w:tcPr>
          <w:p w14:paraId="778EE66D" w14:textId="77777777" w:rsidR="00A14F99" w:rsidRPr="00176FA5" w:rsidRDefault="00A14F99" w:rsidP="00176FA5">
            <w:pPr>
              <w:jc w:val="center"/>
              <w:rPr>
                <w:color w:val="FFFFFF" w:themeColor="background1"/>
                <w:sz w:val="22"/>
              </w:rPr>
            </w:pPr>
            <w:r w:rsidRPr="00176FA5">
              <w:rPr>
                <w:b/>
                <w:color w:val="FFFFFF" w:themeColor="background1"/>
                <w:sz w:val="22"/>
              </w:rPr>
              <w:t>Objective 7</w:t>
            </w:r>
          </w:p>
        </w:tc>
        <w:tc>
          <w:tcPr>
            <w:tcW w:w="0" w:type="auto"/>
            <w:shd w:val="clear" w:color="auto" w:fill="F3F1EC"/>
            <w:vAlign w:val="center"/>
          </w:tcPr>
          <w:p w14:paraId="402ACDEC" w14:textId="77777777" w:rsidR="00A14F99" w:rsidRPr="00176FA5" w:rsidRDefault="00A14F99" w:rsidP="00176FA5">
            <w:pPr>
              <w:rPr>
                <w:sz w:val="22"/>
              </w:rPr>
            </w:pPr>
            <w:r w:rsidRPr="00176FA5">
              <w:rPr>
                <w:b/>
                <w:color w:val="000000"/>
                <w:sz w:val="22"/>
              </w:rPr>
              <w:t>Attend meetings of GGV Resident Council and Resident Advisory Board.</w:t>
            </w:r>
          </w:p>
        </w:tc>
        <w:tc>
          <w:tcPr>
            <w:tcW w:w="0" w:type="auto"/>
            <w:vAlign w:val="center"/>
          </w:tcPr>
          <w:p w14:paraId="452AA6FC" w14:textId="77777777" w:rsidR="00A14F99" w:rsidRPr="00176FA5" w:rsidRDefault="00A14F99" w:rsidP="00FB0B10">
            <w:pPr>
              <w:jc w:val="center"/>
              <w:rPr>
                <w:sz w:val="22"/>
              </w:rPr>
            </w:pPr>
            <w:r w:rsidRPr="00176FA5">
              <w:rPr>
                <w:b/>
                <w:color w:val="1F4E1F"/>
                <w:sz w:val="22"/>
              </w:rPr>
              <w:t>Met</w:t>
            </w:r>
          </w:p>
        </w:tc>
        <w:tc>
          <w:tcPr>
            <w:tcW w:w="10171" w:type="dxa"/>
            <w:vAlign w:val="center"/>
          </w:tcPr>
          <w:p w14:paraId="1054D9A2" w14:textId="77777777" w:rsidR="00A14F99" w:rsidRPr="00176FA5" w:rsidRDefault="00A14F99" w:rsidP="00B11217">
            <w:pPr>
              <w:rPr>
                <w:sz w:val="24"/>
                <w:szCs w:val="24"/>
              </w:rPr>
            </w:pPr>
            <w:r w:rsidRPr="7C9F70AD">
              <w:rPr>
                <w:color w:val="000000" w:themeColor="text1"/>
                <w:sz w:val="24"/>
                <w:szCs w:val="24"/>
              </w:rPr>
              <w:t>Several directors and managers attend monthly RAB meetings. PH directors and managers meet regularly with the RC.</w:t>
            </w:r>
          </w:p>
        </w:tc>
      </w:tr>
    </w:tbl>
    <w:p w14:paraId="50F66C84" w14:textId="3F14EAC4" w:rsidR="006807E8" w:rsidRPr="00457CCC" w:rsidRDefault="000072CF" w:rsidP="0092753C">
      <w:pPr>
        <w:pageBreakBefore/>
        <w:pBdr>
          <w:top w:val="single" w:sz="4" w:space="1" w:color="auto"/>
          <w:left w:val="single" w:sz="4" w:space="4" w:color="auto"/>
          <w:bottom w:val="single" w:sz="4" w:space="1" w:color="auto"/>
          <w:right w:val="single" w:sz="4" w:space="4" w:color="auto"/>
        </w:pBdr>
        <w:shd w:val="clear" w:color="auto" w:fill="A64F24"/>
        <w:spacing w:after="240"/>
        <w:rPr>
          <w:sz w:val="24"/>
          <w:szCs w:val="32"/>
        </w:rPr>
      </w:pPr>
      <w:r w:rsidRPr="004253A1">
        <w:rPr>
          <w:b/>
          <w:color w:val="FFFFFF"/>
          <w:sz w:val="32"/>
          <w:szCs w:val="32"/>
        </w:rPr>
        <w:lastRenderedPageBreak/>
        <w:t xml:space="preserve">Goal </w:t>
      </w:r>
      <w:r w:rsidR="004253A1" w:rsidRPr="004253A1">
        <w:rPr>
          <w:b/>
          <w:color w:val="FFFFFF"/>
          <w:sz w:val="32"/>
          <w:szCs w:val="32"/>
        </w:rPr>
        <w:t xml:space="preserve">V | </w:t>
      </w:r>
      <w:r w:rsidR="004253A1" w:rsidRPr="00457CCC">
        <w:rPr>
          <w:b/>
          <w:color w:val="FFFFFF"/>
          <w:sz w:val="32"/>
          <w:szCs w:val="32"/>
        </w:rPr>
        <w:t>Continue</w:t>
      </w:r>
      <w:r w:rsidRPr="00457CCC">
        <w:rPr>
          <w:b/>
          <w:color w:val="FFFFFF"/>
          <w:sz w:val="32"/>
          <w:szCs w:val="32"/>
        </w:rPr>
        <w:t xml:space="preserve"> to Strengthen Relationships with the County, Our Board and Cities as the County’s Affordable Housing Provider</w:t>
      </w:r>
    </w:p>
    <w:tbl>
      <w:tblPr>
        <w:tblStyle w:val="TableGrid"/>
        <w:tblW w:w="17455" w:type="dxa"/>
        <w:jc w:val="center"/>
        <w:tblLook w:val="04A0" w:firstRow="1" w:lastRow="0" w:firstColumn="1" w:lastColumn="0" w:noHBand="0" w:noVBand="1"/>
      </w:tblPr>
      <w:tblGrid>
        <w:gridCol w:w="1280"/>
        <w:gridCol w:w="4372"/>
        <w:gridCol w:w="1045"/>
        <w:gridCol w:w="10758"/>
      </w:tblGrid>
      <w:tr w:rsidR="006807E8" w14:paraId="7487F2C0" w14:textId="77777777" w:rsidTr="004150AC">
        <w:trPr>
          <w:trHeight w:val="310"/>
          <w:jc w:val="center"/>
        </w:trPr>
        <w:tc>
          <w:tcPr>
            <w:tcW w:w="0" w:type="auto"/>
            <w:tcBorders>
              <w:right w:val="nil"/>
            </w:tcBorders>
            <w:shd w:val="clear" w:color="auto" w:fill="FFC000"/>
          </w:tcPr>
          <w:p w14:paraId="18ADEC7B" w14:textId="1BED9996" w:rsidR="006807E8" w:rsidRDefault="006807E8">
            <w:pPr>
              <w:jc w:val="center"/>
            </w:pPr>
          </w:p>
        </w:tc>
        <w:tc>
          <w:tcPr>
            <w:tcW w:w="0" w:type="auto"/>
            <w:tcBorders>
              <w:left w:val="nil"/>
            </w:tcBorders>
            <w:shd w:val="clear" w:color="auto" w:fill="FFC000"/>
          </w:tcPr>
          <w:p w14:paraId="6355ED11" w14:textId="36A7D40C" w:rsidR="006807E8" w:rsidRPr="00DB3A52" w:rsidRDefault="000072CF">
            <w:pPr>
              <w:jc w:val="center"/>
              <w:rPr>
                <w:color w:val="auto"/>
                <w:sz w:val="28"/>
                <w:szCs w:val="40"/>
              </w:rPr>
            </w:pPr>
            <w:r w:rsidRPr="00DB3A52">
              <w:rPr>
                <w:b/>
                <w:color w:val="auto"/>
                <w:sz w:val="28"/>
                <w:szCs w:val="40"/>
              </w:rPr>
              <w:t>Objective</w:t>
            </w:r>
          </w:p>
        </w:tc>
        <w:tc>
          <w:tcPr>
            <w:tcW w:w="0" w:type="auto"/>
            <w:shd w:val="clear" w:color="auto" w:fill="FFC000"/>
          </w:tcPr>
          <w:p w14:paraId="7274A2D4" w14:textId="77777777" w:rsidR="006807E8" w:rsidRPr="00DB3A52" w:rsidRDefault="000072CF">
            <w:pPr>
              <w:jc w:val="center"/>
              <w:rPr>
                <w:color w:val="auto"/>
                <w:sz w:val="28"/>
                <w:szCs w:val="40"/>
              </w:rPr>
            </w:pPr>
            <w:r w:rsidRPr="00DB3A52">
              <w:rPr>
                <w:b/>
                <w:color w:val="auto"/>
                <w:sz w:val="28"/>
                <w:szCs w:val="40"/>
              </w:rPr>
              <w:t>Status</w:t>
            </w:r>
          </w:p>
        </w:tc>
        <w:tc>
          <w:tcPr>
            <w:tcW w:w="10758" w:type="dxa"/>
            <w:shd w:val="clear" w:color="auto" w:fill="FFC000"/>
          </w:tcPr>
          <w:p w14:paraId="7F97904E" w14:textId="77777777" w:rsidR="006807E8" w:rsidRPr="00DB3A52" w:rsidRDefault="000072CF">
            <w:pPr>
              <w:jc w:val="center"/>
              <w:rPr>
                <w:color w:val="auto"/>
                <w:sz w:val="28"/>
                <w:szCs w:val="40"/>
              </w:rPr>
            </w:pPr>
            <w:r w:rsidRPr="00DB3A52">
              <w:rPr>
                <w:b/>
                <w:color w:val="auto"/>
                <w:sz w:val="28"/>
                <w:szCs w:val="40"/>
              </w:rPr>
              <w:t>Progress Update</w:t>
            </w:r>
          </w:p>
        </w:tc>
      </w:tr>
      <w:tr w:rsidR="006807E8" w14:paraId="07E2DD8E" w14:textId="77777777" w:rsidTr="000C5A6F">
        <w:trPr>
          <w:trHeight w:val="1334"/>
          <w:jc w:val="center"/>
        </w:trPr>
        <w:tc>
          <w:tcPr>
            <w:tcW w:w="0" w:type="auto"/>
            <w:shd w:val="clear" w:color="auto" w:fill="244F50"/>
            <w:vAlign w:val="center"/>
          </w:tcPr>
          <w:p w14:paraId="1E7897AE" w14:textId="77777777" w:rsidR="006807E8" w:rsidRPr="00DB3A52" w:rsidRDefault="000072CF" w:rsidP="004253A1">
            <w:pPr>
              <w:jc w:val="center"/>
              <w:rPr>
                <w:sz w:val="22"/>
                <w:szCs w:val="32"/>
              </w:rPr>
            </w:pPr>
            <w:r w:rsidRPr="00DB3A52">
              <w:rPr>
                <w:b/>
                <w:color w:val="FFFFFF"/>
                <w:sz w:val="22"/>
                <w:szCs w:val="32"/>
              </w:rPr>
              <w:t>Objective 1</w:t>
            </w:r>
          </w:p>
        </w:tc>
        <w:tc>
          <w:tcPr>
            <w:tcW w:w="0" w:type="auto"/>
            <w:shd w:val="clear" w:color="auto" w:fill="F3F1EC"/>
            <w:vAlign w:val="center"/>
          </w:tcPr>
          <w:p w14:paraId="135F9F4B" w14:textId="77777777" w:rsidR="006807E8" w:rsidRPr="00DB3A52" w:rsidRDefault="000072CF" w:rsidP="004253A1">
            <w:pPr>
              <w:rPr>
                <w:sz w:val="22"/>
                <w:szCs w:val="32"/>
              </w:rPr>
            </w:pPr>
            <w:r w:rsidRPr="00DB3A52">
              <w:rPr>
                <w:b/>
                <w:color w:val="000000"/>
                <w:sz w:val="22"/>
                <w:szCs w:val="32"/>
              </w:rPr>
              <w:t>Promote affordable housing locally.</w:t>
            </w:r>
          </w:p>
        </w:tc>
        <w:tc>
          <w:tcPr>
            <w:tcW w:w="0" w:type="auto"/>
            <w:vAlign w:val="center"/>
          </w:tcPr>
          <w:p w14:paraId="566EB2BF" w14:textId="77777777" w:rsidR="006807E8" w:rsidRPr="00DB3A52" w:rsidRDefault="000072CF" w:rsidP="004253A1">
            <w:pPr>
              <w:jc w:val="center"/>
              <w:rPr>
                <w:sz w:val="22"/>
                <w:szCs w:val="32"/>
              </w:rPr>
            </w:pPr>
            <w:r w:rsidRPr="00DB3A52">
              <w:rPr>
                <w:b/>
                <w:color w:val="1F4E1F"/>
                <w:sz w:val="22"/>
                <w:szCs w:val="32"/>
              </w:rPr>
              <w:t>Met</w:t>
            </w:r>
          </w:p>
        </w:tc>
        <w:tc>
          <w:tcPr>
            <w:tcW w:w="10758" w:type="dxa"/>
            <w:vAlign w:val="center"/>
          </w:tcPr>
          <w:p w14:paraId="6FCC338F" w14:textId="77777777" w:rsidR="006807E8" w:rsidRPr="00DB3A52" w:rsidRDefault="000072CF" w:rsidP="004253A1">
            <w:pPr>
              <w:rPr>
                <w:sz w:val="24"/>
                <w:szCs w:val="24"/>
              </w:rPr>
            </w:pPr>
            <w:r w:rsidRPr="7C9F70AD">
              <w:rPr>
                <w:color w:val="000000" w:themeColor="text1"/>
                <w:sz w:val="24"/>
                <w:szCs w:val="24"/>
              </w:rPr>
              <w:t>MHA has renewed agreements with the County and Six of Marin County’s major Cities/Towns to service their BMR homeownership and rental portfolios, and to support the recordation of BMR deed restrictions for new developments to satisfy inclusionary ordinances and state density bonus laws.</w:t>
            </w:r>
          </w:p>
        </w:tc>
      </w:tr>
      <w:tr w:rsidR="006807E8" w14:paraId="482F3A95" w14:textId="77777777" w:rsidTr="000C5A6F">
        <w:trPr>
          <w:trHeight w:val="1061"/>
          <w:jc w:val="center"/>
        </w:trPr>
        <w:tc>
          <w:tcPr>
            <w:tcW w:w="0" w:type="auto"/>
            <w:shd w:val="clear" w:color="auto" w:fill="244F50"/>
            <w:vAlign w:val="center"/>
          </w:tcPr>
          <w:p w14:paraId="255A3394" w14:textId="77777777" w:rsidR="006807E8" w:rsidRPr="00DB3A52" w:rsidRDefault="000072CF" w:rsidP="004253A1">
            <w:pPr>
              <w:jc w:val="center"/>
              <w:rPr>
                <w:sz w:val="22"/>
                <w:szCs w:val="32"/>
              </w:rPr>
            </w:pPr>
            <w:r w:rsidRPr="00DB3A52">
              <w:rPr>
                <w:b/>
                <w:color w:val="FFFFFF"/>
                <w:sz w:val="22"/>
                <w:szCs w:val="32"/>
              </w:rPr>
              <w:t>Objective 1.1</w:t>
            </w:r>
          </w:p>
        </w:tc>
        <w:tc>
          <w:tcPr>
            <w:tcW w:w="0" w:type="auto"/>
            <w:shd w:val="clear" w:color="auto" w:fill="F3F1EC"/>
            <w:vAlign w:val="center"/>
          </w:tcPr>
          <w:p w14:paraId="107987F0" w14:textId="77777777" w:rsidR="006807E8" w:rsidRPr="00DB3A52" w:rsidRDefault="000072CF" w:rsidP="004253A1">
            <w:pPr>
              <w:rPr>
                <w:sz w:val="22"/>
                <w:szCs w:val="32"/>
              </w:rPr>
            </w:pPr>
            <w:r w:rsidRPr="00DB3A52">
              <w:rPr>
                <w:b/>
                <w:color w:val="000000"/>
                <w:sz w:val="22"/>
                <w:szCs w:val="32"/>
              </w:rPr>
              <w:t>Advocate for public policy and building regulations that support the development of affordable housing.</w:t>
            </w:r>
          </w:p>
        </w:tc>
        <w:tc>
          <w:tcPr>
            <w:tcW w:w="0" w:type="auto"/>
            <w:vAlign w:val="center"/>
          </w:tcPr>
          <w:p w14:paraId="2160CD7E" w14:textId="77777777" w:rsidR="006807E8" w:rsidRPr="00DB3A52" w:rsidRDefault="000072CF" w:rsidP="004253A1">
            <w:pPr>
              <w:jc w:val="center"/>
              <w:rPr>
                <w:sz w:val="22"/>
                <w:szCs w:val="32"/>
              </w:rPr>
            </w:pPr>
            <w:r w:rsidRPr="00DB3A52">
              <w:rPr>
                <w:b/>
                <w:color w:val="1F4E1F"/>
                <w:sz w:val="22"/>
                <w:szCs w:val="32"/>
              </w:rPr>
              <w:t>Met</w:t>
            </w:r>
          </w:p>
        </w:tc>
        <w:tc>
          <w:tcPr>
            <w:tcW w:w="10758" w:type="dxa"/>
            <w:vAlign w:val="center"/>
          </w:tcPr>
          <w:p w14:paraId="19B8234F" w14:textId="77777777" w:rsidR="006807E8" w:rsidRPr="00DB3A52" w:rsidRDefault="000072CF" w:rsidP="004253A1">
            <w:pPr>
              <w:rPr>
                <w:sz w:val="24"/>
                <w:szCs w:val="24"/>
              </w:rPr>
            </w:pPr>
            <w:r w:rsidRPr="7C9F70AD">
              <w:rPr>
                <w:color w:val="000000" w:themeColor="text1"/>
                <w:sz w:val="24"/>
                <w:szCs w:val="24"/>
              </w:rPr>
              <w:t>In 2025, MHA worked closely with HUD, the State of California, and the County of Marin to reposition GGV. This has required communication regarding historic preservation, parking control, building permits, flood control, and financing.</w:t>
            </w:r>
          </w:p>
        </w:tc>
      </w:tr>
      <w:tr w:rsidR="006807E8" w14:paraId="3B6757E6" w14:textId="77777777" w:rsidTr="000C5A6F">
        <w:trPr>
          <w:trHeight w:val="1849"/>
          <w:jc w:val="center"/>
        </w:trPr>
        <w:tc>
          <w:tcPr>
            <w:tcW w:w="0" w:type="auto"/>
            <w:shd w:val="clear" w:color="auto" w:fill="244F50"/>
            <w:vAlign w:val="center"/>
          </w:tcPr>
          <w:p w14:paraId="56E73866" w14:textId="77777777" w:rsidR="006807E8" w:rsidRPr="00DB3A52" w:rsidRDefault="000072CF" w:rsidP="004253A1">
            <w:pPr>
              <w:jc w:val="center"/>
              <w:rPr>
                <w:sz w:val="22"/>
                <w:szCs w:val="32"/>
              </w:rPr>
            </w:pPr>
            <w:r w:rsidRPr="00DB3A52">
              <w:rPr>
                <w:b/>
                <w:color w:val="FFFFFF"/>
                <w:sz w:val="22"/>
                <w:szCs w:val="32"/>
              </w:rPr>
              <w:t>Objective 1.2</w:t>
            </w:r>
          </w:p>
        </w:tc>
        <w:tc>
          <w:tcPr>
            <w:tcW w:w="0" w:type="auto"/>
            <w:shd w:val="clear" w:color="auto" w:fill="F3F1EC"/>
            <w:vAlign w:val="center"/>
          </w:tcPr>
          <w:p w14:paraId="7F6B8BD3" w14:textId="77777777" w:rsidR="006807E8" w:rsidRPr="00DB3A52" w:rsidRDefault="000072CF" w:rsidP="004253A1">
            <w:pPr>
              <w:rPr>
                <w:sz w:val="22"/>
                <w:szCs w:val="32"/>
              </w:rPr>
            </w:pPr>
            <w:r w:rsidRPr="00DB3A52">
              <w:rPr>
                <w:b/>
                <w:color w:val="000000"/>
                <w:sz w:val="22"/>
                <w:szCs w:val="32"/>
              </w:rPr>
              <w:t>Encourage the addition of more subsidized housing for very low-income tenants.</w:t>
            </w:r>
          </w:p>
        </w:tc>
        <w:tc>
          <w:tcPr>
            <w:tcW w:w="0" w:type="auto"/>
            <w:vAlign w:val="center"/>
          </w:tcPr>
          <w:p w14:paraId="5BE017A2" w14:textId="77777777" w:rsidR="006807E8" w:rsidRPr="00DB3A52" w:rsidRDefault="000072CF" w:rsidP="004253A1">
            <w:pPr>
              <w:jc w:val="center"/>
              <w:rPr>
                <w:sz w:val="22"/>
                <w:szCs w:val="32"/>
              </w:rPr>
            </w:pPr>
            <w:r w:rsidRPr="00DB3A52">
              <w:rPr>
                <w:b/>
                <w:color w:val="1F4E1F"/>
                <w:sz w:val="22"/>
                <w:szCs w:val="32"/>
              </w:rPr>
              <w:t>Met</w:t>
            </w:r>
          </w:p>
        </w:tc>
        <w:tc>
          <w:tcPr>
            <w:tcW w:w="10758" w:type="dxa"/>
            <w:vAlign w:val="center"/>
          </w:tcPr>
          <w:p w14:paraId="3EF796F7" w14:textId="77777777" w:rsidR="006807E8" w:rsidRPr="00DB3A52" w:rsidRDefault="000072CF" w:rsidP="004253A1">
            <w:pPr>
              <w:rPr>
                <w:sz w:val="24"/>
                <w:szCs w:val="24"/>
              </w:rPr>
            </w:pPr>
            <w:r w:rsidRPr="7C9F70AD">
              <w:rPr>
                <w:color w:val="000000" w:themeColor="text1"/>
                <w:sz w:val="24"/>
                <w:szCs w:val="24"/>
              </w:rPr>
              <w:t>The County of Marin provided a $500k Grant, which MHA is leveraging in partnership with Two Valleys Community Land Trust and Rebuilding Together East Bay-North rehabilitation of a new BMR triplex in rural West Marin. Marin Housing is financing the creation of a Junior ADU. The unit will be used as affordable housing, and it is being constructed by local students through a local trades training program.</w:t>
            </w:r>
          </w:p>
        </w:tc>
      </w:tr>
      <w:tr w:rsidR="006807E8" w14:paraId="36F424E7" w14:textId="77777777" w:rsidTr="000C5A6F">
        <w:trPr>
          <w:trHeight w:val="1440"/>
          <w:jc w:val="center"/>
        </w:trPr>
        <w:tc>
          <w:tcPr>
            <w:tcW w:w="0" w:type="auto"/>
            <w:shd w:val="clear" w:color="auto" w:fill="244F50"/>
            <w:vAlign w:val="center"/>
          </w:tcPr>
          <w:p w14:paraId="06A3E80D" w14:textId="77777777" w:rsidR="006807E8" w:rsidRPr="00DB3A52" w:rsidRDefault="000072CF" w:rsidP="004253A1">
            <w:pPr>
              <w:jc w:val="center"/>
              <w:rPr>
                <w:sz w:val="22"/>
                <w:szCs w:val="32"/>
              </w:rPr>
            </w:pPr>
            <w:r w:rsidRPr="00DB3A52">
              <w:rPr>
                <w:b/>
                <w:color w:val="FFFFFF"/>
                <w:sz w:val="22"/>
                <w:szCs w:val="32"/>
              </w:rPr>
              <w:t>Objective 2</w:t>
            </w:r>
          </w:p>
        </w:tc>
        <w:tc>
          <w:tcPr>
            <w:tcW w:w="0" w:type="auto"/>
            <w:shd w:val="clear" w:color="auto" w:fill="F3F1EC"/>
            <w:vAlign w:val="center"/>
          </w:tcPr>
          <w:p w14:paraId="5909F7DD" w14:textId="77777777" w:rsidR="006807E8" w:rsidRPr="00DB3A52" w:rsidRDefault="000072CF" w:rsidP="004253A1">
            <w:pPr>
              <w:rPr>
                <w:sz w:val="22"/>
                <w:szCs w:val="32"/>
              </w:rPr>
            </w:pPr>
            <w:r w:rsidRPr="00DB3A52">
              <w:rPr>
                <w:b/>
                <w:color w:val="000000"/>
                <w:sz w:val="22"/>
                <w:szCs w:val="32"/>
              </w:rPr>
              <w:t>Enhance communication and partnership that MHA staff has developed with County staff and Board</w:t>
            </w:r>
          </w:p>
        </w:tc>
        <w:tc>
          <w:tcPr>
            <w:tcW w:w="0" w:type="auto"/>
            <w:vAlign w:val="center"/>
          </w:tcPr>
          <w:p w14:paraId="6E76BB83" w14:textId="77777777" w:rsidR="006807E8" w:rsidRPr="00DB3A52" w:rsidRDefault="000072CF" w:rsidP="004253A1">
            <w:pPr>
              <w:jc w:val="center"/>
              <w:rPr>
                <w:sz w:val="22"/>
                <w:szCs w:val="32"/>
              </w:rPr>
            </w:pPr>
            <w:r w:rsidRPr="00DB3A52">
              <w:rPr>
                <w:b/>
                <w:color w:val="1F4E1F"/>
                <w:sz w:val="22"/>
                <w:szCs w:val="32"/>
              </w:rPr>
              <w:t>Met</w:t>
            </w:r>
          </w:p>
        </w:tc>
        <w:tc>
          <w:tcPr>
            <w:tcW w:w="10758" w:type="dxa"/>
            <w:vAlign w:val="center"/>
          </w:tcPr>
          <w:p w14:paraId="5C0495D0" w14:textId="77777777" w:rsidR="006807E8" w:rsidRPr="00DB3A52" w:rsidRDefault="000072CF" w:rsidP="004253A1">
            <w:pPr>
              <w:rPr>
                <w:sz w:val="24"/>
                <w:szCs w:val="24"/>
              </w:rPr>
            </w:pPr>
            <w:r w:rsidRPr="7C9F70AD">
              <w:rPr>
                <w:color w:val="000000" w:themeColor="text1"/>
                <w:sz w:val="24"/>
                <w:szCs w:val="24"/>
              </w:rPr>
              <w:t>Regularly scheduled meetings with the County Executive, County Counsel, and the Board of Commissioners individually, in sub-committees and strengthened communication and working relationships with County Office of Emergency Services and partners.</w:t>
            </w:r>
          </w:p>
        </w:tc>
      </w:tr>
      <w:tr w:rsidR="006807E8" w14:paraId="229BEC3C" w14:textId="77777777" w:rsidTr="000C5A6F">
        <w:trPr>
          <w:trHeight w:val="1041"/>
          <w:jc w:val="center"/>
        </w:trPr>
        <w:tc>
          <w:tcPr>
            <w:tcW w:w="0" w:type="auto"/>
            <w:shd w:val="clear" w:color="auto" w:fill="244F50"/>
            <w:vAlign w:val="center"/>
          </w:tcPr>
          <w:p w14:paraId="4F3891AD" w14:textId="77777777" w:rsidR="006807E8" w:rsidRPr="00DB3A52" w:rsidRDefault="000072CF" w:rsidP="004253A1">
            <w:pPr>
              <w:jc w:val="center"/>
              <w:rPr>
                <w:sz w:val="22"/>
                <w:szCs w:val="32"/>
              </w:rPr>
            </w:pPr>
            <w:r w:rsidRPr="00DB3A52">
              <w:rPr>
                <w:b/>
                <w:color w:val="FFFFFF"/>
                <w:sz w:val="22"/>
                <w:szCs w:val="32"/>
              </w:rPr>
              <w:t>Objective 3</w:t>
            </w:r>
          </w:p>
        </w:tc>
        <w:tc>
          <w:tcPr>
            <w:tcW w:w="0" w:type="auto"/>
            <w:shd w:val="clear" w:color="auto" w:fill="F3F1EC"/>
            <w:vAlign w:val="center"/>
          </w:tcPr>
          <w:p w14:paraId="483978EE" w14:textId="77777777" w:rsidR="006807E8" w:rsidRPr="00DB3A52" w:rsidRDefault="000072CF" w:rsidP="004253A1">
            <w:pPr>
              <w:rPr>
                <w:sz w:val="22"/>
                <w:szCs w:val="32"/>
              </w:rPr>
            </w:pPr>
            <w:r w:rsidRPr="00DB3A52">
              <w:rPr>
                <w:b/>
                <w:color w:val="000000"/>
                <w:sz w:val="22"/>
                <w:szCs w:val="32"/>
              </w:rPr>
              <w:t>Continue communication with cities through the BMR program</w:t>
            </w:r>
          </w:p>
        </w:tc>
        <w:tc>
          <w:tcPr>
            <w:tcW w:w="0" w:type="auto"/>
            <w:vAlign w:val="center"/>
          </w:tcPr>
          <w:p w14:paraId="5FE12F8E" w14:textId="77777777" w:rsidR="006807E8" w:rsidRPr="00DB3A52" w:rsidRDefault="000072CF" w:rsidP="004253A1">
            <w:pPr>
              <w:jc w:val="center"/>
              <w:rPr>
                <w:sz w:val="22"/>
                <w:szCs w:val="32"/>
              </w:rPr>
            </w:pPr>
            <w:r w:rsidRPr="00DB3A52">
              <w:rPr>
                <w:b/>
                <w:color w:val="1F4E1F"/>
                <w:sz w:val="22"/>
                <w:szCs w:val="32"/>
              </w:rPr>
              <w:t>Met</w:t>
            </w:r>
          </w:p>
        </w:tc>
        <w:tc>
          <w:tcPr>
            <w:tcW w:w="10758" w:type="dxa"/>
            <w:vAlign w:val="center"/>
          </w:tcPr>
          <w:p w14:paraId="5CEA4668" w14:textId="77777777" w:rsidR="006807E8" w:rsidRPr="00DB3A52" w:rsidRDefault="000072CF" w:rsidP="004253A1">
            <w:pPr>
              <w:rPr>
                <w:sz w:val="24"/>
                <w:szCs w:val="24"/>
              </w:rPr>
            </w:pPr>
            <w:r w:rsidRPr="7C9F70AD">
              <w:rPr>
                <w:color w:val="000000" w:themeColor="text1"/>
                <w:sz w:val="24"/>
                <w:szCs w:val="24"/>
              </w:rPr>
              <w:t>MHA has contracts with 7 jurisdictions within Marin County to administer their BMR programs and monitor their BMR units. The program manager provides ongoing communication at Board and City Council meetings.</w:t>
            </w:r>
          </w:p>
        </w:tc>
      </w:tr>
    </w:tbl>
    <w:p w14:paraId="1BDDB4C4" w14:textId="15C0C3FA" w:rsidR="008A7C13" w:rsidRPr="008A7C13" w:rsidRDefault="008A7C13" w:rsidP="008A7C13">
      <w:pPr>
        <w:tabs>
          <w:tab w:val="left" w:pos="5325"/>
        </w:tabs>
        <w:rPr>
          <w:sz w:val="24"/>
          <w:szCs w:val="32"/>
        </w:rPr>
      </w:pPr>
    </w:p>
    <w:sectPr w:rsidR="008A7C13" w:rsidRPr="008A7C13" w:rsidSect="003C0700">
      <w:headerReference w:type="default" r:id="rId8"/>
      <w:footerReference w:type="default" r:id="rId9"/>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1E35" w14:textId="77777777" w:rsidR="000072CF" w:rsidRDefault="000072CF">
      <w:pPr>
        <w:spacing w:after="0" w:line="240" w:lineRule="auto"/>
      </w:pPr>
      <w:r>
        <w:separator/>
      </w:r>
    </w:p>
  </w:endnote>
  <w:endnote w:type="continuationSeparator" w:id="0">
    <w:p w14:paraId="6E82FBAC" w14:textId="77777777" w:rsidR="000072CF" w:rsidRDefault="0000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121162"/>
      <w:docPartObj>
        <w:docPartGallery w:val="Page Numbers (Bottom of Page)"/>
        <w:docPartUnique/>
      </w:docPartObj>
    </w:sdtPr>
    <w:sdtEndPr>
      <w:rPr>
        <w:color w:val="7F7F7F" w:themeColor="background1" w:themeShade="7F"/>
        <w:spacing w:val="60"/>
      </w:rPr>
    </w:sdtEndPr>
    <w:sdtContent>
      <w:p w14:paraId="68DC47C7" w14:textId="3D2EB03B" w:rsidR="002D1B73" w:rsidRDefault="002D1B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C39B1F" w14:textId="77777777" w:rsidR="00AF20B1" w:rsidRPr="00AF20B1" w:rsidRDefault="00AF20B1" w:rsidP="00AF20B1">
    <w:pPr>
      <w:tabs>
        <w:tab w:val="center" w:pos="4680"/>
        <w:tab w:val="right" w:pos="9360"/>
      </w:tabs>
      <w:spacing w:after="0" w:line="240" w:lineRule="auto"/>
      <w:jc w:val="center"/>
      <w:rPr>
        <w:b/>
        <w:bCs/>
        <w:color w:val="A64F24"/>
        <w:sz w:val="24"/>
        <w:szCs w:val="32"/>
      </w:rPr>
    </w:pPr>
    <w:r w:rsidRPr="00AF20B1">
      <w:rPr>
        <w:b/>
        <w:bCs/>
        <w:color w:val="A64F24"/>
        <w:sz w:val="22"/>
        <w:szCs w:val="32"/>
      </w:rPr>
      <w:t>Marin Housing Authority | Making Housing More Affordable</w:t>
    </w:r>
  </w:p>
  <w:p w14:paraId="4F68CF18" w14:textId="0C780E27" w:rsidR="006807E8" w:rsidRDefault="006807E8" w:rsidP="00AF20B1">
    <w:pPr>
      <w:pStyle w:val="Footer"/>
      <w:tabs>
        <w:tab w:val="left" w:pos="459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20FD" w14:textId="77777777" w:rsidR="000072CF" w:rsidRDefault="000072CF">
      <w:pPr>
        <w:spacing w:after="0" w:line="240" w:lineRule="auto"/>
      </w:pPr>
      <w:r>
        <w:separator/>
      </w:r>
    </w:p>
  </w:footnote>
  <w:footnote w:type="continuationSeparator" w:id="0">
    <w:p w14:paraId="1229EFE7" w14:textId="77777777" w:rsidR="000072CF" w:rsidRDefault="00007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4DF1" w14:textId="37C1364E" w:rsidR="003D108D" w:rsidRDefault="003D108D" w:rsidP="0015086F">
    <w:pPr>
      <w:pStyle w:val="Header"/>
    </w:pPr>
    <w:r>
      <w:rPr>
        <w:noProof/>
      </w:rPr>
      <w:drawing>
        <wp:anchor distT="0" distB="0" distL="114300" distR="114300" simplePos="0" relativeHeight="251658240" behindDoc="0" locked="0" layoutInCell="1" allowOverlap="1" wp14:anchorId="3CEDDE50" wp14:editId="51115DD1">
          <wp:simplePos x="0" y="0"/>
          <wp:positionH relativeFrom="column">
            <wp:posOffset>9897745</wp:posOffset>
          </wp:positionH>
          <wp:positionV relativeFrom="paragraph">
            <wp:posOffset>-248920</wp:posOffset>
          </wp:positionV>
          <wp:extent cx="1051560" cy="880745"/>
          <wp:effectExtent l="0" t="0" r="0" b="0"/>
          <wp:wrapTopAndBottom/>
          <wp:docPr id="244510570" name="Picture 24451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a:fillRect/>
                  </a:stretch>
                </pic:blipFill>
                <pic:spPr>
                  <a:xfrm>
                    <a:off x="0" y="0"/>
                    <a:ext cx="1051560" cy="880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E1BAB8"/>
    <w:multiLevelType w:val="hybridMultilevel"/>
    <w:tmpl w:val="FFFFFFFF"/>
    <w:lvl w:ilvl="0" w:tplc="70A86E06">
      <w:start w:val="1"/>
      <w:numFmt w:val="bullet"/>
      <w:lvlText w:val=""/>
      <w:lvlJc w:val="left"/>
      <w:pPr>
        <w:ind w:left="720" w:hanging="360"/>
      </w:pPr>
      <w:rPr>
        <w:rFonts w:ascii="Symbol" w:hAnsi="Symbol" w:hint="default"/>
      </w:rPr>
    </w:lvl>
    <w:lvl w:ilvl="1" w:tplc="33629DB2">
      <w:start w:val="1"/>
      <w:numFmt w:val="bullet"/>
      <w:lvlText w:val="o"/>
      <w:lvlJc w:val="left"/>
      <w:pPr>
        <w:ind w:left="1440" w:hanging="360"/>
      </w:pPr>
      <w:rPr>
        <w:rFonts w:ascii="Courier New" w:hAnsi="Courier New" w:hint="default"/>
      </w:rPr>
    </w:lvl>
    <w:lvl w:ilvl="2" w:tplc="3FA8805C">
      <w:start w:val="1"/>
      <w:numFmt w:val="bullet"/>
      <w:lvlText w:val=""/>
      <w:lvlJc w:val="left"/>
      <w:pPr>
        <w:ind w:left="2160" w:hanging="360"/>
      </w:pPr>
      <w:rPr>
        <w:rFonts w:ascii="Wingdings" w:hAnsi="Wingdings" w:hint="default"/>
      </w:rPr>
    </w:lvl>
    <w:lvl w:ilvl="3" w:tplc="C7A6DFC4">
      <w:start w:val="1"/>
      <w:numFmt w:val="bullet"/>
      <w:lvlText w:val=""/>
      <w:lvlJc w:val="left"/>
      <w:pPr>
        <w:ind w:left="2880" w:hanging="360"/>
      </w:pPr>
      <w:rPr>
        <w:rFonts w:ascii="Symbol" w:hAnsi="Symbol" w:hint="default"/>
      </w:rPr>
    </w:lvl>
    <w:lvl w:ilvl="4" w:tplc="0BE01454">
      <w:start w:val="1"/>
      <w:numFmt w:val="bullet"/>
      <w:lvlText w:val="o"/>
      <w:lvlJc w:val="left"/>
      <w:pPr>
        <w:ind w:left="3600" w:hanging="360"/>
      </w:pPr>
      <w:rPr>
        <w:rFonts w:ascii="Courier New" w:hAnsi="Courier New" w:hint="default"/>
      </w:rPr>
    </w:lvl>
    <w:lvl w:ilvl="5" w:tplc="175A5438">
      <w:start w:val="1"/>
      <w:numFmt w:val="bullet"/>
      <w:lvlText w:val=""/>
      <w:lvlJc w:val="left"/>
      <w:pPr>
        <w:ind w:left="4320" w:hanging="360"/>
      </w:pPr>
      <w:rPr>
        <w:rFonts w:ascii="Wingdings" w:hAnsi="Wingdings" w:hint="default"/>
      </w:rPr>
    </w:lvl>
    <w:lvl w:ilvl="6" w:tplc="5F523EDA">
      <w:start w:val="1"/>
      <w:numFmt w:val="bullet"/>
      <w:lvlText w:val=""/>
      <w:lvlJc w:val="left"/>
      <w:pPr>
        <w:ind w:left="5040" w:hanging="360"/>
      </w:pPr>
      <w:rPr>
        <w:rFonts w:ascii="Symbol" w:hAnsi="Symbol" w:hint="default"/>
      </w:rPr>
    </w:lvl>
    <w:lvl w:ilvl="7" w:tplc="B2004CE8">
      <w:start w:val="1"/>
      <w:numFmt w:val="bullet"/>
      <w:lvlText w:val="o"/>
      <w:lvlJc w:val="left"/>
      <w:pPr>
        <w:ind w:left="5760" w:hanging="360"/>
      </w:pPr>
      <w:rPr>
        <w:rFonts w:ascii="Courier New" w:hAnsi="Courier New" w:hint="default"/>
      </w:rPr>
    </w:lvl>
    <w:lvl w:ilvl="8" w:tplc="AF2830A2">
      <w:start w:val="1"/>
      <w:numFmt w:val="bullet"/>
      <w:lvlText w:val=""/>
      <w:lvlJc w:val="left"/>
      <w:pPr>
        <w:ind w:left="6480" w:hanging="360"/>
      </w:pPr>
      <w:rPr>
        <w:rFonts w:ascii="Wingdings" w:hAnsi="Wingdings" w:hint="default"/>
      </w:rPr>
    </w:lvl>
  </w:abstractNum>
  <w:num w:numId="1" w16cid:durableId="2078165899">
    <w:abstractNumId w:val="8"/>
  </w:num>
  <w:num w:numId="2" w16cid:durableId="384261344">
    <w:abstractNumId w:val="6"/>
  </w:num>
  <w:num w:numId="3" w16cid:durableId="2046635436">
    <w:abstractNumId w:val="5"/>
  </w:num>
  <w:num w:numId="4" w16cid:durableId="2036887435">
    <w:abstractNumId w:val="4"/>
  </w:num>
  <w:num w:numId="5" w16cid:durableId="1608611427">
    <w:abstractNumId w:val="7"/>
  </w:num>
  <w:num w:numId="6" w16cid:durableId="936487">
    <w:abstractNumId w:val="3"/>
  </w:num>
  <w:num w:numId="7" w16cid:durableId="616453566">
    <w:abstractNumId w:val="2"/>
  </w:num>
  <w:num w:numId="8" w16cid:durableId="703406763">
    <w:abstractNumId w:val="1"/>
  </w:num>
  <w:num w:numId="9" w16cid:durableId="1392773764">
    <w:abstractNumId w:val="0"/>
  </w:num>
  <w:num w:numId="10" w16cid:durableId="1048533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2CF"/>
    <w:rsid w:val="000147F7"/>
    <w:rsid w:val="000249A2"/>
    <w:rsid w:val="00025457"/>
    <w:rsid w:val="00034616"/>
    <w:rsid w:val="0006063C"/>
    <w:rsid w:val="00061F5F"/>
    <w:rsid w:val="00065BBE"/>
    <w:rsid w:val="00077BEE"/>
    <w:rsid w:val="000A2019"/>
    <w:rsid w:val="000A7303"/>
    <w:rsid w:val="000C5A6F"/>
    <w:rsid w:val="000E47E8"/>
    <w:rsid w:val="000E640B"/>
    <w:rsid w:val="000F4DDE"/>
    <w:rsid w:val="001130DE"/>
    <w:rsid w:val="001131DD"/>
    <w:rsid w:val="00114EDE"/>
    <w:rsid w:val="00116756"/>
    <w:rsid w:val="00122F15"/>
    <w:rsid w:val="00127B89"/>
    <w:rsid w:val="00132E9E"/>
    <w:rsid w:val="0015074B"/>
    <w:rsid w:val="0015086F"/>
    <w:rsid w:val="00167770"/>
    <w:rsid w:val="001728D2"/>
    <w:rsid w:val="00173691"/>
    <w:rsid w:val="00176FA5"/>
    <w:rsid w:val="0019041B"/>
    <w:rsid w:val="001921F7"/>
    <w:rsid w:val="001C7A5F"/>
    <w:rsid w:val="001D109E"/>
    <w:rsid w:val="001D3C61"/>
    <w:rsid w:val="0020108F"/>
    <w:rsid w:val="0020541F"/>
    <w:rsid w:val="00207BBD"/>
    <w:rsid w:val="00212030"/>
    <w:rsid w:val="002141A1"/>
    <w:rsid w:val="00217F44"/>
    <w:rsid w:val="002372B3"/>
    <w:rsid w:val="00256629"/>
    <w:rsid w:val="00257A26"/>
    <w:rsid w:val="00264654"/>
    <w:rsid w:val="00264A2C"/>
    <w:rsid w:val="0026784D"/>
    <w:rsid w:val="0028483C"/>
    <w:rsid w:val="00285E6F"/>
    <w:rsid w:val="0029639D"/>
    <w:rsid w:val="002B244A"/>
    <w:rsid w:val="002D1B73"/>
    <w:rsid w:val="002E65DD"/>
    <w:rsid w:val="00301CBB"/>
    <w:rsid w:val="00324031"/>
    <w:rsid w:val="00326F90"/>
    <w:rsid w:val="00333EF4"/>
    <w:rsid w:val="00372B36"/>
    <w:rsid w:val="0037355C"/>
    <w:rsid w:val="00376989"/>
    <w:rsid w:val="00383E1D"/>
    <w:rsid w:val="00384F24"/>
    <w:rsid w:val="00387B95"/>
    <w:rsid w:val="003A329F"/>
    <w:rsid w:val="003B00DB"/>
    <w:rsid w:val="003B21D3"/>
    <w:rsid w:val="003B27D0"/>
    <w:rsid w:val="003B73F8"/>
    <w:rsid w:val="003C0700"/>
    <w:rsid w:val="003C397D"/>
    <w:rsid w:val="003C6698"/>
    <w:rsid w:val="003C7B46"/>
    <w:rsid w:val="003D108D"/>
    <w:rsid w:val="003D2871"/>
    <w:rsid w:val="003D3BB8"/>
    <w:rsid w:val="003F0D14"/>
    <w:rsid w:val="0040262F"/>
    <w:rsid w:val="004027EB"/>
    <w:rsid w:val="004150AC"/>
    <w:rsid w:val="00415EC5"/>
    <w:rsid w:val="00422712"/>
    <w:rsid w:val="00424DC0"/>
    <w:rsid w:val="004253A1"/>
    <w:rsid w:val="00432200"/>
    <w:rsid w:val="00442F40"/>
    <w:rsid w:val="0044472F"/>
    <w:rsid w:val="00456542"/>
    <w:rsid w:val="00457CCC"/>
    <w:rsid w:val="00460A85"/>
    <w:rsid w:val="0046385D"/>
    <w:rsid w:val="004951EE"/>
    <w:rsid w:val="004966BF"/>
    <w:rsid w:val="004B2FEE"/>
    <w:rsid w:val="004C54BC"/>
    <w:rsid w:val="00515DCC"/>
    <w:rsid w:val="0052716B"/>
    <w:rsid w:val="00531FFE"/>
    <w:rsid w:val="00536D96"/>
    <w:rsid w:val="0054593C"/>
    <w:rsid w:val="00553579"/>
    <w:rsid w:val="00563FC7"/>
    <w:rsid w:val="005802D4"/>
    <w:rsid w:val="005A5EA5"/>
    <w:rsid w:val="005C0D44"/>
    <w:rsid w:val="005C6098"/>
    <w:rsid w:val="005D79AA"/>
    <w:rsid w:val="005D7E3B"/>
    <w:rsid w:val="005F27E0"/>
    <w:rsid w:val="005F5A6C"/>
    <w:rsid w:val="0060052E"/>
    <w:rsid w:val="00601CFB"/>
    <w:rsid w:val="006401D2"/>
    <w:rsid w:val="00650577"/>
    <w:rsid w:val="006807E8"/>
    <w:rsid w:val="00687230"/>
    <w:rsid w:val="006A3975"/>
    <w:rsid w:val="006B6586"/>
    <w:rsid w:val="006C471E"/>
    <w:rsid w:val="006F16F8"/>
    <w:rsid w:val="006F6FB5"/>
    <w:rsid w:val="007132DC"/>
    <w:rsid w:val="00723EEF"/>
    <w:rsid w:val="00733C11"/>
    <w:rsid w:val="00735BB7"/>
    <w:rsid w:val="00773B71"/>
    <w:rsid w:val="0077436E"/>
    <w:rsid w:val="0078331B"/>
    <w:rsid w:val="007861BE"/>
    <w:rsid w:val="00790D8E"/>
    <w:rsid w:val="007A68DE"/>
    <w:rsid w:val="007B663A"/>
    <w:rsid w:val="007D418E"/>
    <w:rsid w:val="007E142F"/>
    <w:rsid w:val="00806CFC"/>
    <w:rsid w:val="00816DC7"/>
    <w:rsid w:val="00817BAC"/>
    <w:rsid w:val="00820AFB"/>
    <w:rsid w:val="00821F30"/>
    <w:rsid w:val="008224A8"/>
    <w:rsid w:val="00864BBF"/>
    <w:rsid w:val="00887A82"/>
    <w:rsid w:val="00894B34"/>
    <w:rsid w:val="008A08D7"/>
    <w:rsid w:val="008A0969"/>
    <w:rsid w:val="008A4E79"/>
    <w:rsid w:val="008A7C13"/>
    <w:rsid w:val="008C3A7D"/>
    <w:rsid w:val="008C3C02"/>
    <w:rsid w:val="008C7920"/>
    <w:rsid w:val="008D3020"/>
    <w:rsid w:val="008D58A1"/>
    <w:rsid w:val="008F0692"/>
    <w:rsid w:val="008F43E0"/>
    <w:rsid w:val="009110F1"/>
    <w:rsid w:val="0092753C"/>
    <w:rsid w:val="0093723F"/>
    <w:rsid w:val="00951D47"/>
    <w:rsid w:val="00953800"/>
    <w:rsid w:val="00955DB0"/>
    <w:rsid w:val="00964BCB"/>
    <w:rsid w:val="00964CA6"/>
    <w:rsid w:val="0097683E"/>
    <w:rsid w:val="009B423B"/>
    <w:rsid w:val="009F28EE"/>
    <w:rsid w:val="00A14F99"/>
    <w:rsid w:val="00A1523D"/>
    <w:rsid w:val="00A17CC0"/>
    <w:rsid w:val="00A274E4"/>
    <w:rsid w:val="00A312BA"/>
    <w:rsid w:val="00A43F4F"/>
    <w:rsid w:val="00A45C47"/>
    <w:rsid w:val="00A61B25"/>
    <w:rsid w:val="00A91DA4"/>
    <w:rsid w:val="00A956EE"/>
    <w:rsid w:val="00AA1D8D"/>
    <w:rsid w:val="00AA376C"/>
    <w:rsid w:val="00AD6492"/>
    <w:rsid w:val="00AE2D9B"/>
    <w:rsid w:val="00AF20B1"/>
    <w:rsid w:val="00AF458F"/>
    <w:rsid w:val="00B064AB"/>
    <w:rsid w:val="00B11217"/>
    <w:rsid w:val="00B3407C"/>
    <w:rsid w:val="00B41824"/>
    <w:rsid w:val="00B47730"/>
    <w:rsid w:val="00B5060D"/>
    <w:rsid w:val="00B53F73"/>
    <w:rsid w:val="00B659E2"/>
    <w:rsid w:val="00B93960"/>
    <w:rsid w:val="00B953AD"/>
    <w:rsid w:val="00BA717C"/>
    <w:rsid w:val="00BC5064"/>
    <w:rsid w:val="00BD235D"/>
    <w:rsid w:val="00BD2B31"/>
    <w:rsid w:val="00BD6C89"/>
    <w:rsid w:val="00C23F7B"/>
    <w:rsid w:val="00C256E5"/>
    <w:rsid w:val="00C27FF7"/>
    <w:rsid w:val="00C3092B"/>
    <w:rsid w:val="00C35301"/>
    <w:rsid w:val="00C37271"/>
    <w:rsid w:val="00C6275A"/>
    <w:rsid w:val="00C63B10"/>
    <w:rsid w:val="00C90FEC"/>
    <w:rsid w:val="00C9378A"/>
    <w:rsid w:val="00CA23E4"/>
    <w:rsid w:val="00CB0664"/>
    <w:rsid w:val="00D21EB3"/>
    <w:rsid w:val="00D23D97"/>
    <w:rsid w:val="00D36C08"/>
    <w:rsid w:val="00D436F8"/>
    <w:rsid w:val="00D50AA7"/>
    <w:rsid w:val="00D64492"/>
    <w:rsid w:val="00D65A78"/>
    <w:rsid w:val="00D667F8"/>
    <w:rsid w:val="00D66C14"/>
    <w:rsid w:val="00D76DE4"/>
    <w:rsid w:val="00D95A33"/>
    <w:rsid w:val="00D96831"/>
    <w:rsid w:val="00DA3887"/>
    <w:rsid w:val="00DA6497"/>
    <w:rsid w:val="00DB3A52"/>
    <w:rsid w:val="00DB3EFA"/>
    <w:rsid w:val="00DB5BC1"/>
    <w:rsid w:val="00DC183E"/>
    <w:rsid w:val="00DC2988"/>
    <w:rsid w:val="00DC66FA"/>
    <w:rsid w:val="00DD221D"/>
    <w:rsid w:val="00E14B30"/>
    <w:rsid w:val="00E24247"/>
    <w:rsid w:val="00E31E79"/>
    <w:rsid w:val="00E863D5"/>
    <w:rsid w:val="00EA26E4"/>
    <w:rsid w:val="00EB7BA1"/>
    <w:rsid w:val="00EC58C1"/>
    <w:rsid w:val="00ED1AB6"/>
    <w:rsid w:val="00EE3718"/>
    <w:rsid w:val="00EF64C1"/>
    <w:rsid w:val="00F019F9"/>
    <w:rsid w:val="00F27BD1"/>
    <w:rsid w:val="00F3369F"/>
    <w:rsid w:val="00F47F4D"/>
    <w:rsid w:val="00F7224D"/>
    <w:rsid w:val="00F72946"/>
    <w:rsid w:val="00F84FB1"/>
    <w:rsid w:val="00F91402"/>
    <w:rsid w:val="00F94953"/>
    <w:rsid w:val="00F97C8D"/>
    <w:rsid w:val="00FB0B10"/>
    <w:rsid w:val="00FB30D0"/>
    <w:rsid w:val="00FC693F"/>
    <w:rsid w:val="00FE4A7B"/>
    <w:rsid w:val="00FF627D"/>
    <w:rsid w:val="05B123E9"/>
    <w:rsid w:val="079D5683"/>
    <w:rsid w:val="096B8A64"/>
    <w:rsid w:val="0E1E5187"/>
    <w:rsid w:val="188A61CD"/>
    <w:rsid w:val="1CA2E5B8"/>
    <w:rsid w:val="3227CEF7"/>
    <w:rsid w:val="3319F83A"/>
    <w:rsid w:val="3399C33C"/>
    <w:rsid w:val="344C0427"/>
    <w:rsid w:val="349A17C7"/>
    <w:rsid w:val="3A766730"/>
    <w:rsid w:val="4C02AB76"/>
    <w:rsid w:val="4DFBD226"/>
    <w:rsid w:val="5F5EBE47"/>
    <w:rsid w:val="5FA44B23"/>
    <w:rsid w:val="654E2C59"/>
    <w:rsid w:val="66B778E0"/>
    <w:rsid w:val="7C9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5F2535"/>
  <w14:defaultImageDpi w14:val="300"/>
  <w15:docId w15:val="{87665EA0-E79B-4561-A8B1-580908F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3F3F3F"/>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Light">
    <w:name w:val="Grid Table Light"/>
    <w:basedOn w:val="TableNormal"/>
    <w:uiPriority w:val="99"/>
    <w:rsid w:val="005F5A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Ricki DeArmon</cp:lastModifiedBy>
  <cp:revision>2</cp:revision>
  <cp:lastPrinted>2026-05-28T23:06:00Z</cp:lastPrinted>
  <dcterms:created xsi:type="dcterms:W3CDTF">2026-05-29T18:07:00Z</dcterms:created>
  <dcterms:modified xsi:type="dcterms:W3CDTF">2026-05-29T18:07:00Z</dcterms:modified>
  <cp:category/>
</cp:coreProperties>
</file>