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6584C" w14:textId="77777777" w:rsidR="00301C5F" w:rsidRDefault="00D26003" w:rsidP="00D26003">
      <w:pPr>
        <w:pStyle w:val="Normal0"/>
        <w:rPr>
          <w:rFonts w:ascii="Tahoma" w:eastAsia="Tahoma" w:hAnsi="Tahoma" w:cs="Tahoma"/>
          <w:b/>
          <w:bCs/>
        </w:rPr>
      </w:pPr>
      <w:r>
        <w:rPr>
          <w:rFonts w:ascii="Tahoma" w:eastAsia="Tahoma" w:hAnsi="Tahoma" w:cs="Tahoma"/>
          <w:noProof/>
          <w:sz w:val="20"/>
          <w:szCs w:val="20"/>
        </w:rPr>
        <w:drawing>
          <wp:anchor distT="0" distB="0" distL="114300" distR="114300" simplePos="0" relativeHeight="251658240" behindDoc="1" locked="0" layoutInCell="1" allowOverlap="1" wp14:anchorId="31DD627E" wp14:editId="15185ADC">
            <wp:simplePos x="0" y="0"/>
            <wp:positionH relativeFrom="page">
              <wp:posOffset>735557</wp:posOffset>
            </wp:positionH>
            <wp:positionV relativeFrom="page">
              <wp:posOffset>675565</wp:posOffset>
            </wp:positionV>
            <wp:extent cx="3201822" cy="736979"/>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3201822" cy="736979"/>
                    </a:xfrm>
                    <a:prstGeom prst="rect">
                      <a:avLst/>
                    </a:prstGeom>
                    <a:noFill/>
                    <a:ln>
                      <a:noFill/>
                    </a:ln>
                  </pic:spPr>
                </pic:pic>
              </a:graphicData>
            </a:graphic>
          </wp:anchor>
        </w:drawing>
      </w:r>
      <w:r w:rsidR="009071D2">
        <w:rPr>
          <w:rFonts w:ascii="Tahoma" w:eastAsia="Tahoma" w:hAnsi="Tahoma" w:cs="Tahoma"/>
          <w:b/>
          <w:bCs/>
        </w:rPr>
        <w:t xml:space="preserve">        </w:t>
      </w:r>
      <w:r w:rsidR="007C32A1">
        <w:rPr>
          <w:rFonts w:ascii="Tahoma" w:eastAsia="Tahoma" w:hAnsi="Tahoma" w:cs="Tahoma"/>
          <w:b/>
          <w:bCs/>
        </w:rPr>
        <w:tab/>
      </w:r>
      <w:r w:rsidR="007C32A1">
        <w:rPr>
          <w:rFonts w:ascii="Tahoma" w:eastAsia="Tahoma" w:hAnsi="Tahoma" w:cs="Tahoma"/>
          <w:b/>
          <w:bCs/>
        </w:rPr>
        <w:tab/>
      </w:r>
      <w:r w:rsidR="007C32A1">
        <w:rPr>
          <w:rFonts w:ascii="Tahoma" w:eastAsia="Tahoma" w:hAnsi="Tahoma" w:cs="Tahoma"/>
          <w:b/>
          <w:bCs/>
        </w:rPr>
        <w:tab/>
      </w:r>
      <w:r w:rsidR="007C32A1">
        <w:rPr>
          <w:rFonts w:ascii="Tahoma" w:eastAsia="Tahoma" w:hAnsi="Tahoma" w:cs="Tahoma"/>
          <w:b/>
          <w:bCs/>
        </w:rPr>
        <w:tab/>
      </w:r>
      <w:r w:rsidR="007C32A1">
        <w:rPr>
          <w:rFonts w:ascii="Tahoma" w:eastAsia="Tahoma" w:hAnsi="Tahoma" w:cs="Tahoma"/>
          <w:b/>
          <w:bCs/>
        </w:rPr>
        <w:tab/>
      </w:r>
      <w:r w:rsidR="007C32A1">
        <w:rPr>
          <w:rFonts w:ascii="Tahoma" w:eastAsia="Tahoma" w:hAnsi="Tahoma" w:cs="Tahoma"/>
          <w:b/>
          <w:bCs/>
        </w:rPr>
        <w:tab/>
      </w:r>
      <w:r w:rsidR="007C32A1">
        <w:rPr>
          <w:rFonts w:ascii="Tahoma" w:eastAsia="Tahoma" w:hAnsi="Tahoma" w:cs="Tahoma"/>
          <w:b/>
          <w:bCs/>
        </w:rPr>
        <w:tab/>
        <w:t xml:space="preserve">     </w:t>
      </w:r>
      <w:r w:rsidR="007C32A1">
        <w:rPr>
          <w:rFonts w:ascii="Tahoma" w:eastAsia="Tahoma" w:hAnsi="Tahoma" w:cs="Tahoma"/>
          <w:b/>
          <w:bCs/>
        </w:rPr>
        <w:tab/>
        <w:t xml:space="preserve">       </w:t>
      </w:r>
      <w:r w:rsidR="00062BE4">
        <w:rPr>
          <w:rFonts w:ascii="Tahoma" w:eastAsia="Tahoma" w:hAnsi="Tahoma" w:cs="Tahoma"/>
          <w:b/>
          <w:bCs/>
        </w:rPr>
        <w:t>Mark A. Massey, D.D.S., M.S.D.</w:t>
      </w:r>
    </w:p>
    <w:p w14:paraId="4DA324E5" w14:textId="6CBB4582" w:rsidR="00301C5F" w:rsidRDefault="00301C5F" w:rsidP="00301C5F">
      <w:pPr>
        <w:pStyle w:val="Normal0"/>
        <w:tabs>
          <w:tab w:val="left" w:pos="6150"/>
        </w:tabs>
        <w:rPr>
          <w:rFonts w:ascii="Tahoma" w:eastAsia="Tahoma" w:hAnsi="Tahoma" w:cs="Tahoma"/>
          <w:b/>
          <w:bCs/>
        </w:rPr>
      </w:pPr>
    </w:p>
    <w:p w14:paraId="342B82C6" w14:textId="1BA615E8" w:rsidR="00AC610E" w:rsidRDefault="007C32A1" w:rsidP="00D26003">
      <w:pPr>
        <w:pStyle w:val="Normal0"/>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D26003">
        <w:rPr>
          <w:rFonts w:ascii="Tahoma" w:eastAsia="Tahoma" w:hAnsi="Tahoma" w:cs="Tahoma"/>
          <w:sz w:val="20"/>
          <w:szCs w:val="20"/>
        </w:rPr>
        <w:tab/>
      </w:r>
      <w:r>
        <w:rPr>
          <w:rFonts w:ascii="Tahoma" w:eastAsia="Tahoma" w:hAnsi="Tahoma" w:cs="Tahoma"/>
          <w:sz w:val="20"/>
          <w:szCs w:val="20"/>
        </w:rPr>
        <w:t xml:space="preserve"> </w:t>
      </w:r>
      <w:r w:rsidR="00062BE4">
        <w:rPr>
          <w:rFonts w:ascii="Tahoma" w:eastAsia="Tahoma" w:hAnsi="Tahoma" w:cs="Tahoma"/>
          <w:sz w:val="20"/>
          <w:szCs w:val="20"/>
        </w:rPr>
        <w:t>2808 S. Ingram Mill Rd., Bldg. C-108</w:t>
      </w:r>
    </w:p>
    <w:p w14:paraId="0444A5FF" w14:textId="77777777" w:rsidR="00AC610E" w:rsidRDefault="007C32A1" w:rsidP="009071D2">
      <w:pPr>
        <w:pStyle w:val="Normal0"/>
        <w:tabs>
          <w:tab w:val="left" w:pos="720"/>
        </w:tabs>
        <w:ind w:left="720" w:right="720"/>
        <w:jc w:val="cente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 xml:space="preserve">           </w:t>
      </w:r>
      <w:r w:rsidR="00062BE4">
        <w:rPr>
          <w:rFonts w:ascii="Tahoma" w:eastAsia="Tahoma" w:hAnsi="Tahoma" w:cs="Tahoma"/>
          <w:sz w:val="20"/>
          <w:szCs w:val="20"/>
        </w:rPr>
        <w:t>Springfield, MO 65804</w:t>
      </w:r>
    </w:p>
    <w:p w14:paraId="58A0E6BA" w14:textId="77777777" w:rsidR="00AC610E" w:rsidRDefault="007C32A1" w:rsidP="00D26003">
      <w:pPr>
        <w:pStyle w:val="Normal0"/>
        <w:tabs>
          <w:tab w:val="left" w:pos="720"/>
        </w:tabs>
        <w:ind w:left="720"/>
        <w:jc w:val="center"/>
        <w:rPr>
          <w:rFonts w:ascii="Tahoma" w:eastAsia="Tahoma" w:hAnsi="Tahoma" w:cs="Tahoma"/>
          <w:sz w:val="20"/>
          <w:szCs w:val="20"/>
          <w:u w:val="single"/>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D26003">
        <w:rPr>
          <w:rFonts w:ascii="Tahoma" w:eastAsia="Tahoma" w:hAnsi="Tahoma" w:cs="Tahoma"/>
          <w:sz w:val="20"/>
          <w:szCs w:val="20"/>
        </w:rPr>
        <w:tab/>
        <w:t xml:space="preserve"> </w:t>
      </w:r>
      <w:r>
        <w:rPr>
          <w:rFonts w:ascii="Tahoma" w:eastAsia="Tahoma" w:hAnsi="Tahoma" w:cs="Tahoma"/>
          <w:sz w:val="20"/>
          <w:szCs w:val="20"/>
        </w:rPr>
        <w:tab/>
      </w:r>
      <w:r>
        <w:rPr>
          <w:rFonts w:ascii="Tahoma" w:eastAsia="Tahoma" w:hAnsi="Tahoma" w:cs="Tahoma"/>
          <w:sz w:val="20"/>
          <w:szCs w:val="20"/>
        </w:rPr>
        <w:tab/>
      </w:r>
      <w:r w:rsidR="00D26003">
        <w:rPr>
          <w:rFonts w:ascii="Tahoma" w:eastAsia="Tahoma" w:hAnsi="Tahoma" w:cs="Tahoma"/>
          <w:sz w:val="20"/>
          <w:szCs w:val="20"/>
        </w:rPr>
        <w:t xml:space="preserve">    </w:t>
      </w:r>
      <w:r w:rsidR="00062BE4">
        <w:rPr>
          <w:rFonts w:ascii="Tahoma" w:eastAsia="Tahoma" w:hAnsi="Tahoma" w:cs="Tahoma"/>
          <w:sz w:val="20"/>
          <w:szCs w:val="20"/>
          <w:u w:val="single"/>
        </w:rPr>
        <w:t>Phone: (417) 883-7668; Fax: (417) 883-8525</w:t>
      </w:r>
    </w:p>
    <w:p w14:paraId="2FC0452A" w14:textId="77777777" w:rsidR="00AC610E" w:rsidRDefault="00AC610E">
      <w:pPr>
        <w:pStyle w:val="Standard"/>
        <w:jc w:val="center"/>
        <w:rPr>
          <w:u w:val="single"/>
        </w:rPr>
      </w:pPr>
    </w:p>
    <w:p w14:paraId="7E2A1CB1" w14:textId="77777777" w:rsidR="00D26003" w:rsidRDefault="00D26003">
      <w:pPr>
        <w:pStyle w:val="Standard"/>
        <w:jc w:val="center"/>
        <w:rPr>
          <w:u w:val="single"/>
        </w:rPr>
      </w:pPr>
    </w:p>
    <w:p w14:paraId="309BBA99" w14:textId="77777777" w:rsidR="00AC610E" w:rsidRDefault="00062BE4">
      <w:pPr>
        <w:pStyle w:val="Standard"/>
        <w:jc w:val="center"/>
        <w:rPr>
          <w:b/>
          <w:bCs/>
          <w:u w:val="single"/>
        </w:rPr>
      </w:pPr>
      <w:r>
        <w:rPr>
          <w:b/>
          <w:bCs/>
          <w:u w:val="single"/>
        </w:rPr>
        <w:t>Insurance</w:t>
      </w:r>
    </w:p>
    <w:p w14:paraId="615242A4" w14:textId="76513BC8" w:rsidR="00ED71DA" w:rsidRDefault="00062BE4">
      <w:pPr>
        <w:pStyle w:val="Standard"/>
      </w:pPr>
      <w:r>
        <w:t xml:space="preserve">Today you will be responsible for your </w:t>
      </w:r>
      <w:r w:rsidR="009071D2">
        <w:t>“</w:t>
      </w:r>
      <w:r w:rsidRPr="009071D2">
        <w:rPr>
          <w:b/>
          <w:u w:val="single"/>
        </w:rPr>
        <w:t>estimated</w:t>
      </w:r>
      <w:r w:rsidR="009071D2">
        <w:t>”</w:t>
      </w:r>
      <w:r>
        <w:t xml:space="preserve"> portion.  We will file your insurance as a courtesy, it is your responsibility to know and understand your dental plan.</w:t>
      </w:r>
      <w:r w:rsidR="009071D2">
        <w:t xml:space="preserve"> Insurance companies will NEVER give a final determination on payment until the claim is processed and received.</w:t>
      </w:r>
      <w:r>
        <w:t xml:space="preserve">  After your insurance pays</w:t>
      </w:r>
      <w:r w:rsidR="00D40C6F">
        <w:t>,</w:t>
      </w:r>
      <w:r>
        <w:t xml:space="preserve"> you are responsible for any UNPAID balance</w:t>
      </w:r>
      <w:r w:rsidR="009071D2">
        <w:t xml:space="preserve"> and if </w:t>
      </w:r>
      <w:r w:rsidR="00C520CA">
        <w:t>your</w:t>
      </w:r>
      <w:r w:rsidR="009071D2">
        <w:t xml:space="preserve"> insurance pays more</w:t>
      </w:r>
      <w:r w:rsidR="00D40C6F">
        <w:t xml:space="preserve"> than</w:t>
      </w:r>
      <w:r w:rsidR="002034A0">
        <w:t xml:space="preserve"> anticipated</w:t>
      </w:r>
      <w:r w:rsidR="00D40C6F">
        <w:t>,</w:t>
      </w:r>
      <w:r w:rsidR="009071D2">
        <w:t xml:space="preserve"> we will issue a refund check in the mail</w:t>
      </w:r>
      <w:r w:rsidR="00171326">
        <w:t xml:space="preserve">. </w:t>
      </w:r>
      <w:r w:rsidR="00ED71DA">
        <w:t>If your account becomes delinquent and a collection agency is required, any fees assessed will be your responsibility</w:t>
      </w:r>
      <w:r w:rsidR="002034A0">
        <w:t>.</w:t>
      </w:r>
      <w:r w:rsidR="00ED71DA">
        <w:tab/>
      </w:r>
    </w:p>
    <w:p w14:paraId="2BD37D39" w14:textId="77777777" w:rsidR="00AC610E" w:rsidRDefault="00AC610E">
      <w:pPr>
        <w:pStyle w:val="Standard"/>
        <w:jc w:val="right"/>
        <w:rPr>
          <w:u w:val="single"/>
        </w:rPr>
      </w:pPr>
    </w:p>
    <w:p w14:paraId="6B77BFE8" w14:textId="77777777" w:rsidR="00AC610E" w:rsidRDefault="00062BE4">
      <w:pPr>
        <w:pStyle w:val="Standard"/>
        <w:jc w:val="center"/>
        <w:rPr>
          <w:b/>
          <w:bCs/>
          <w:u w:val="single"/>
        </w:rPr>
      </w:pPr>
      <w:r>
        <w:rPr>
          <w:b/>
          <w:bCs/>
          <w:u w:val="single"/>
        </w:rPr>
        <w:t>Notice of Privacy Practices</w:t>
      </w:r>
    </w:p>
    <w:p w14:paraId="6C0A1D11" w14:textId="5F26AFAD" w:rsidR="00AC610E" w:rsidRDefault="00062BE4">
      <w:pPr>
        <w:pStyle w:val="Standard"/>
      </w:pPr>
      <w:r>
        <w:t>This notice describes how</w:t>
      </w:r>
      <w:r w:rsidR="002034A0">
        <w:t xml:space="preserve"> your</w:t>
      </w:r>
      <w:r>
        <w:t xml:space="preserve"> health information may be used and disclosed and how you can get access to this information.  Listed here is a short review of the privacy practices adopted by Greater Springfield Endodontics. You may ask for a copy of the complete Privacy Practices from the front office.  The privacy o</w:t>
      </w:r>
      <w:r w:rsidR="00C6428F">
        <w:t>f</w:t>
      </w:r>
      <w:r>
        <w:t xml:space="preserve"> your health information is important to us so please review it carefully.</w:t>
      </w:r>
    </w:p>
    <w:p w14:paraId="5B0A03B2" w14:textId="77777777" w:rsidR="00AC610E" w:rsidRDefault="00AC610E">
      <w:pPr>
        <w:pStyle w:val="Standard"/>
      </w:pPr>
    </w:p>
    <w:p w14:paraId="2A3C9A82" w14:textId="77777777" w:rsidR="00AC610E" w:rsidRDefault="00062BE4">
      <w:pPr>
        <w:pStyle w:val="Standard"/>
      </w:pPr>
      <w:r>
        <w:t xml:space="preserve">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This notice takes effect </w:t>
      </w:r>
      <w:r w:rsidR="00C520CA">
        <w:t>07/19/2004 and</w:t>
      </w:r>
      <w:r>
        <w:t xml:space="preserve"> will remain in effect until we replace it.</w:t>
      </w:r>
    </w:p>
    <w:p w14:paraId="720034B5" w14:textId="77777777" w:rsidR="00AC610E" w:rsidRDefault="00AC610E">
      <w:pPr>
        <w:pStyle w:val="Standard"/>
      </w:pPr>
    </w:p>
    <w:p w14:paraId="0CF2E889" w14:textId="6FA3A355" w:rsidR="00AC610E" w:rsidRDefault="00062BE4">
      <w:pPr>
        <w:pStyle w:val="Standard"/>
      </w:pPr>
      <w:r>
        <w:t xml:space="preserve">We reserve the right to change our privacy practices and the terms of this notice at any time, provided such changes are permitted by applicable law.  We reserve the right to make changes in our privacy practices and the new terms of our notice effective for all health information that we maintain, including health information we created or received before we made the change. Before we make significant </w:t>
      </w:r>
      <w:r w:rsidR="004E7804">
        <w:t>changes</w:t>
      </w:r>
      <w:r>
        <w:t xml:space="preserve"> </w:t>
      </w:r>
      <w:proofErr w:type="gramStart"/>
      <w:r>
        <w:t>in</w:t>
      </w:r>
      <w:proofErr w:type="gramEnd"/>
      <w:r>
        <w:t xml:space="preserve"> our privacy practices, we will change this notice and make the new notice available on request.</w:t>
      </w:r>
    </w:p>
    <w:p w14:paraId="5DCF8F15" w14:textId="77777777" w:rsidR="00AC610E" w:rsidRDefault="00AC610E">
      <w:pPr>
        <w:pStyle w:val="Standard"/>
      </w:pPr>
    </w:p>
    <w:p w14:paraId="7EB1051F" w14:textId="19DD9600" w:rsidR="00AC610E" w:rsidRDefault="00062BE4">
      <w:pPr>
        <w:pStyle w:val="Standard"/>
      </w:pPr>
      <w:r>
        <w:t xml:space="preserve">Greater Springfield Endodontics will use and disclose your health information for treatment, payment, and health care operations.  We will not use your health information for marketing communications without your written authorization.  You have the right to look at or get </w:t>
      </w:r>
      <w:r w:rsidR="009071D2">
        <w:t>a copy</w:t>
      </w:r>
      <w:r>
        <w:t xml:space="preserve"> of your health information, with limited exceptions. If you have additional questions or </w:t>
      </w:r>
      <w:r w:rsidR="00C520CA">
        <w:t>complaints,</w:t>
      </w:r>
      <w:r>
        <w:t xml:space="preserve"> please contact the office manager for Greater Springfield Endodontics.  </w:t>
      </w:r>
    </w:p>
    <w:p w14:paraId="681E7710" w14:textId="77777777" w:rsidR="00AC610E" w:rsidRDefault="00AC610E">
      <w:pPr>
        <w:pStyle w:val="Standard"/>
      </w:pPr>
    </w:p>
    <w:p w14:paraId="73CA83F1" w14:textId="77777777" w:rsidR="00AC610E" w:rsidRPr="009071D2" w:rsidRDefault="00062BE4">
      <w:pPr>
        <w:pStyle w:val="Standard"/>
        <w:jc w:val="center"/>
        <w:rPr>
          <w:b/>
          <w:bCs/>
          <w:u w:val="single"/>
        </w:rPr>
      </w:pPr>
      <w:r w:rsidRPr="009071D2">
        <w:rPr>
          <w:b/>
          <w:bCs/>
          <w:u w:val="single"/>
        </w:rPr>
        <w:t>ACKNOWLEDGEMENT OF RECEIPT OF NOTICE OF PRIVACY PRACTICES</w:t>
      </w:r>
      <w:r w:rsidR="009071D2" w:rsidRPr="009071D2">
        <w:rPr>
          <w:b/>
          <w:bCs/>
          <w:u w:val="single"/>
        </w:rPr>
        <w:t xml:space="preserve"> AND FINANCIAL RESPONSIBILITY</w:t>
      </w:r>
    </w:p>
    <w:p w14:paraId="3B349A4E" w14:textId="77777777" w:rsidR="00AC610E" w:rsidRDefault="00AC610E">
      <w:pPr>
        <w:pStyle w:val="Standard"/>
      </w:pPr>
    </w:p>
    <w:p w14:paraId="6C106F96" w14:textId="4AC8B488" w:rsidR="00AC610E" w:rsidRDefault="00062BE4">
      <w:pPr>
        <w:pStyle w:val="Standard"/>
      </w:pPr>
      <w:r>
        <w:t xml:space="preserve">I, (printed </w:t>
      </w:r>
      <w:proofErr w:type="gramStart"/>
      <w:r w:rsidR="004E7804">
        <w:t xml:space="preserve">name) </w:t>
      </w:r>
      <w:r w:rsidR="004E7804">
        <w:rPr>
          <w:u w:val="single"/>
        </w:rPr>
        <w:t xml:space="preserve"> </w:t>
      </w:r>
      <w:r>
        <w:rPr>
          <w:u w:val="single"/>
        </w:rPr>
        <w:t xml:space="preserve"> </w:t>
      </w:r>
      <w:proofErr w:type="gramEnd"/>
      <w:r>
        <w:rPr>
          <w:u w:val="single"/>
        </w:rPr>
        <w:t xml:space="preserve">                                                                                      </w:t>
      </w:r>
      <w:r>
        <w:t xml:space="preserve">, have </w:t>
      </w:r>
      <w:r w:rsidR="00F55AAE">
        <w:t>had</w:t>
      </w:r>
      <w:r>
        <w:t xml:space="preserve"> </w:t>
      </w:r>
      <w:r w:rsidR="00F55AAE">
        <w:t>the opportunity</w:t>
      </w:r>
      <w:r>
        <w:t xml:space="preserve"> </w:t>
      </w:r>
      <w:r w:rsidR="00F55AAE">
        <w:t xml:space="preserve">to read or receive a copy of </w:t>
      </w:r>
      <w:r>
        <w:t>Greater Springfield Endodontics's Notice of Privacy Practices.</w:t>
      </w:r>
      <w:r w:rsidR="00171326">
        <w:t xml:space="preserve"> I further agree that Greater Springfield Endodontics and their business associates may contact me, and all responsible parties on my account, on our cell phone or other mobile devices concerning </w:t>
      </w:r>
      <w:proofErr w:type="gramStart"/>
      <w:r w:rsidR="00171326">
        <w:t>any and all</w:t>
      </w:r>
      <w:proofErr w:type="gramEnd"/>
      <w:r w:rsidR="00171326">
        <w:t xml:space="preserve"> aspects of my account.</w:t>
      </w:r>
      <w:r w:rsidR="003409EC">
        <w:t xml:space="preserve"> This may include a request for a review regarding your experience with our office, which could be used for marketing purposes. </w:t>
      </w:r>
    </w:p>
    <w:p w14:paraId="4D95B1BF" w14:textId="77777777" w:rsidR="00AC610E" w:rsidRDefault="00AC610E">
      <w:pPr>
        <w:pStyle w:val="Standard"/>
      </w:pPr>
    </w:p>
    <w:p w14:paraId="02D0C7BA" w14:textId="77777777" w:rsidR="009A0816" w:rsidRDefault="009A0816">
      <w:pPr>
        <w:pStyle w:val="Standard"/>
      </w:pPr>
      <w:r>
        <w:t>_________________________</w:t>
      </w:r>
      <w:r>
        <w:tab/>
      </w:r>
      <w:r>
        <w:tab/>
      </w:r>
      <w:r>
        <w:tab/>
      </w:r>
      <w:r>
        <w:tab/>
        <w:t>__________________</w:t>
      </w:r>
    </w:p>
    <w:p w14:paraId="1E8AEE28" w14:textId="77777777" w:rsidR="009A0816" w:rsidRDefault="009A0816">
      <w:pPr>
        <w:pStyle w:val="Standard"/>
      </w:pPr>
      <w:r>
        <w:t>Signature</w:t>
      </w:r>
      <w:r>
        <w:tab/>
      </w:r>
      <w:r>
        <w:tab/>
      </w:r>
      <w:r>
        <w:tab/>
      </w:r>
      <w:r>
        <w:tab/>
      </w:r>
      <w:r>
        <w:tab/>
      </w:r>
      <w:r>
        <w:tab/>
      </w:r>
      <w:r>
        <w:tab/>
        <w:t>Date</w:t>
      </w:r>
    </w:p>
    <w:p w14:paraId="53F7789E" w14:textId="3CD9289B" w:rsidR="00301C5F" w:rsidRDefault="00171326" w:rsidP="00301C5F">
      <w:pPr>
        <w:pStyle w:val="Standard"/>
        <w:ind w:left="5672"/>
        <w:rPr>
          <w:rFonts w:ascii="Tahoma" w:eastAsia="Tahoma" w:hAnsi="Tahoma"/>
          <w:b/>
          <w:bCs/>
        </w:rPr>
      </w:pPr>
      <w:r>
        <w:rPr>
          <w:rFonts w:ascii="Tahoma" w:eastAsia="Tahoma" w:hAnsi="Tahoma"/>
          <w:b/>
          <w:bCs/>
          <w:noProof/>
        </w:rPr>
        <w:lastRenderedPageBreak/>
        <w:drawing>
          <wp:anchor distT="0" distB="0" distL="114300" distR="114300" simplePos="0" relativeHeight="251660288" behindDoc="1" locked="0" layoutInCell="1" allowOverlap="1" wp14:anchorId="626270A7" wp14:editId="7588A27D">
            <wp:simplePos x="0" y="0"/>
            <wp:positionH relativeFrom="page">
              <wp:posOffset>571500</wp:posOffset>
            </wp:positionH>
            <wp:positionV relativeFrom="page">
              <wp:posOffset>675005</wp:posOffset>
            </wp:positionV>
            <wp:extent cx="3201670" cy="736600"/>
            <wp:effectExtent l="1905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3201670" cy="736600"/>
                    </a:xfrm>
                    <a:prstGeom prst="rect">
                      <a:avLst/>
                    </a:prstGeom>
                    <a:noFill/>
                    <a:ln>
                      <a:noFill/>
                    </a:ln>
                  </pic:spPr>
                </pic:pic>
              </a:graphicData>
            </a:graphic>
          </wp:anchor>
        </w:drawing>
      </w:r>
      <w:r w:rsidR="00301C5F">
        <w:t xml:space="preserve">  </w:t>
      </w:r>
      <w:r w:rsidR="00062BE4">
        <w:rPr>
          <w:rFonts w:ascii="Tahoma" w:eastAsia="Tahoma" w:hAnsi="Tahoma"/>
          <w:b/>
          <w:bCs/>
        </w:rPr>
        <w:t>Mark A. Massey, D.D.S., M.S.D.</w:t>
      </w:r>
    </w:p>
    <w:p w14:paraId="26104744" w14:textId="49ECB376" w:rsidR="00AC610E" w:rsidRDefault="00062BE4" w:rsidP="00D26003">
      <w:pPr>
        <w:pStyle w:val="Normal0"/>
        <w:tabs>
          <w:tab w:val="left" w:pos="720"/>
        </w:tabs>
        <w:ind w:left="720"/>
        <w:jc w:val="center"/>
        <w:rPr>
          <w:rFonts w:ascii="Tahoma" w:eastAsia="Tahoma" w:hAnsi="Tahoma" w:cs="Tahoma"/>
          <w:b/>
          <w:bCs/>
        </w:rPr>
      </w:pPr>
      <w:r>
        <w:rPr>
          <w:rFonts w:ascii="Tahoma" w:eastAsia="Tahoma" w:hAnsi="Tahoma" w:cs="Tahoma"/>
          <w:b/>
          <w:bCs/>
        </w:rPr>
        <w:t xml:space="preserve">  </w:t>
      </w:r>
      <w:r w:rsidR="00301C5F">
        <w:rPr>
          <w:rFonts w:ascii="Tahoma" w:eastAsia="Tahoma" w:hAnsi="Tahoma" w:cs="Tahoma"/>
          <w:b/>
          <w:bCs/>
        </w:rPr>
        <w:t xml:space="preserve">            </w:t>
      </w:r>
      <w:r w:rsidR="00301C5F">
        <w:rPr>
          <w:rFonts w:ascii="Tahoma" w:eastAsia="Tahoma" w:hAnsi="Tahoma" w:cs="Tahoma"/>
          <w:b/>
          <w:bCs/>
        </w:rPr>
        <w:tab/>
      </w:r>
      <w:r w:rsidR="00301C5F">
        <w:rPr>
          <w:rFonts w:ascii="Tahoma" w:eastAsia="Tahoma" w:hAnsi="Tahoma" w:cs="Tahoma"/>
          <w:b/>
          <w:bCs/>
        </w:rPr>
        <w:tab/>
      </w:r>
      <w:r w:rsidR="00301C5F">
        <w:rPr>
          <w:rFonts w:ascii="Tahoma" w:eastAsia="Tahoma" w:hAnsi="Tahoma" w:cs="Tahoma"/>
          <w:b/>
          <w:bCs/>
        </w:rPr>
        <w:tab/>
      </w:r>
      <w:r w:rsidR="00301C5F">
        <w:rPr>
          <w:rFonts w:ascii="Tahoma" w:eastAsia="Tahoma" w:hAnsi="Tahoma" w:cs="Tahoma"/>
          <w:b/>
          <w:bCs/>
        </w:rPr>
        <w:tab/>
      </w:r>
      <w:r w:rsidR="00301C5F">
        <w:rPr>
          <w:rFonts w:ascii="Tahoma" w:eastAsia="Tahoma" w:hAnsi="Tahoma" w:cs="Tahoma"/>
          <w:b/>
          <w:bCs/>
        </w:rPr>
        <w:tab/>
      </w:r>
      <w:r w:rsidR="00301C5F">
        <w:rPr>
          <w:rFonts w:ascii="Tahoma" w:eastAsia="Tahoma" w:hAnsi="Tahoma" w:cs="Tahoma"/>
          <w:b/>
          <w:bCs/>
        </w:rPr>
        <w:tab/>
      </w:r>
    </w:p>
    <w:p w14:paraId="598AB53F" w14:textId="60F3564B" w:rsidR="00AC610E" w:rsidRDefault="00D26003" w:rsidP="00D26003">
      <w:pPr>
        <w:pStyle w:val="Normal0"/>
        <w:tabs>
          <w:tab w:val="left" w:pos="720"/>
        </w:tabs>
        <w:ind w:left="720"/>
        <w:jc w:val="cente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62BE4">
        <w:rPr>
          <w:rFonts w:ascii="Tahoma" w:eastAsia="Tahoma" w:hAnsi="Tahoma" w:cs="Tahoma"/>
          <w:sz w:val="20"/>
          <w:szCs w:val="20"/>
        </w:rPr>
        <w:t>2808 S. Ingram Mill Rd., Bldg. C-108</w:t>
      </w:r>
    </w:p>
    <w:p w14:paraId="39581EE8" w14:textId="77777777" w:rsidR="00AC610E" w:rsidRDefault="00D26003">
      <w:pPr>
        <w:pStyle w:val="Normal0"/>
        <w:tabs>
          <w:tab w:val="left" w:pos="720"/>
        </w:tabs>
        <w:ind w:left="720" w:right="720"/>
        <w:jc w:val="cente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62BE4">
        <w:rPr>
          <w:rFonts w:ascii="Tahoma" w:eastAsia="Tahoma" w:hAnsi="Tahoma" w:cs="Tahoma"/>
          <w:sz w:val="20"/>
          <w:szCs w:val="20"/>
        </w:rPr>
        <w:t>Springfield, MO 65804</w:t>
      </w:r>
    </w:p>
    <w:p w14:paraId="04A68F24" w14:textId="77777777" w:rsidR="00AC610E" w:rsidRDefault="00D26003" w:rsidP="00D26003">
      <w:pPr>
        <w:pStyle w:val="Normal0"/>
        <w:tabs>
          <w:tab w:val="left" w:pos="720"/>
        </w:tabs>
        <w:ind w:left="720"/>
        <w:jc w:val="cente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sidR="00062BE4">
        <w:rPr>
          <w:rFonts w:ascii="Tahoma" w:eastAsia="Tahoma" w:hAnsi="Tahoma" w:cs="Tahoma"/>
          <w:sz w:val="20"/>
          <w:szCs w:val="20"/>
        </w:rPr>
        <w:t>Phone: (417) 883-7668; Fax: (417) 883-8525</w:t>
      </w:r>
    </w:p>
    <w:p w14:paraId="04CDF7ED" w14:textId="77777777" w:rsidR="00AC610E" w:rsidRDefault="00AC610E">
      <w:pPr>
        <w:pStyle w:val="Standard"/>
      </w:pPr>
    </w:p>
    <w:p w14:paraId="6CACFA24" w14:textId="77777777" w:rsidR="00D26003" w:rsidRDefault="00D26003">
      <w:pPr>
        <w:pStyle w:val="Standard"/>
      </w:pPr>
    </w:p>
    <w:p w14:paraId="43051603" w14:textId="77777777" w:rsidR="00D40C6F" w:rsidRDefault="00D40C6F">
      <w:pPr>
        <w:pStyle w:val="Standard"/>
      </w:pPr>
    </w:p>
    <w:p w14:paraId="352A5053" w14:textId="77777777" w:rsidR="00AC610E" w:rsidRDefault="00E3501B">
      <w:pPr>
        <w:pStyle w:val="Standard"/>
        <w:jc w:val="center"/>
      </w:pPr>
      <w:r>
        <w:t>Root Canal Therapy Information Sheet</w:t>
      </w:r>
    </w:p>
    <w:p w14:paraId="335854D3" w14:textId="77777777" w:rsidR="00AC610E" w:rsidRDefault="00AC610E">
      <w:pPr>
        <w:pStyle w:val="Standard"/>
      </w:pPr>
    </w:p>
    <w:p w14:paraId="5EBADFDE" w14:textId="77777777" w:rsidR="00D40C6F" w:rsidRDefault="00D40C6F">
      <w:pPr>
        <w:pStyle w:val="Standard"/>
      </w:pPr>
    </w:p>
    <w:p w14:paraId="422B30D9" w14:textId="77777777" w:rsidR="00AC610E" w:rsidRDefault="00062BE4">
      <w:pPr>
        <w:pStyle w:val="Standard"/>
      </w:pPr>
      <w:r>
        <w:t>We are concerned not only about your dental health and root canal treatment needs, but also about your right as a patient to make the treatment decision that you feel is best for you. Our aim is a mutual sharing and understanding of information. We feel it is important to advise you of the reasonably foreseeable risks of root canal therapy. The following is important information you need to have in making your decision about treatment:</w:t>
      </w:r>
    </w:p>
    <w:p w14:paraId="0DFDCF93" w14:textId="77777777" w:rsidR="00AC610E" w:rsidRDefault="00AC610E">
      <w:pPr>
        <w:pStyle w:val="Standard"/>
      </w:pPr>
    </w:p>
    <w:p w14:paraId="5D10EC9A" w14:textId="77777777" w:rsidR="00AC610E" w:rsidRDefault="00062BE4">
      <w:pPr>
        <w:pStyle w:val="Standard"/>
      </w:pPr>
      <w:r>
        <w:tab/>
      </w:r>
      <w:r>
        <w:tab/>
      </w:r>
    </w:p>
    <w:p w14:paraId="6D51C49B" w14:textId="77777777" w:rsidR="00AC610E" w:rsidRDefault="00062BE4">
      <w:pPr>
        <w:pStyle w:val="Standard"/>
        <w:numPr>
          <w:ilvl w:val="0"/>
          <w:numId w:val="1"/>
        </w:numPr>
      </w:pPr>
      <w:r>
        <w:t>There are alternatives to root canal therapy. They include no treatment at all, extraction with no replacement, or extraction followed by a bridge, partial denture, or implant to fill the space created after the extraction.</w:t>
      </w:r>
    </w:p>
    <w:p w14:paraId="74F06764" w14:textId="77777777" w:rsidR="00AC610E" w:rsidRDefault="00AC610E">
      <w:pPr>
        <w:pStyle w:val="Standard"/>
      </w:pPr>
    </w:p>
    <w:p w14:paraId="45BB558C" w14:textId="74C55645" w:rsidR="00AC610E" w:rsidRDefault="00062BE4">
      <w:pPr>
        <w:pStyle w:val="Standard"/>
        <w:numPr>
          <w:ilvl w:val="0"/>
          <w:numId w:val="1"/>
        </w:numPr>
      </w:pPr>
      <w:r>
        <w:t>We make special efforts to preserve the crowns of teeth we treat, but despite our best efforts, occasionally crowns may be destroyed during treatment.</w:t>
      </w:r>
    </w:p>
    <w:p w14:paraId="3ECDBD31" w14:textId="77777777" w:rsidR="00AC610E" w:rsidRDefault="00AC610E">
      <w:pPr>
        <w:pStyle w:val="Standard"/>
      </w:pPr>
    </w:p>
    <w:p w14:paraId="75DFD8C3" w14:textId="2106D15F" w:rsidR="00AC610E" w:rsidRDefault="00062BE4">
      <w:pPr>
        <w:pStyle w:val="Standard"/>
        <w:numPr>
          <w:ilvl w:val="0"/>
          <w:numId w:val="1"/>
        </w:numPr>
      </w:pPr>
      <w:r>
        <w:t>Fractures are one of the main reasons root canals fail. Unfortunately, some cracks</w:t>
      </w:r>
      <w:r w:rsidR="00F64C93">
        <w:t xml:space="preserve"> that</w:t>
      </w:r>
      <w:r>
        <w:t xml:space="preserve"> extend from the crown down into the root are invisible or hard to detect. Whether the fracture occurs before or after the root canal, it may require extraction (removal) of the tooth.</w:t>
      </w:r>
    </w:p>
    <w:p w14:paraId="278BBA7C" w14:textId="77777777" w:rsidR="00AC610E" w:rsidRDefault="00AC610E">
      <w:pPr>
        <w:pStyle w:val="Standard"/>
      </w:pPr>
    </w:p>
    <w:p w14:paraId="367DF473" w14:textId="061E1B0B" w:rsidR="00AC610E" w:rsidRDefault="00062BE4">
      <w:pPr>
        <w:pStyle w:val="Standard"/>
        <w:numPr>
          <w:ilvl w:val="0"/>
          <w:numId w:val="1"/>
        </w:numPr>
      </w:pPr>
      <w:r>
        <w:t xml:space="preserve">Root Canal therapy is designed to save a tooth that may otherwise require extraction (removal).  Root Canal therapy has a very high success </w:t>
      </w:r>
      <w:r w:rsidR="002067E5">
        <w:t>rate,</w:t>
      </w:r>
      <w:r>
        <w:t xml:space="preserve"> but it cannot be guaranteed. Even after root canal therapy, approximately 5% of treated teeth may eventually </w:t>
      </w:r>
      <w:r w:rsidR="002067E5">
        <w:t>require</w:t>
      </w:r>
      <w:r>
        <w:t xml:space="preserve"> extraction (removal).</w:t>
      </w:r>
    </w:p>
    <w:p w14:paraId="3A885960" w14:textId="77777777" w:rsidR="00A631BC" w:rsidRDefault="00A631BC" w:rsidP="00A631BC">
      <w:pPr>
        <w:pStyle w:val="ListParagraph"/>
      </w:pPr>
    </w:p>
    <w:p w14:paraId="4C00173D" w14:textId="5A26CEF5" w:rsidR="00A631BC" w:rsidRDefault="00A631BC">
      <w:pPr>
        <w:pStyle w:val="Standard"/>
        <w:numPr>
          <w:ilvl w:val="0"/>
          <w:numId w:val="1"/>
        </w:numPr>
      </w:pPr>
      <w:r>
        <w:t xml:space="preserve">Within one year after root canal </w:t>
      </w:r>
      <w:r w:rsidR="004E7804">
        <w:t>therapy,</w:t>
      </w:r>
      <w:r>
        <w:t xml:space="preserve"> we will retreat your root </w:t>
      </w:r>
      <w:proofErr w:type="gramStart"/>
      <w:r>
        <w:t>canal</w:t>
      </w:r>
      <w:proofErr w:type="gramEnd"/>
      <w:r>
        <w:t xml:space="preserve"> if necessary, at no </w:t>
      </w:r>
      <w:r w:rsidR="00F64C93">
        <w:t xml:space="preserve">additional </w:t>
      </w:r>
      <w:r>
        <w:t xml:space="preserve">charge. If </w:t>
      </w:r>
      <w:r w:rsidR="00F64C93">
        <w:t>surgical</w:t>
      </w:r>
      <w:r>
        <w:t xml:space="preserve"> treatment is required (apicoectomy)</w:t>
      </w:r>
      <w:r w:rsidR="00F64C93">
        <w:t>,</w:t>
      </w:r>
      <w:r>
        <w:t xml:space="preserve"> </w:t>
      </w:r>
      <w:r w:rsidR="00F64C93">
        <w:t>t</w:t>
      </w:r>
      <w:r>
        <w:t>hat will be completed at 50% of the</w:t>
      </w:r>
      <w:r w:rsidR="00F64C93">
        <w:t xml:space="preserve"> normal</w:t>
      </w:r>
      <w:r>
        <w:t xml:space="preserve"> fee within one year</w:t>
      </w:r>
      <w:r w:rsidR="00F64C93">
        <w:t xml:space="preserve"> of initial treatment.</w:t>
      </w:r>
      <w:r>
        <w:t xml:space="preserve"> All additional treatment after one year is subject to full fee.</w:t>
      </w:r>
    </w:p>
    <w:p w14:paraId="1917AB9C" w14:textId="77777777" w:rsidR="00AC610E" w:rsidRDefault="00AC610E">
      <w:pPr>
        <w:pStyle w:val="Standard"/>
      </w:pPr>
    </w:p>
    <w:p w14:paraId="3C1F2C41" w14:textId="7AFC1D08" w:rsidR="00AC610E" w:rsidRDefault="00062BE4">
      <w:pPr>
        <w:pStyle w:val="Standard"/>
        <w:numPr>
          <w:ilvl w:val="0"/>
          <w:numId w:val="1"/>
        </w:numPr>
      </w:pPr>
      <w:r>
        <w:t xml:space="preserve">We invite and welcome </w:t>
      </w:r>
      <w:r w:rsidR="004E7804">
        <w:t>all</w:t>
      </w:r>
      <w:r>
        <w:t xml:space="preserve"> your questions regarding our work with you.</w:t>
      </w:r>
    </w:p>
    <w:p w14:paraId="12F19661" w14:textId="77777777" w:rsidR="00AC610E" w:rsidRDefault="00AC610E">
      <w:pPr>
        <w:pStyle w:val="Standard"/>
      </w:pPr>
    </w:p>
    <w:p w14:paraId="5922B5C4" w14:textId="77777777" w:rsidR="00AC610E" w:rsidRDefault="00062BE4">
      <w:pPr>
        <w:pStyle w:val="Standard"/>
      </w:pPr>
      <w:r>
        <w:t xml:space="preserve"> </w:t>
      </w:r>
    </w:p>
    <w:p w14:paraId="23A418B1" w14:textId="77777777" w:rsidR="00D40C6F" w:rsidRDefault="00D40C6F">
      <w:pPr>
        <w:pStyle w:val="Standard"/>
      </w:pPr>
    </w:p>
    <w:p w14:paraId="6953F4C5" w14:textId="77777777" w:rsidR="00AC610E" w:rsidRDefault="00062BE4">
      <w:pPr>
        <w:pStyle w:val="Standard"/>
      </w:pPr>
      <w:r>
        <w:tab/>
      </w:r>
      <w:r>
        <w:rPr>
          <w:u w:val="single"/>
        </w:rPr>
        <w:t xml:space="preserve"> </w:t>
      </w:r>
      <w:r w:rsidR="00B442CA">
        <w:rPr>
          <w:u w:val="single"/>
        </w:rPr>
        <w:t xml:space="preserve">                                                                   </w:t>
      </w:r>
      <w:r w:rsidR="00B442CA">
        <w:t xml:space="preserve"> </w:t>
      </w:r>
      <w:r w:rsidR="00B442CA">
        <w:tab/>
        <w:t xml:space="preserve">               </w:t>
      </w:r>
      <w:r>
        <w:t xml:space="preserve">         </w:t>
      </w:r>
      <w:r w:rsidR="00B442CA">
        <w:t>_________________</w:t>
      </w:r>
      <w:r>
        <w:t xml:space="preserve">                       </w:t>
      </w:r>
      <w:r>
        <w:rPr>
          <w:u w:val="single"/>
        </w:rPr>
        <w:t xml:space="preserve">                                           </w:t>
      </w:r>
    </w:p>
    <w:p w14:paraId="54E22BCA" w14:textId="4FC8E712" w:rsidR="00AC610E" w:rsidRDefault="00B442CA">
      <w:pPr>
        <w:pStyle w:val="Standard"/>
      </w:pPr>
      <w:r>
        <w:tab/>
      </w:r>
      <w:r w:rsidR="009071D2">
        <w:rPr>
          <w:sz w:val="18"/>
          <w:szCs w:val="18"/>
        </w:rPr>
        <w:t>Signature</w:t>
      </w:r>
      <w:r w:rsidR="00A631BC">
        <w:rPr>
          <w:sz w:val="18"/>
          <w:szCs w:val="18"/>
        </w:rPr>
        <w:tab/>
        <w:t xml:space="preserve"> </w:t>
      </w:r>
      <w:r w:rsidR="00A631BC">
        <w:rPr>
          <w:sz w:val="18"/>
          <w:szCs w:val="18"/>
        </w:rPr>
        <w:tab/>
      </w:r>
      <w:r w:rsidR="00062BE4">
        <w:rPr>
          <w:sz w:val="20"/>
          <w:szCs w:val="20"/>
        </w:rPr>
        <w:tab/>
      </w:r>
      <w:r w:rsidR="00062BE4">
        <w:rPr>
          <w:sz w:val="20"/>
          <w:szCs w:val="20"/>
        </w:rPr>
        <w:tab/>
      </w:r>
      <w:r w:rsidR="00062BE4">
        <w:rPr>
          <w:sz w:val="20"/>
          <w:szCs w:val="20"/>
        </w:rPr>
        <w:tab/>
      </w:r>
      <w:r>
        <w:rPr>
          <w:sz w:val="20"/>
          <w:szCs w:val="20"/>
        </w:rPr>
        <w:tab/>
      </w:r>
      <w:r>
        <w:rPr>
          <w:sz w:val="20"/>
          <w:szCs w:val="20"/>
        </w:rPr>
        <w:tab/>
      </w:r>
      <w:r>
        <w:rPr>
          <w:sz w:val="20"/>
          <w:szCs w:val="20"/>
        </w:rPr>
        <w:tab/>
      </w:r>
      <w:r w:rsidR="00062BE4">
        <w:rPr>
          <w:sz w:val="20"/>
          <w:szCs w:val="20"/>
        </w:rPr>
        <w:t>Date</w:t>
      </w:r>
    </w:p>
    <w:p w14:paraId="03B6D8C0" w14:textId="77777777" w:rsidR="00AC610E" w:rsidRDefault="00AC610E">
      <w:pPr>
        <w:pStyle w:val="Standard"/>
        <w:rPr>
          <w:sz w:val="20"/>
          <w:szCs w:val="20"/>
        </w:rPr>
      </w:pPr>
    </w:p>
    <w:p w14:paraId="18A5F49A" w14:textId="77777777" w:rsidR="00AC610E" w:rsidRDefault="00AC610E">
      <w:pPr>
        <w:pStyle w:val="Standard"/>
        <w:rPr>
          <w:sz w:val="20"/>
          <w:szCs w:val="20"/>
        </w:rPr>
      </w:pPr>
    </w:p>
    <w:p w14:paraId="31A569EC" w14:textId="77777777" w:rsidR="00AC610E" w:rsidRDefault="00AC610E">
      <w:pPr>
        <w:pStyle w:val="Standard"/>
        <w:rPr>
          <w:sz w:val="20"/>
          <w:szCs w:val="20"/>
        </w:rPr>
      </w:pPr>
    </w:p>
    <w:sectPr w:rsidR="00AC610E" w:rsidSect="009A0816">
      <w:pgSz w:w="12240" w:h="15840"/>
      <w:pgMar w:top="1138" w:right="1138" w:bottom="245"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8546B" w14:textId="77777777" w:rsidR="009046BB" w:rsidRDefault="009046BB" w:rsidP="00AC610E">
      <w:r>
        <w:separator/>
      </w:r>
    </w:p>
  </w:endnote>
  <w:endnote w:type="continuationSeparator" w:id="0">
    <w:p w14:paraId="6F14C143" w14:textId="77777777" w:rsidR="009046BB" w:rsidRDefault="009046BB" w:rsidP="00AC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BBD1B" w14:textId="77777777" w:rsidR="009046BB" w:rsidRDefault="009046BB" w:rsidP="00AC610E">
      <w:r w:rsidRPr="00AC610E">
        <w:rPr>
          <w:color w:val="000000"/>
        </w:rPr>
        <w:separator/>
      </w:r>
    </w:p>
  </w:footnote>
  <w:footnote w:type="continuationSeparator" w:id="0">
    <w:p w14:paraId="5E5E7273" w14:textId="77777777" w:rsidR="009046BB" w:rsidRDefault="009046BB" w:rsidP="00AC6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11CE"/>
    <w:multiLevelType w:val="multilevel"/>
    <w:tmpl w:val="8C5290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2871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0E"/>
    <w:rsid w:val="00057B4F"/>
    <w:rsid w:val="00062BE4"/>
    <w:rsid w:val="001065DE"/>
    <w:rsid w:val="00171326"/>
    <w:rsid w:val="002034A0"/>
    <w:rsid w:val="002067E5"/>
    <w:rsid w:val="00210139"/>
    <w:rsid w:val="00215F97"/>
    <w:rsid w:val="0026692D"/>
    <w:rsid w:val="002E094B"/>
    <w:rsid w:val="00301C5F"/>
    <w:rsid w:val="003409EC"/>
    <w:rsid w:val="00363068"/>
    <w:rsid w:val="004E7804"/>
    <w:rsid w:val="00545C03"/>
    <w:rsid w:val="005632A8"/>
    <w:rsid w:val="005E1262"/>
    <w:rsid w:val="006B1477"/>
    <w:rsid w:val="006C4F01"/>
    <w:rsid w:val="0070052E"/>
    <w:rsid w:val="007C32A1"/>
    <w:rsid w:val="00803F68"/>
    <w:rsid w:val="009046BB"/>
    <w:rsid w:val="009071D2"/>
    <w:rsid w:val="0093668C"/>
    <w:rsid w:val="009411EF"/>
    <w:rsid w:val="0094343A"/>
    <w:rsid w:val="009A01CF"/>
    <w:rsid w:val="009A0816"/>
    <w:rsid w:val="00A13406"/>
    <w:rsid w:val="00A631BC"/>
    <w:rsid w:val="00AA36A0"/>
    <w:rsid w:val="00AC610E"/>
    <w:rsid w:val="00B20990"/>
    <w:rsid w:val="00B26ED6"/>
    <w:rsid w:val="00B442CA"/>
    <w:rsid w:val="00C145E1"/>
    <w:rsid w:val="00C520CA"/>
    <w:rsid w:val="00C6428F"/>
    <w:rsid w:val="00D26003"/>
    <w:rsid w:val="00D40C6F"/>
    <w:rsid w:val="00D852D6"/>
    <w:rsid w:val="00DC374D"/>
    <w:rsid w:val="00E3501B"/>
    <w:rsid w:val="00ED71DA"/>
    <w:rsid w:val="00F55AAE"/>
    <w:rsid w:val="00F64C93"/>
    <w:rsid w:val="00F728D2"/>
    <w:rsid w:val="00FF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113C"/>
  <w15:docId w15:val="{2CE2EEA7-1CDF-475F-BC80-FCC5D7DB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C610E"/>
  </w:style>
  <w:style w:type="paragraph" w:customStyle="1" w:styleId="Heading">
    <w:name w:val="Heading"/>
    <w:basedOn w:val="Standard"/>
    <w:next w:val="Textbody"/>
    <w:rsid w:val="00AC610E"/>
    <w:pPr>
      <w:keepNext/>
      <w:spacing w:before="240" w:after="120"/>
    </w:pPr>
    <w:rPr>
      <w:rFonts w:ascii="Arial" w:eastAsia="MS Mincho" w:hAnsi="Arial"/>
      <w:sz w:val="28"/>
      <w:szCs w:val="28"/>
    </w:rPr>
  </w:style>
  <w:style w:type="paragraph" w:customStyle="1" w:styleId="Textbody">
    <w:name w:val="Text body"/>
    <w:basedOn w:val="Standard"/>
    <w:rsid w:val="00AC610E"/>
    <w:pPr>
      <w:spacing w:after="120"/>
    </w:pPr>
  </w:style>
  <w:style w:type="paragraph" w:styleId="List">
    <w:name w:val="List"/>
    <w:basedOn w:val="Textbody"/>
    <w:rsid w:val="00AC610E"/>
  </w:style>
  <w:style w:type="paragraph" w:styleId="Caption">
    <w:name w:val="caption"/>
    <w:basedOn w:val="Standard"/>
    <w:rsid w:val="00AC610E"/>
    <w:pPr>
      <w:suppressLineNumbers/>
      <w:spacing w:before="120" w:after="120"/>
    </w:pPr>
    <w:rPr>
      <w:i/>
      <w:iCs/>
    </w:rPr>
  </w:style>
  <w:style w:type="paragraph" w:customStyle="1" w:styleId="Index">
    <w:name w:val="Index"/>
    <w:basedOn w:val="Standard"/>
    <w:rsid w:val="00AC610E"/>
    <w:pPr>
      <w:suppressLineNumbers/>
    </w:pPr>
  </w:style>
  <w:style w:type="paragraph" w:customStyle="1" w:styleId="Normal0">
    <w:name w:val="[Normal]"/>
    <w:next w:val="Standard"/>
    <w:rsid w:val="00AC610E"/>
    <w:pPr>
      <w:autoSpaceDE w:val="0"/>
    </w:pPr>
    <w:rPr>
      <w:rFonts w:ascii="Arial" w:eastAsia="Arial" w:hAnsi="Arial" w:cs="Arial"/>
    </w:rPr>
  </w:style>
  <w:style w:type="character" w:customStyle="1" w:styleId="NumberingSymbols">
    <w:name w:val="Numbering Symbols"/>
    <w:rsid w:val="00AC610E"/>
  </w:style>
  <w:style w:type="paragraph" w:styleId="BalloonText">
    <w:name w:val="Balloon Text"/>
    <w:basedOn w:val="Normal"/>
    <w:link w:val="BalloonTextChar"/>
    <w:uiPriority w:val="99"/>
    <w:semiHidden/>
    <w:unhideWhenUsed/>
    <w:rsid w:val="00ED71DA"/>
    <w:rPr>
      <w:rFonts w:ascii="Tahoma" w:hAnsi="Tahoma"/>
      <w:sz w:val="16"/>
      <w:szCs w:val="16"/>
    </w:rPr>
  </w:style>
  <w:style w:type="character" w:customStyle="1" w:styleId="BalloonTextChar">
    <w:name w:val="Balloon Text Char"/>
    <w:basedOn w:val="DefaultParagraphFont"/>
    <w:link w:val="BalloonText"/>
    <w:uiPriority w:val="99"/>
    <w:semiHidden/>
    <w:rsid w:val="00ED71DA"/>
    <w:rPr>
      <w:rFonts w:ascii="Tahoma" w:hAnsi="Tahoma"/>
      <w:sz w:val="16"/>
      <w:szCs w:val="16"/>
    </w:rPr>
  </w:style>
  <w:style w:type="paragraph" w:styleId="ListParagraph">
    <w:name w:val="List Paragraph"/>
    <w:basedOn w:val="Normal"/>
    <w:uiPriority w:val="34"/>
    <w:qFormat/>
    <w:rsid w:val="00A6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Root Docs - Greater Springfield Endodontics</cp:lastModifiedBy>
  <cp:revision>7</cp:revision>
  <cp:lastPrinted>2019-07-25T17:33:00Z</cp:lastPrinted>
  <dcterms:created xsi:type="dcterms:W3CDTF">2021-07-08T19:16:00Z</dcterms:created>
  <dcterms:modified xsi:type="dcterms:W3CDTF">2024-12-11T17:13:00Z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