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ADD" w14:textId="620649F7" w:rsidR="00BB5F42" w:rsidRDefault="00BB5F42">
      <w:r>
        <w:rPr>
          <w:rFonts w:ascii="Arial" w:hAnsi="Arial"/>
          <w:b/>
          <w:noProof/>
          <w:lang w:eastAsia="en-GB"/>
        </w:rPr>
        <w:drawing>
          <wp:anchor distT="0" distB="0" distL="114300" distR="114300" simplePos="0" relativeHeight="251659264" behindDoc="0" locked="0" layoutInCell="1" allowOverlap="1" wp14:anchorId="5DE94E9C" wp14:editId="26507D8C">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1D261" w14:textId="237D52A8" w:rsidR="00BB5F42" w:rsidRDefault="00BB5F42"/>
    <w:p w14:paraId="3069C8F6" w14:textId="77777777" w:rsidR="00BB5F42" w:rsidRDefault="00BB5F42" w:rsidP="00BB5F42">
      <w:pPr>
        <w:spacing w:after="0" w:line="360" w:lineRule="auto"/>
      </w:pPr>
    </w:p>
    <w:p w14:paraId="30ACC2E4" w14:textId="746DB947" w:rsidR="00BB5F42" w:rsidRPr="00A20D69" w:rsidRDefault="00BB5F42" w:rsidP="00BB5F42">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Transfer of records to school</w:t>
      </w:r>
    </w:p>
    <w:p w14:paraId="6EBD5F0B" w14:textId="77777777" w:rsidR="00BB5F42" w:rsidRPr="00A20D69" w:rsidRDefault="00BB5F42" w:rsidP="00BB5F42">
      <w:pPr>
        <w:spacing w:after="0" w:line="360" w:lineRule="auto"/>
        <w:rPr>
          <w:rFonts w:ascii="Arial" w:eastAsia="Times New Roman" w:hAnsi="Arial" w:cs="Arial"/>
          <w:b/>
          <w:lang w:eastAsia="en-GB"/>
        </w:rPr>
      </w:pPr>
    </w:p>
    <w:p w14:paraId="71F42E5E" w14:textId="77777777" w:rsidR="00BB5F42" w:rsidRPr="00A20D69" w:rsidRDefault="00BB5F42" w:rsidP="00BB5F42">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3FA3B247" w14:textId="77777777" w:rsidR="00BB5F42" w:rsidRPr="00A20D69" w:rsidRDefault="00BB5F42" w:rsidP="00BB5F42">
      <w:pPr>
        <w:spacing w:after="0" w:line="360" w:lineRule="auto"/>
        <w:rPr>
          <w:rFonts w:ascii="Arial" w:eastAsia="Times New Roman" w:hAnsi="Arial" w:cs="Arial"/>
          <w:b/>
          <w:lang w:eastAsia="en-GB"/>
        </w:rPr>
      </w:pPr>
    </w:p>
    <w:p w14:paraId="05FB1774" w14:textId="77777777" w:rsidR="00BB5F42" w:rsidRPr="00A20D69" w:rsidRDefault="00BB5F42" w:rsidP="00BB5F42">
      <w:pPr>
        <w:spacing w:after="0" w:line="360" w:lineRule="auto"/>
        <w:rPr>
          <w:rFonts w:ascii="Arial" w:eastAsia="Times New Roman" w:hAnsi="Arial" w:cs="Arial"/>
          <w:lang w:eastAsia="en-GB"/>
        </w:rPr>
      </w:pPr>
      <w:r w:rsidRPr="00A20D69">
        <w:rPr>
          <w:rFonts w:ascii="Arial" w:eastAsia="Times New Roman" w:hAnsi="Arial" w:cs="Arial"/>
          <w:lang w:eastAsia="en-GB"/>
        </w:rPr>
        <w:t>We recognise that children sometimes move to another early years setting before they go on to school although many will leave our setting to enter a nursery or reception class.</w:t>
      </w:r>
    </w:p>
    <w:p w14:paraId="0CBF5F76" w14:textId="77777777" w:rsidR="00BB5F42" w:rsidRPr="00A20D69" w:rsidRDefault="00BB5F42" w:rsidP="00BB5F42">
      <w:pPr>
        <w:spacing w:after="0" w:line="360" w:lineRule="auto"/>
        <w:rPr>
          <w:rFonts w:ascii="Arial" w:eastAsia="Times New Roman" w:hAnsi="Arial" w:cs="Arial"/>
          <w:lang w:eastAsia="en-GB"/>
        </w:rPr>
      </w:pPr>
    </w:p>
    <w:p w14:paraId="24BDECB0" w14:textId="77777777" w:rsidR="00BB5F42" w:rsidRPr="00A20D69" w:rsidRDefault="00BB5F42" w:rsidP="00BB5F42">
      <w:pPr>
        <w:spacing w:after="0" w:line="360" w:lineRule="auto"/>
        <w:rPr>
          <w:rFonts w:ascii="Arial" w:eastAsia="Times New Roman" w:hAnsi="Arial" w:cs="Arial"/>
          <w:lang w:eastAsia="en-GB"/>
        </w:rPr>
      </w:pPr>
      <w:r w:rsidRPr="269DDE2B">
        <w:rPr>
          <w:rFonts w:ascii="Arial" w:eastAsia="Times New Roman" w:hAnsi="Arial" w:cs="Arial"/>
          <w:lang w:eastAsia="en-GB"/>
        </w:rPr>
        <w:t xml:space="preserve">We prepare children for these transitions and involve parents and the receiving setting in this process. We prepare records about a child’s development and learning in the EYFS in our setting; </w:t>
      </w:r>
      <w:proofErr w:type="gramStart"/>
      <w:r w:rsidRPr="269DDE2B">
        <w:rPr>
          <w:rFonts w:ascii="Arial" w:eastAsia="Times New Roman" w:hAnsi="Arial" w:cs="Arial"/>
          <w:lang w:eastAsia="en-GB"/>
        </w:rPr>
        <w:t>in order to</w:t>
      </w:r>
      <w:proofErr w:type="gramEnd"/>
      <w:r w:rsidRPr="269DDE2B">
        <w:rPr>
          <w:rFonts w:ascii="Arial" w:eastAsia="Times New Roman" w:hAnsi="Arial" w:cs="Arial"/>
          <w:lang w:eastAsia="en-GB"/>
        </w:rPr>
        <w:t xml:space="preserve"> enable smooth transitions, we share appropriate information with the receiving setting or school at transfer.</w:t>
      </w:r>
    </w:p>
    <w:p w14:paraId="252DE5F8" w14:textId="77777777" w:rsidR="00BB5F42" w:rsidRPr="00A20D69" w:rsidRDefault="00BB5F42" w:rsidP="00BB5F42">
      <w:pPr>
        <w:spacing w:after="0" w:line="360" w:lineRule="auto"/>
        <w:rPr>
          <w:rFonts w:ascii="Arial" w:eastAsia="Times New Roman" w:hAnsi="Arial" w:cs="Arial"/>
          <w:lang w:eastAsia="en-GB"/>
        </w:rPr>
      </w:pPr>
    </w:p>
    <w:p w14:paraId="6CDC2040" w14:textId="77777777" w:rsidR="00BB5F42" w:rsidRPr="00A20D69" w:rsidRDefault="00BB5F42" w:rsidP="00BB5F42">
      <w:pPr>
        <w:spacing w:after="0" w:line="360" w:lineRule="auto"/>
        <w:rPr>
          <w:rFonts w:ascii="Arial" w:eastAsia="Times New Roman" w:hAnsi="Arial" w:cs="Arial"/>
          <w:lang w:eastAsia="en-GB"/>
        </w:rPr>
      </w:pPr>
      <w:r w:rsidRPr="00A20D69">
        <w:rPr>
          <w:rFonts w:ascii="Arial" w:eastAsia="Times New Roman" w:hAnsi="Arial" w:cs="Arial"/>
          <w:lang w:eastAsia="en-GB"/>
        </w:rPr>
        <w:t>Confidential records are shared where there have been child protection concerns according to the process required by our Local Safeguarding Children Board.</w:t>
      </w:r>
    </w:p>
    <w:p w14:paraId="53CE2A30" w14:textId="77777777" w:rsidR="00BB5F42" w:rsidRPr="00A20D69" w:rsidRDefault="00BB5F42" w:rsidP="00BB5F42">
      <w:pPr>
        <w:spacing w:after="0" w:line="360" w:lineRule="auto"/>
        <w:rPr>
          <w:rFonts w:ascii="Arial" w:eastAsia="Times New Roman" w:hAnsi="Arial" w:cs="Arial"/>
          <w:lang w:eastAsia="en-GB"/>
        </w:rPr>
      </w:pPr>
    </w:p>
    <w:p w14:paraId="273565DB" w14:textId="77777777" w:rsidR="00BB5F42" w:rsidRPr="00A20D69" w:rsidRDefault="00BB5F42" w:rsidP="00BB5F42">
      <w:pPr>
        <w:spacing w:after="0" w:line="360" w:lineRule="auto"/>
        <w:rPr>
          <w:rFonts w:ascii="Arial" w:eastAsia="Times New Roman" w:hAnsi="Arial" w:cs="Arial"/>
          <w:lang w:eastAsia="en-GB"/>
        </w:rPr>
      </w:pPr>
      <w:r w:rsidRPr="00A20D69">
        <w:rPr>
          <w:rFonts w:ascii="Arial" w:eastAsia="Times New Roman" w:hAnsi="Arial" w:cs="Arial"/>
          <w:lang w:eastAsia="en-GB"/>
        </w:rPr>
        <w:t>The procedure guides this process and determines what information we can and cannot share with a receiving school or setting (see our Privacy Notice).</w:t>
      </w:r>
    </w:p>
    <w:p w14:paraId="4691440C" w14:textId="77777777" w:rsidR="00BB5F42" w:rsidRPr="00A20D69" w:rsidRDefault="00BB5F42" w:rsidP="00BB5F42">
      <w:pPr>
        <w:spacing w:after="0" w:line="360" w:lineRule="auto"/>
        <w:rPr>
          <w:rFonts w:ascii="Arial" w:eastAsia="Times New Roman" w:hAnsi="Arial" w:cs="Arial"/>
          <w:b/>
          <w:lang w:eastAsia="en-GB"/>
        </w:rPr>
      </w:pPr>
    </w:p>
    <w:p w14:paraId="4DEC50C2" w14:textId="77777777" w:rsidR="00BB5F42" w:rsidRPr="00A20D69" w:rsidRDefault="00BB5F42" w:rsidP="00BB5F42">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7DE2F87E" w14:textId="77777777" w:rsidR="00BB5F42" w:rsidRPr="00A20D69" w:rsidRDefault="00BB5F42" w:rsidP="00BB5F42">
      <w:pPr>
        <w:spacing w:after="0" w:line="360" w:lineRule="auto"/>
        <w:rPr>
          <w:rFonts w:ascii="Arial" w:eastAsia="Times New Roman" w:hAnsi="Arial" w:cs="Arial"/>
          <w:b/>
          <w:lang w:eastAsia="en-GB"/>
        </w:rPr>
      </w:pPr>
    </w:p>
    <w:p w14:paraId="0763E7B2" w14:textId="77777777" w:rsidR="00BB5F42" w:rsidRPr="00A20D69" w:rsidRDefault="00BB5F42" w:rsidP="00BB5F42">
      <w:pPr>
        <w:spacing w:after="0" w:line="360" w:lineRule="auto"/>
        <w:rPr>
          <w:rFonts w:ascii="Arial" w:eastAsia="Times New Roman" w:hAnsi="Arial" w:cs="Arial"/>
          <w:i/>
          <w:lang w:eastAsia="en-GB"/>
        </w:rPr>
      </w:pPr>
      <w:r w:rsidRPr="00A20D69">
        <w:rPr>
          <w:rFonts w:ascii="Arial" w:eastAsia="Times New Roman" w:hAnsi="Arial" w:cs="Arial"/>
          <w:i/>
          <w:lang w:eastAsia="en-GB"/>
        </w:rPr>
        <w:t>Transfer of development records for a child moving to another early years setting or school</w:t>
      </w:r>
    </w:p>
    <w:p w14:paraId="1EBC5D20" w14:textId="77777777" w:rsidR="00BB5F42" w:rsidRPr="00A20D69" w:rsidRDefault="00BB5F42" w:rsidP="00BB5F42">
      <w:pPr>
        <w:numPr>
          <w:ilvl w:val="0"/>
          <w:numId w:val="1"/>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Using the EYFS assessment of development and learning ensure the key person prepares a summary of achievements in the 7 areas of learning and development.</w:t>
      </w:r>
    </w:p>
    <w:p w14:paraId="3B4D56B6" w14:textId="77777777" w:rsidR="00BB5F42" w:rsidRPr="00A20D69" w:rsidRDefault="00BB5F42" w:rsidP="00BB5F42">
      <w:pPr>
        <w:numPr>
          <w:ilvl w:val="0"/>
          <w:numId w:val="1"/>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This record refers to any additional language spoken by the child and his or her progress in both languages.</w:t>
      </w:r>
    </w:p>
    <w:p w14:paraId="210465E7" w14:textId="77777777" w:rsidR="00BB5F42" w:rsidRPr="00A20D69" w:rsidRDefault="00BB5F42" w:rsidP="00BB5F42">
      <w:pPr>
        <w:numPr>
          <w:ilvl w:val="0"/>
          <w:numId w:val="1"/>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The record also refers to any additional needs that have been identified or addressed by the setting.</w:t>
      </w:r>
    </w:p>
    <w:p w14:paraId="40C603F8" w14:textId="77777777" w:rsidR="00BB5F42" w:rsidRPr="00A20D69" w:rsidRDefault="00BB5F42" w:rsidP="00BB5F42">
      <w:pPr>
        <w:numPr>
          <w:ilvl w:val="0"/>
          <w:numId w:val="1"/>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The record also refers to any special needs or disability and whether a CAF was raised in respect of special needs or disability, whether there is a Statement of Special Educational Needs and gives the name of the lead professional.</w:t>
      </w:r>
    </w:p>
    <w:p w14:paraId="07930BA7" w14:textId="77777777" w:rsidR="00BB5F42" w:rsidRPr="00A20D69" w:rsidRDefault="00BB5F42" w:rsidP="00BB5F42">
      <w:pPr>
        <w:numPr>
          <w:ilvl w:val="0"/>
          <w:numId w:val="1"/>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The record contains a summary by the key person and a summary of the parent’s view of the child.</w:t>
      </w:r>
    </w:p>
    <w:p w14:paraId="2F32AEE1" w14:textId="77777777" w:rsidR="00BB5F42" w:rsidRPr="00A20D69" w:rsidRDefault="00BB5F42" w:rsidP="00BB5F42">
      <w:pPr>
        <w:numPr>
          <w:ilvl w:val="0"/>
          <w:numId w:val="1"/>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lastRenderedPageBreak/>
        <w:t>The document may be accompanied by other evidence such as photos or drawings that the child has made.</w:t>
      </w:r>
    </w:p>
    <w:p w14:paraId="466BC3D5" w14:textId="77777777" w:rsidR="00BB5F42" w:rsidRDefault="00BB5F42" w:rsidP="00BB5F42">
      <w:pPr>
        <w:numPr>
          <w:ilvl w:val="0"/>
          <w:numId w:val="1"/>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If there have been any welfare or protection concerns a star is placed on the front of the assessment record</w:t>
      </w:r>
      <w:r>
        <w:rPr>
          <w:rFonts w:ascii="Arial" w:eastAsia="Times New Roman" w:hAnsi="Arial" w:cs="Arial"/>
          <w:lang w:eastAsia="en-GB"/>
        </w:rPr>
        <w:t>.</w:t>
      </w:r>
    </w:p>
    <w:p w14:paraId="2F4490E8" w14:textId="77777777" w:rsidR="00BB5F42" w:rsidRPr="00B82A42" w:rsidRDefault="00BB5F42" w:rsidP="00BB5F42">
      <w:pPr>
        <w:spacing w:after="0" w:line="360" w:lineRule="auto"/>
        <w:contextualSpacing/>
        <w:rPr>
          <w:rFonts w:ascii="Arial" w:eastAsia="Times New Roman" w:hAnsi="Arial" w:cs="Arial"/>
          <w:b/>
          <w:lang w:eastAsia="en-GB"/>
        </w:rPr>
      </w:pPr>
      <w:r w:rsidRPr="00B82A42">
        <w:rPr>
          <w:rFonts w:ascii="Arial" w:eastAsia="Times New Roman" w:hAnsi="Arial" w:cs="Arial"/>
          <w:i/>
          <w:lang w:eastAsia="en-GB"/>
        </w:rPr>
        <w:t>Transfer of confidential information</w:t>
      </w:r>
    </w:p>
    <w:p w14:paraId="7477D58A" w14:textId="77777777" w:rsidR="00BB5F42" w:rsidRPr="00A20D69" w:rsidRDefault="00BB5F42" w:rsidP="00BB5F42">
      <w:pPr>
        <w:numPr>
          <w:ilvl w:val="0"/>
          <w:numId w:val="2"/>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The receiving school or setting will need to have a record of concerns that were raised in the setting and what was done about them.</w:t>
      </w:r>
    </w:p>
    <w:p w14:paraId="3448175A" w14:textId="77777777" w:rsidR="00BB5F42" w:rsidRPr="00A20D69" w:rsidRDefault="00BB5F42" w:rsidP="00BB5F42">
      <w:pPr>
        <w:numPr>
          <w:ilvl w:val="0"/>
          <w:numId w:val="2"/>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A summary of the concerns will be made to send to the receiving setting or school along with the date of the last professional meeting or case conference. Some Local Safeguarding Children Boards will stipulate the forms to be used and provide these.</w:t>
      </w:r>
    </w:p>
    <w:p w14:paraId="4CB4BA3A" w14:textId="77777777" w:rsidR="00BB5F42" w:rsidRPr="00A20D69" w:rsidRDefault="00BB5F42" w:rsidP="00BB5F42">
      <w:pPr>
        <w:numPr>
          <w:ilvl w:val="0"/>
          <w:numId w:val="2"/>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Where a CAF has been raised in respect of any welfare concerns the name and contact details of the lead professional will be passed on to the receiving setting or school.</w:t>
      </w:r>
    </w:p>
    <w:p w14:paraId="4C591770" w14:textId="77777777" w:rsidR="00BB5F42" w:rsidRPr="00A20D69" w:rsidRDefault="00BB5F42" w:rsidP="00BB5F42">
      <w:pPr>
        <w:numPr>
          <w:ilvl w:val="0"/>
          <w:numId w:val="2"/>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Where there has been a s47 investigation regarding a child protection concern the name and contact details of the child’s social worker will be passed on to the receiving setting or school – regardless of the outcome of the investigation.</w:t>
      </w:r>
    </w:p>
    <w:p w14:paraId="10E511C3" w14:textId="77777777" w:rsidR="00BB5F42" w:rsidRPr="00A20D69" w:rsidRDefault="00BB5F42" w:rsidP="00BB5F42">
      <w:pPr>
        <w:numPr>
          <w:ilvl w:val="0"/>
          <w:numId w:val="2"/>
        </w:numPr>
        <w:spacing w:after="0" w:line="360" w:lineRule="auto"/>
        <w:contextualSpacing/>
        <w:rPr>
          <w:rFonts w:ascii="Arial" w:eastAsia="Times New Roman" w:hAnsi="Arial" w:cs="Arial"/>
          <w:b/>
          <w:lang w:eastAsia="en-GB"/>
        </w:rPr>
      </w:pPr>
      <w:r w:rsidRPr="00A20D69">
        <w:rPr>
          <w:rFonts w:ascii="Arial" w:eastAsia="Times New Roman" w:hAnsi="Arial" w:cs="Arial"/>
          <w:lang w:eastAsia="en-GB"/>
        </w:rPr>
        <w:t>This information is posted or taken to the school or setting, addressed to the setting or school’s designated person for child protection and marked confidential.</w:t>
      </w:r>
    </w:p>
    <w:p w14:paraId="3EE712CC" w14:textId="77777777" w:rsidR="00BB5F42" w:rsidRPr="00A20D69" w:rsidRDefault="00BB5F42" w:rsidP="00BB5F42">
      <w:pPr>
        <w:spacing w:after="0" w:line="360" w:lineRule="auto"/>
        <w:ind w:left="360"/>
        <w:rPr>
          <w:rFonts w:ascii="Arial" w:eastAsia="Times New Roman" w:hAnsi="Arial" w:cs="Arial"/>
          <w:lang w:eastAsia="en-GB"/>
        </w:rPr>
      </w:pPr>
    </w:p>
    <w:p w14:paraId="72E17BE3" w14:textId="77777777" w:rsidR="00BB5F42" w:rsidRPr="00A20D69" w:rsidRDefault="00BB5F42" w:rsidP="00BB5F42">
      <w:pPr>
        <w:spacing w:after="0" w:line="360" w:lineRule="auto"/>
        <w:rPr>
          <w:rFonts w:ascii="Arial" w:eastAsia="Times New Roman" w:hAnsi="Arial" w:cs="Arial"/>
          <w:lang w:eastAsia="en-GB"/>
        </w:rPr>
      </w:pPr>
    </w:p>
    <w:p w14:paraId="652B5B51" w14:textId="77777777" w:rsidR="00BB5F42" w:rsidRPr="00A20D69" w:rsidRDefault="00BB5F42" w:rsidP="00BB5F42">
      <w:pPr>
        <w:spacing w:after="0" w:line="360" w:lineRule="auto"/>
        <w:rPr>
          <w:rFonts w:ascii="Arial" w:eastAsia="Times New Roman" w:hAnsi="Arial" w:cs="Arial"/>
          <w:lang w:eastAsia="en-GB"/>
        </w:rPr>
      </w:pPr>
    </w:p>
    <w:tbl>
      <w:tblPr>
        <w:tblStyle w:val="TableGrid"/>
        <w:tblW w:w="5000" w:type="pct"/>
        <w:tblLook w:val="01E0" w:firstRow="1" w:lastRow="1" w:firstColumn="1" w:lastColumn="1" w:noHBand="0" w:noVBand="0"/>
      </w:tblPr>
      <w:tblGrid>
        <w:gridCol w:w="4807"/>
        <w:gridCol w:w="4209"/>
      </w:tblGrid>
      <w:tr w:rsidR="00BB5F42" w:rsidRPr="00A20D69" w14:paraId="4E384F96" w14:textId="77777777" w:rsidTr="00D213F4">
        <w:tc>
          <w:tcPr>
            <w:tcW w:w="2666" w:type="pct"/>
          </w:tcPr>
          <w:p w14:paraId="4B5B1E8C" w14:textId="77777777" w:rsidR="00BB5F42" w:rsidRPr="00A20D69" w:rsidRDefault="00BB5F42" w:rsidP="00D213F4">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334" w:type="pct"/>
          </w:tcPr>
          <w:p w14:paraId="01AFBED3" w14:textId="3D6EBBE3" w:rsidR="00BB5F42" w:rsidRPr="00A20D69" w:rsidRDefault="00BB5F42" w:rsidP="00BB5F42">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BB5F42" w:rsidRPr="00A20D69" w14:paraId="1CCA7D6E" w14:textId="77777777" w:rsidTr="00D213F4">
        <w:tc>
          <w:tcPr>
            <w:tcW w:w="2666" w:type="pct"/>
          </w:tcPr>
          <w:p w14:paraId="61520A67" w14:textId="77777777" w:rsidR="00BB5F42" w:rsidRPr="00A20D69" w:rsidRDefault="00BB5F42" w:rsidP="00D213F4">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334" w:type="pct"/>
          </w:tcPr>
          <w:p w14:paraId="23660B41" w14:textId="20A3A742" w:rsidR="00BB5F42" w:rsidRPr="00A20D69" w:rsidRDefault="00BB5F42" w:rsidP="00BB5F42">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BB5F42" w:rsidRPr="00A20D69" w14:paraId="4FB82824" w14:textId="77777777" w:rsidTr="00D213F4">
        <w:tc>
          <w:tcPr>
            <w:tcW w:w="2666" w:type="pct"/>
          </w:tcPr>
          <w:p w14:paraId="1F3A9D02" w14:textId="77777777" w:rsidR="00BB5F42" w:rsidRPr="00A20D69" w:rsidRDefault="00BB5F42" w:rsidP="00D213F4">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334" w:type="pct"/>
          </w:tcPr>
          <w:p w14:paraId="26A62A79" w14:textId="5492D701" w:rsidR="00BB5F42" w:rsidRPr="00A20D69" w:rsidRDefault="00BB5F42" w:rsidP="00D213F4">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p>
        </w:tc>
      </w:tr>
      <w:tr w:rsidR="00BB5F42" w:rsidRPr="00A20D69" w14:paraId="1B0B45FD" w14:textId="77777777" w:rsidTr="00D213F4">
        <w:tc>
          <w:tcPr>
            <w:tcW w:w="2666" w:type="pct"/>
          </w:tcPr>
          <w:p w14:paraId="66E8D228" w14:textId="77777777" w:rsidR="00BB5F42" w:rsidRPr="00A20D69" w:rsidRDefault="00BB5F42" w:rsidP="00D213F4">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334" w:type="pct"/>
          </w:tcPr>
          <w:p w14:paraId="0CD323A6" w14:textId="5754BFDA" w:rsidR="00BB5F42" w:rsidRPr="00A20D69" w:rsidRDefault="00BB5F42" w:rsidP="00D213F4">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BB5F42" w:rsidRPr="00A20D69" w14:paraId="5F95E487" w14:textId="77777777" w:rsidTr="00D213F4">
        <w:tc>
          <w:tcPr>
            <w:tcW w:w="2666" w:type="pct"/>
          </w:tcPr>
          <w:p w14:paraId="1A88B49C" w14:textId="77777777" w:rsidR="00BB5F42" w:rsidRPr="00A20D69" w:rsidRDefault="00BB5F42" w:rsidP="00D213F4">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334" w:type="pct"/>
          </w:tcPr>
          <w:p w14:paraId="098572E8" w14:textId="6CA21537" w:rsidR="00BB5F42" w:rsidRPr="00A20D69" w:rsidRDefault="00BB5F42" w:rsidP="00D213F4">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BB5F42" w:rsidRPr="00A20D69" w14:paraId="7167CBE4" w14:textId="77777777" w:rsidTr="00D213F4">
        <w:tc>
          <w:tcPr>
            <w:tcW w:w="2666" w:type="pct"/>
          </w:tcPr>
          <w:p w14:paraId="146CFC5E" w14:textId="77777777" w:rsidR="00BB5F42" w:rsidRPr="00A20D69" w:rsidRDefault="00BB5F42" w:rsidP="00D213F4">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334" w:type="pct"/>
          </w:tcPr>
          <w:p w14:paraId="341A5626" w14:textId="1A510051" w:rsidR="00BB5F42" w:rsidRPr="00A20D69" w:rsidRDefault="00BB5F42" w:rsidP="00D213F4">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BB5F42" w:rsidRPr="00A20D69" w14:paraId="74AD79E7" w14:textId="77777777" w:rsidTr="00D213F4">
        <w:tc>
          <w:tcPr>
            <w:tcW w:w="2666" w:type="pct"/>
          </w:tcPr>
          <w:p w14:paraId="3605CCBC" w14:textId="77777777" w:rsidR="00BB5F42" w:rsidRDefault="00BB5F42" w:rsidP="00D213F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334" w:type="pct"/>
          </w:tcPr>
          <w:p w14:paraId="178C1926" w14:textId="18273FA7" w:rsidR="00BB5F42" w:rsidRPr="00A20D69" w:rsidRDefault="00BB5F42" w:rsidP="00D213F4">
            <w:pPr>
              <w:spacing w:line="360" w:lineRule="auto"/>
              <w:rPr>
                <w:rFonts w:ascii="Arial" w:eastAsia="Times New Roman" w:hAnsi="Arial" w:cs="Arial"/>
                <w:lang w:eastAsia="en-GB"/>
              </w:rPr>
            </w:pPr>
            <w:r>
              <w:rPr>
                <w:rFonts w:ascii="Arial" w:eastAsia="Times New Roman" w:hAnsi="Arial" w:cs="Arial"/>
                <w:lang w:eastAsia="en-GB"/>
              </w:rPr>
              <w:t>Gary Walsh</w:t>
            </w:r>
          </w:p>
        </w:tc>
      </w:tr>
      <w:tr w:rsidR="00BB5F42" w:rsidRPr="00A20D69" w14:paraId="3DF62DDD" w14:textId="77777777" w:rsidTr="00D213F4">
        <w:tc>
          <w:tcPr>
            <w:tcW w:w="2666" w:type="pct"/>
          </w:tcPr>
          <w:p w14:paraId="3E2A8E7A" w14:textId="77777777" w:rsidR="00BB5F42" w:rsidRDefault="00BB5F42" w:rsidP="00D213F4">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334" w:type="pct"/>
          </w:tcPr>
          <w:p w14:paraId="01A8A608" w14:textId="610BB565" w:rsidR="00BB5F42" w:rsidRPr="00A20D69" w:rsidRDefault="00BB5F42" w:rsidP="00D213F4">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0B286C5F" w14:textId="29B25A7F" w:rsidR="00BB5F42" w:rsidRDefault="00BB5F42"/>
    <w:p w14:paraId="7F1BF2DB" w14:textId="1A7A5472"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C72E" w14:textId="77777777" w:rsidR="005E4FE1" w:rsidRDefault="005E4FE1" w:rsidP="00BB5F42">
      <w:pPr>
        <w:spacing w:after="0" w:line="240" w:lineRule="auto"/>
      </w:pPr>
      <w:r>
        <w:separator/>
      </w:r>
    </w:p>
  </w:endnote>
  <w:endnote w:type="continuationSeparator" w:id="0">
    <w:p w14:paraId="15F9299A" w14:textId="77777777" w:rsidR="005E4FE1" w:rsidRDefault="005E4FE1" w:rsidP="00BB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0D04" w14:textId="77777777" w:rsidR="005E4FE1" w:rsidRDefault="005E4FE1" w:rsidP="00BB5F42">
      <w:pPr>
        <w:spacing w:after="0" w:line="240" w:lineRule="auto"/>
      </w:pPr>
      <w:r>
        <w:separator/>
      </w:r>
    </w:p>
  </w:footnote>
  <w:footnote w:type="continuationSeparator" w:id="0">
    <w:p w14:paraId="3E04FB58" w14:textId="77777777" w:rsidR="005E4FE1" w:rsidRDefault="005E4FE1" w:rsidP="00BB5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8D4B" w14:textId="718A21BC" w:rsidR="00BB5F42" w:rsidRDefault="00BB5F42">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0C95"/>
    <w:multiLevelType w:val="hybridMultilevel"/>
    <w:tmpl w:val="D6CC08EA"/>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FE3CD9"/>
    <w:multiLevelType w:val="hybridMultilevel"/>
    <w:tmpl w:val="20F6E73C"/>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BF710B"/>
    <w:multiLevelType w:val="hybridMultilevel"/>
    <w:tmpl w:val="4AB8F076"/>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71157D"/>
    <w:multiLevelType w:val="hybridMultilevel"/>
    <w:tmpl w:val="BCCA205C"/>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6064643">
    <w:abstractNumId w:val="1"/>
  </w:num>
  <w:num w:numId="2" w16cid:durableId="765924335">
    <w:abstractNumId w:val="0"/>
  </w:num>
  <w:num w:numId="3" w16cid:durableId="358316997">
    <w:abstractNumId w:val="3"/>
  </w:num>
  <w:num w:numId="4" w16cid:durableId="754059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42"/>
    <w:rsid w:val="00263DEA"/>
    <w:rsid w:val="003869D3"/>
    <w:rsid w:val="005E4FE1"/>
    <w:rsid w:val="009046DF"/>
    <w:rsid w:val="00975C2B"/>
    <w:rsid w:val="00BB5F42"/>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04B8"/>
  <w15:chartTrackingRefBased/>
  <w15:docId w15:val="{00A35536-7F4F-4306-8AE8-342541F2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F42"/>
    <w:rPr>
      <w:rFonts w:eastAsiaTheme="majorEastAsia" w:cstheme="majorBidi"/>
      <w:color w:val="272727" w:themeColor="text1" w:themeTint="D8"/>
    </w:rPr>
  </w:style>
  <w:style w:type="paragraph" w:styleId="Title">
    <w:name w:val="Title"/>
    <w:basedOn w:val="Normal"/>
    <w:next w:val="Normal"/>
    <w:link w:val="TitleChar"/>
    <w:uiPriority w:val="10"/>
    <w:qFormat/>
    <w:rsid w:val="00BB5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F42"/>
    <w:pPr>
      <w:spacing w:before="160"/>
      <w:jc w:val="center"/>
    </w:pPr>
    <w:rPr>
      <w:i/>
      <w:iCs/>
      <w:color w:val="404040" w:themeColor="text1" w:themeTint="BF"/>
    </w:rPr>
  </w:style>
  <w:style w:type="character" w:customStyle="1" w:styleId="QuoteChar">
    <w:name w:val="Quote Char"/>
    <w:basedOn w:val="DefaultParagraphFont"/>
    <w:link w:val="Quote"/>
    <w:uiPriority w:val="29"/>
    <w:rsid w:val="00BB5F42"/>
    <w:rPr>
      <w:i/>
      <w:iCs/>
      <w:color w:val="404040" w:themeColor="text1" w:themeTint="BF"/>
    </w:rPr>
  </w:style>
  <w:style w:type="paragraph" w:styleId="ListParagraph">
    <w:name w:val="List Paragraph"/>
    <w:basedOn w:val="Normal"/>
    <w:uiPriority w:val="34"/>
    <w:qFormat/>
    <w:rsid w:val="00BB5F42"/>
    <w:pPr>
      <w:ind w:left="720"/>
      <w:contextualSpacing/>
    </w:pPr>
  </w:style>
  <w:style w:type="character" w:styleId="IntenseEmphasis">
    <w:name w:val="Intense Emphasis"/>
    <w:basedOn w:val="DefaultParagraphFont"/>
    <w:uiPriority w:val="21"/>
    <w:qFormat/>
    <w:rsid w:val="00BB5F42"/>
    <w:rPr>
      <w:i/>
      <w:iCs/>
      <w:color w:val="0F4761" w:themeColor="accent1" w:themeShade="BF"/>
    </w:rPr>
  </w:style>
  <w:style w:type="paragraph" w:styleId="IntenseQuote">
    <w:name w:val="Intense Quote"/>
    <w:basedOn w:val="Normal"/>
    <w:next w:val="Normal"/>
    <w:link w:val="IntenseQuoteChar"/>
    <w:uiPriority w:val="30"/>
    <w:qFormat/>
    <w:rsid w:val="00BB5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F42"/>
    <w:rPr>
      <w:i/>
      <w:iCs/>
      <w:color w:val="0F4761" w:themeColor="accent1" w:themeShade="BF"/>
    </w:rPr>
  </w:style>
  <w:style w:type="character" w:styleId="IntenseReference">
    <w:name w:val="Intense Reference"/>
    <w:basedOn w:val="DefaultParagraphFont"/>
    <w:uiPriority w:val="32"/>
    <w:qFormat/>
    <w:rsid w:val="00BB5F42"/>
    <w:rPr>
      <w:b/>
      <w:bCs/>
      <w:smallCaps/>
      <w:color w:val="0F4761" w:themeColor="accent1" w:themeShade="BF"/>
      <w:spacing w:val="5"/>
    </w:rPr>
  </w:style>
  <w:style w:type="paragraph" w:styleId="Header">
    <w:name w:val="header"/>
    <w:basedOn w:val="Normal"/>
    <w:link w:val="HeaderChar"/>
    <w:uiPriority w:val="99"/>
    <w:unhideWhenUsed/>
    <w:rsid w:val="00BB5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F42"/>
  </w:style>
  <w:style w:type="paragraph" w:styleId="Footer">
    <w:name w:val="footer"/>
    <w:basedOn w:val="Normal"/>
    <w:link w:val="FooterChar"/>
    <w:uiPriority w:val="99"/>
    <w:unhideWhenUsed/>
    <w:rsid w:val="00BB5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F42"/>
  </w:style>
  <w:style w:type="paragraph" w:styleId="BodyText">
    <w:name w:val="Body Text"/>
    <w:basedOn w:val="Normal"/>
    <w:link w:val="BodyTextChar"/>
    <w:uiPriority w:val="99"/>
    <w:semiHidden/>
    <w:rsid w:val="00BB5F42"/>
    <w:pPr>
      <w:spacing w:before="120" w:after="120" w:line="240" w:lineRule="auto"/>
    </w:pPr>
    <w:rPr>
      <w:rFonts w:ascii="Arial" w:eastAsia="Times New Roman" w:hAnsi="Arial" w:cs="Times New Roman"/>
      <w:i/>
      <w:kern w:val="0"/>
      <w:sz w:val="24"/>
      <w:szCs w:val="24"/>
      <w:lang w:eastAsia="en-GB"/>
      <w14:ligatures w14:val="none"/>
    </w:rPr>
  </w:style>
  <w:style w:type="character" w:customStyle="1" w:styleId="BodyTextChar">
    <w:name w:val="Body Text Char"/>
    <w:basedOn w:val="DefaultParagraphFont"/>
    <w:link w:val="BodyText"/>
    <w:uiPriority w:val="99"/>
    <w:semiHidden/>
    <w:rsid w:val="00BB5F42"/>
    <w:rPr>
      <w:rFonts w:ascii="Arial" w:eastAsia="Times New Roman" w:hAnsi="Arial" w:cs="Times New Roman"/>
      <w:i/>
      <w:kern w:val="0"/>
      <w:sz w:val="24"/>
      <w:szCs w:val="24"/>
      <w:lang w:eastAsia="en-GB"/>
      <w14:ligatures w14:val="none"/>
    </w:rPr>
  </w:style>
  <w:style w:type="table" w:styleId="TableGrid">
    <w:name w:val="Table Grid"/>
    <w:basedOn w:val="TableNormal"/>
    <w:uiPriority w:val="59"/>
    <w:rsid w:val="00BB5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2025-12-03T10:26:00Z</dcterms:created>
  <dcterms:modified xsi:type="dcterms:W3CDTF">2025-12-03T10:35:00Z</dcterms:modified>
</cp:coreProperties>
</file>