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A04E" w14:textId="0BE4D61B" w:rsidR="004E2D3D" w:rsidRDefault="004E2D3D">
      <w:r>
        <w:rPr>
          <w:rFonts w:ascii="Arial" w:hAnsi="Arial"/>
          <w:b/>
          <w:noProof/>
          <w:lang w:eastAsia="en-GB"/>
        </w:rPr>
        <w:drawing>
          <wp:anchor distT="0" distB="0" distL="114300" distR="114300" simplePos="0" relativeHeight="251659264" behindDoc="0" locked="0" layoutInCell="1" allowOverlap="1" wp14:anchorId="4D537AC2" wp14:editId="64F671E5">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22E632" w14:textId="00E39961" w:rsidR="004E2D3D" w:rsidRDefault="004E2D3D"/>
    <w:p w14:paraId="3CB4B416" w14:textId="77777777" w:rsidR="004E2D3D" w:rsidRDefault="004E2D3D" w:rsidP="004E2D3D">
      <w:pPr>
        <w:spacing w:after="0" w:line="360" w:lineRule="auto"/>
      </w:pPr>
    </w:p>
    <w:p w14:paraId="3128F7D1" w14:textId="7615C85E" w:rsidR="004E2D3D" w:rsidRPr="00A20D69" w:rsidRDefault="004E2D3D" w:rsidP="004E2D3D">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Fire safety and emergency evacuation</w:t>
      </w:r>
    </w:p>
    <w:p w14:paraId="0BB7E199" w14:textId="77777777" w:rsidR="004E2D3D" w:rsidRPr="00A20D69" w:rsidRDefault="004E2D3D" w:rsidP="004E2D3D">
      <w:pPr>
        <w:spacing w:after="0" w:line="360" w:lineRule="auto"/>
        <w:rPr>
          <w:rFonts w:ascii="Arial" w:eastAsia="Times New Roman" w:hAnsi="Arial" w:cs="Arial"/>
          <w:b/>
          <w:sz w:val="28"/>
          <w:szCs w:val="28"/>
          <w:lang w:eastAsia="en-GB"/>
        </w:rPr>
      </w:pPr>
    </w:p>
    <w:p w14:paraId="285667CD" w14:textId="77777777" w:rsidR="004E2D3D" w:rsidRPr="00A20D69" w:rsidRDefault="004E2D3D" w:rsidP="004E2D3D">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15D8E650" w14:textId="77777777" w:rsidR="004E2D3D" w:rsidRPr="00A20D69" w:rsidRDefault="004E2D3D" w:rsidP="004E2D3D">
      <w:pPr>
        <w:spacing w:after="0" w:line="360" w:lineRule="auto"/>
        <w:rPr>
          <w:rFonts w:ascii="Arial" w:eastAsia="Times New Roman" w:hAnsi="Arial" w:cs="Arial"/>
          <w:b/>
          <w:lang w:eastAsia="en-GB"/>
        </w:rPr>
      </w:pPr>
    </w:p>
    <w:p w14:paraId="3D083F70" w14:textId="77777777" w:rsidR="004E2D3D" w:rsidRPr="00A20D69" w:rsidRDefault="004E2D3D" w:rsidP="004E2D3D">
      <w:pPr>
        <w:spacing w:after="0" w:line="360" w:lineRule="auto"/>
        <w:rPr>
          <w:rFonts w:ascii="Arial" w:eastAsia="Times New Roman" w:hAnsi="Arial" w:cs="Arial"/>
          <w:lang w:eastAsia="en-GB"/>
        </w:rPr>
      </w:pPr>
      <w:r w:rsidRPr="00A20D69">
        <w:rPr>
          <w:rFonts w:ascii="Arial" w:eastAsia="Times New Roman" w:hAnsi="Arial" w:cs="Arial"/>
          <w:lang w:eastAsia="en-GB"/>
        </w:rPr>
        <w:t>We ensure our premises present no risk of fire by ensuring fire standard are met. The person in charge and staff are familiar with the current legal requirements. Where necessary we seek the advice of a competent person, such as our Fire Officer, or Fire Safety Consultant.</w:t>
      </w:r>
    </w:p>
    <w:p w14:paraId="00768442" w14:textId="77777777" w:rsidR="004E2D3D" w:rsidRPr="00A20D69" w:rsidRDefault="004E2D3D" w:rsidP="004E2D3D">
      <w:pPr>
        <w:spacing w:after="0" w:line="360" w:lineRule="auto"/>
        <w:rPr>
          <w:rFonts w:ascii="Arial" w:eastAsia="Times New Roman" w:hAnsi="Arial" w:cs="Arial"/>
          <w:lang w:eastAsia="en-GB"/>
        </w:rPr>
      </w:pPr>
    </w:p>
    <w:p w14:paraId="238406BB" w14:textId="33C38842" w:rsidR="004E2D3D" w:rsidRPr="00A20D69" w:rsidRDefault="004E2D3D" w:rsidP="004E2D3D">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1B030742" w14:textId="77777777" w:rsidR="004E2D3D" w:rsidRPr="00A20D69" w:rsidRDefault="004E2D3D" w:rsidP="004E2D3D">
      <w:pPr>
        <w:numPr>
          <w:ilvl w:val="0"/>
          <w:numId w:val="2"/>
        </w:numPr>
        <w:spacing w:after="0" w:line="360" w:lineRule="auto"/>
        <w:rPr>
          <w:rFonts w:ascii="Arial" w:eastAsia="Times New Roman" w:hAnsi="Arial" w:cs="Arial"/>
          <w:b/>
          <w:lang w:eastAsia="en-GB"/>
        </w:rPr>
      </w:pPr>
      <w:r w:rsidRPr="00A20D69">
        <w:rPr>
          <w:rFonts w:ascii="Arial" w:eastAsia="Times New Roman" w:hAnsi="Arial" w:cs="Arial"/>
          <w:lang w:eastAsia="en-GB"/>
        </w:rPr>
        <w:t>The basis of fire safety is risk assessment. These are carried out by a ‘competent person’.</w:t>
      </w:r>
    </w:p>
    <w:p w14:paraId="5E3A21DA" w14:textId="77777777" w:rsidR="004E2D3D" w:rsidRPr="00A20D69" w:rsidRDefault="004E2D3D" w:rsidP="004E2D3D">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Fire doors are clearly marked, never obstructed and easily opened from the inside.</w:t>
      </w:r>
    </w:p>
    <w:p w14:paraId="77318ED8" w14:textId="77777777" w:rsidR="004E2D3D" w:rsidRPr="00A20D69" w:rsidRDefault="004E2D3D" w:rsidP="004E2D3D">
      <w:pPr>
        <w:numPr>
          <w:ilvl w:val="0"/>
          <w:numId w:val="2"/>
        </w:numPr>
        <w:spacing w:after="0" w:line="360" w:lineRule="auto"/>
        <w:rPr>
          <w:rFonts w:ascii="Arial" w:eastAsia="Times New Roman" w:hAnsi="Arial" w:cs="Arial"/>
          <w:lang w:eastAsia="en-GB"/>
        </w:rPr>
      </w:pPr>
      <w:r w:rsidRPr="269DDE2B">
        <w:rPr>
          <w:rFonts w:ascii="Arial" w:eastAsia="Times New Roman" w:hAnsi="Arial" w:cs="Arial"/>
          <w:lang w:eastAsia="en-GB"/>
        </w:rPr>
        <w:t>Smoke detectors/alarms and firefighting appliances conform to BSEN standards, are fitted in appropriate high risk areas of the building and are checked as specified by the manufacturer.</w:t>
      </w:r>
    </w:p>
    <w:p w14:paraId="4341EED4" w14:textId="77777777" w:rsidR="004E2D3D" w:rsidRPr="00A20D69" w:rsidRDefault="004E2D3D" w:rsidP="004E2D3D">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Our emergency evacuation procedures are approved by the Health &amp; Safety Officer and are:</w:t>
      </w:r>
    </w:p>
    <w:p w14:paraId="53740651" w14:textId="77777777" w:rsidR="004E2D3D" w:rsidRPr="00A20D69" w:rsidRDefault="004E2D3D" w:rsidP="004E2D3D">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clearly displayed in the premises;</w:t>
      </w:r>
    </w:p>
    <w:p w14:paraId="25234052" w14:textId="77777777" w:rsidR="004E2D3D" w:rsidRPr="00A20D69" w:rsidRDefault="004E2D3D" w:rsidP="004E2D3D">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explained to new members of staff, volunteers and parents; and</w:t>
      </w:r>
    </w:p>
    <w:p w14:paraId="54675D09" w14:textId="77777777" w:rsidR="004E2D3D" w:rsidRPr="00A20D69" w:rsidRDefault="004E2D3D" w:rsidP="004E2D3D">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practised regularly at least once every half term.</w:t>
      </w:r>
    </w:p>
    <w:p w14:paraId="1C68F48B" w14:textId="77777777" w:rsidR="004E2D3D" w:rsidRPr="00A20D69" w:rsidRDefault="004E2D3D" w:rsidP="004E2D3D">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Records are kept of fire drills.</w:t>
      </w:r>
    </w:p>
    <w:p w14:paraId="017A3CE9" w14:textId="77777777" w:rsidR="004E2D3D" w:rsidRPr="00A20D69" w:rsidRDefault="004E2D3D" w:rsidP="004E2D3D">
      <w:pPr>
        <w:spacing w:after="0" w:line="360" w:lineRule="auto"/>
        <w:rPr>
          <w:rFonts w:ascii="Arial" w:eastAsia="Times New Roman" w:hAnsi="Arial" w:cs="Arial"/>
          <w:lang w:eastAsia="en-GB"/>
        </w:rPr>
      </w:pPr>
    </w:p>
    <w:p w14:paraId="497F63E7" w14:textId="77777777" w:rsidR="004E2D3D" w:rsidRPr="00A20D69" w:rsidRDefault="004E2D3D" w:rsidP="004E2D3D">
      <w:pPr>
        <w:spacing w:after="0" w:line="360" w:lineRule="auto"/>
        <w:rPr>
          <w:rFonts w:ascii="Arial" w:eastAsia="Times New Roman" w:hAnsi="Arial" w:cs="Arial"/>
          <w:i/>
          <w:lang w:eastAsia="en-GB"/>
        </w:rPr>
      </w:pPr>
      <w:r w:rsidRPr="00A20D69">
        <w:rPr>
          <w:rFonts w:ascii="Arial" w:eastAsia="Times New Roman" w:hAnsi="Arial" w:cs="Arial"/>
          <w:i/>
          <w:lang w:eastAsia="en-GB"/>
        </w:rPr>
        <w:t>Emergency evacuation procedure</w:t>
      </w:r>
    </w:p>
    <w:p w14:paraId="372863AB" w14:textId="77777777" w:rsidR="004E2D3D" w:rsidRPr="00A20D69" w:rsidRDefault="004E2D3D" w:rsidP="004E2D3D">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 This will cover procedures for practice drills including:</w:t>
      </w:r>
    </w:p>
    <w:p w14:paraId="238478C1" w14:textId="77777777" w:rsidR="004E2D3D" w:rsidRPr="00A20D69" w:rsidRDefault="004E2D3D" w:rsidP="004E2D3D">
      <w:pPr>
        <w:numPr>
          <w:ilvl w:val="0"/>
          <w:numId w:val="4"/>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How children are familiar with the sound of the fire alarm.</w:t>
      </w:r>
    </w:p>
    <w:p w14:paraId="2C195197" w14:textId="77777777" w:rsidR="004E2D3D" w:rsidRPr="00A20D69" w:rsidRDefault="004E2D3D" w:rsidP="004E2D3D">
      <w:pPr>
        <w:numPr>
          <w:ilvl w:val="0"/>
          <w:numId w:val="4"/>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How the children staff and parents know where the fire exits are.</w:t>
      </w:r>
    </w:p>
    <w:p w14:paraId="625BE0A6" w14:textId="77777777" w:rsidR="004E2D3D" w:rsidRPr="00A20D69" w:rsidRDefault="004E2D3D" w:rsidP="004E2D3D">
      <w:pPr>
        <w:numPr>
          <w:ilvl w:val="0"/>
          <w:numId w:val="4"/>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How children are led from the building to the assembly point.</w:t>
      </w:r>
    </w:p>
    <w:p w14:paraId="79C6357D" w14:textId="77777777" w:rsidR="004E2D3D" w:rsidRPr="00A20D69" w:rsidRDefault="004E2D3D" w:rsidP="004E2D3D">
      <w:pPr>
        <w:numPr>
          <w:ilvl w:val="0"/>
          <w:numId w:val="4"/>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How they will be accounted for and who by.</w:t>
      </w:r>
    </w:p>
    <w:p w14:paraId="43FEFFE9" w14:textId="77777777" w:rsidR="004E2D3D" w:rsidRPr="00A20D69" w:rsidRDefault="004E2D3D" w:rsidP="004E2D3D">
      <w:pPr>
        <w:numPr>
          <w:ilvl w:val="0"/>
          <w:numId w:val="4"/>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How long it takes to get the children out safely.</w:t>
      </w:r>
    </w:p>
    <w:p w14:paraId="28AC5F18" w14:textId="77777777" w:rsidR="004E2D3D" w:rsidRPr="00A20D69" w:rsidRDefault="004E2D3D" w:rsidP="004E2D3D">
      <w:pPr>
        <w:numPr>
          <w:ilvl w:val="0"/>
          <w:numId w:val="4"/>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Who calls the emergency services and when in the event of a real fire.</w:t>
      </w:r>
    </w:p>
    <w:p w14:paraId="77C8E033" w14:textId="77777777" w:rsidR="004E2D3D" w:rsidRPr="00A20D69" w:rsidRDefault="004E2D3D" w:rsidP="004E2D3D">
      <w:pPr>
        <w:numPr>
          <w:ilvl w:val="0"/>
          <w:numId w:val="4"/>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How parents are contacted.</w:t>
      </w:r>
    </w:p>
    <w:p w14:paraId="704E057A" w14:textId="77777777" w:rsidR="004E2D3D" w:rsidRPr="00A20D69" w:rsidRDefault="004E2D3D" w:rsidP="004E2D3D">
      <w:pPr>
        <w:spacing w:after="0" w:line="360" w:lineRule="auto"/>
        <w:ind w:left="360"/>
        <w:contextualSpacing/>
        <w:rPr>
          <w:rFonts w:ascii="Arial" w:eastAsia="Times New Roman" w:hAnsi="Arial" w:cs="Arial"/>
          <w:lang w:eastAsia="en-GB"/>
        </w:rPr>
      </w:pPr>
    </w:p>
    <w:p w14:paraId="7C350A62" w14:textId="77777777" w:rsidR="004E2D3D" w:rsidRPr="00A20D69" w:rsidRDefault="004E2D3D" w:rsidP="004E2D3D">
      <w:pPr>
        <w:rPr>
          <w:rFonts w:ascii="Arial" w:hAnsi="Arial" w:cs="Arial"/>
          <w:b/>
        </w:rPr>
      </w:pPr>
      <w:r w:rsidRPr="00A20D69">
        <w:rPr>
          <w:rFonts w:ascii="Arial" w:hAnsi="Arial" w:cs="Arial"/>
          <w:b/>
        </w:rPr>
        <w:t>Fire evacuation plan</w:t>
      </w:r>
    </w:p>
    <w:p w14:paraId="19DC558E" w14:textId="77777777" w:rsidR="004E2D3D" w:rsidRPr="00A20D69" w:rsidRDefault="004E2D3D" w:rsidP="004E2D3D">
      <w:pPr>
        <w:rPr>
          <w:rFonts w:ascii="Arial" w:hAnsi="Arial" w:cs="Arial"/>
        </w:rPr>
      </w:pPr>
      <w:r w:rsidRPr="00A20D69">
        <w:rPr>
          <w:rFonts w:ascii="Arial" w:hAnsi="Arial" w:cs="Arial"/>
        </w:rPr>
        <w:t>In the event of a fire/fire drill, the alarm will alert staff of the need to immediately evacuate the building. Children will be gathered together, lined up and exit the building as quickly as possible. A staff member will bring the emergency pack containing emergency contact details for all children and staff and a first aid kit, which is hanging by the main all doors. Staff will normally escort the children through the main exit doors at the front of the building, or if this is not possible, they will exit through the side fire escape at the rear of the building and along the side passage into the playground. Children will be lined up along the playground fence by the gates, and the register taken to ensure that all children and staff are present. A member</w:t>
      </w:r>
      <w:r>
        <w:rPr>
          <w:rFonts w:ascii="Arial" w:hAnsi="Arial" w:cs="Arial"/>
        </w:rPr>
        <w:t xml:space="preserve"> of staff will call 999 if necessar</w:t>
      </w:r>
      <w:r w:rsidRPr="00A20D69">
        <w:rPr>
          <w:rFonts w:ascii="Arial" w:hAnsi="Arial" w:cs="Arial"/>
        </w:rPr>
        <w:t>y. Once it is established that everyone is present, in the event of a real fire it may be necessary to take all of the children further away from the building, in which case the staff would take children to the parish rooms in the church next door, where children can stay safe and warm, and parents can be contacted. In the event of a fire drill, once the children and staff have all been accounted for, the time will be logged and normal session restarts.</w:t>
      </w:r>
    </w:p>
    <w:p w14:paraId="34CAD71E" w14:textId="77777777" w:rsidR="004E2D3D" w:rsidRPr="00A20D69" w:rsidRDefault="004E2D3D" w:rsidP="004E2D3D">
      <w:pPr>
        <w:spacing w:after="0" w:line="360" w:lineRule="auto"/>
        <w:rPr>
          <w:rFonts w:ascii="Arial" w:eastAsia="Times New Roman" w:hAnsi="Arial" w:cs="Arial"/>
          <w:lang w:eastAsia="en-GB"/>
        </w:rPr>
      </w:pPr>
    </w:p>
    <w:p w14:paraId="64AB6C05" w14:textId="77777777" w:rsidR="004E2D3D" w:rsidRPr="00A20D69" w:rsidRDefault="004E2D3D" w:rsidP="004E2D3D">
      <w:pPr>
        <w:spacing w:after="0" w:line="360" w:lineRule="auto"/>
        <w:rPr>
          <w:rFonts w:ascii="Arial" w:eastAsia="Times New Roman" w:hAnsi="Arial" w:cs="Arial"/>
          <w:i/>
          <w:lang w:eastAsia="en-GB"/>
        </w:rPr>
      </w:pPr>
      <w:r w:rsidRPr="00A20D69">
        <w:rPr>
          <w:rFonts w:ascii="Arial" w:eastAsia="Times New Roman" w:hAnsi="Arial" w:cs="Arial"/>
          <w:i/>
          <w:lang w:eastAsia="en-GB"/>
        </w:rPr>
        <w:t>The fire drill record book must contain:</w:t>
      </w:r>
    </w:p>
    <w:p w14:paraId="1F5BD8A8" w14:textId="77777777" w:rsidR="004E2D3D" w:rsidRPr="00A20D69" w:rsidRDefault="004E2D3D" w:rsidP="004E2D3D">
      <w:pPr>
        <w:numPr>
          <w:ilvl w:val="0"/>
          <w:numId w:val="5"/>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Date and time of the drill.</w:t>
      </w:r>
    </w:p>
    <w:p w14:paraId="21935A88" w14:textId="77777777" w:rsidR="004E2D3D" w:rsidRPr="00A20D69" w:rsidRDefault="004E2D3D" w:rsidP="004E2D3D">
      <w:pPr>
        <w:numPr>
          <w:ilvl w:val="0"/>
          <w:numId w:val="5"/>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How long it took.</w:t>
      </w:r>
    </w:p>
    <w:p w14:paraId="2D04E168" w14:textId="77777777" w:rsidR="004E2D3D" w:rsidRPr="00A20D69" w:rsidRDefault="004E2D3D" w:rsidP="004E2D3D">
      <w:pPr>
        <w:numPr>
          <w:ilvl w:val="0"/>
          <w:numId w:val="5"/>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Whether there were any problems that delayed evacuation.</w:t>
      </w:r>
    </w:p>
    <w:p w14:paraId="2F482FFE" w14:textId="77777777" w:rsidR="004E2D3D" w:rsidRPr="00A20D69" w:rsidRDefault="004E2D3D" w:rsidP="004E2D3D">
      <w:pPr>
        <w:numPr>
          <w:ilvl w:val="0"/>
          <w:numId w:val="5"/>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Any further action taken to improve the drill procedure.</w:t>
      </w:r>
    </w:p>
    <w:p w14:paraId="7F65FB9C" w14:textId="77777777" w:rsidR="004E2D3D" w:rsidRPr="00A20D69" w:rsidRDefault="004E2D3D" w:rsidP="004E2D3D">
      <w:pPr>
        <w:spacing w:after="0" w:line="360" w:lineRule="auto"/>
        <w:rPr>
          <w:rFonts w:ascii="Arial" w:eastAsia="Times New Roman" w:hAnsi="Arial" w:cs="Arial"/>
          <w:lang w:eastAsia="en-GB"/>
        </w:rPr>
      </w:pPr>
    </w:p>
    <w:p w14:paraId="067295CC" w14:textId="77777777" w:rsidR="004E2D3D" w:rsidRPr="00A20D69" w:rsidRDefault="004E2D3D" w:rsidP="004E2D3D">
      <w:pPr>
        <w:spacing w:after="0" w:line="360" w:lineRule="auto"/>
        <w:rPr>
          <w:rFonts w:ascii="Arial" w:eastAsia="Times New Roman" w:hAnsi="Arial" w:cs="Arial"/>
          <w:b/>
          <w:lang w:eastAsia="en-GB"/>
        </w:rPr>
      </w:pPr>
      <w:r w:rsidRPr="00A20D69">
        <w:rPr>
          <w:rFonts w:ascii="Arial" w:eastAsia="Times New Roman" w:hAnsi="Arial" w:cs="Arial"/>
          <w:b/>
          <w:lang w:eastAsia="en-GB"/>
        </w:rPr>
        <w:t>Legal framework</w:t>
      </w:r>
    </w:p>
    <w:p w14:paraId="74E96BFA" w14:textId="77777777" w:rsidR="004E2D3D" w:rsidRPr="00A20D69" w:rsidRDefault="004E2D3D" w:rsidP="004E2D3D">
      <w:pPr>
        <w:spacing w:after="0" w:line="360" w:lineRule="auto"/>
        <w:rPr>
          <w:rFonts w:ascii="Arial" w:eastAsia="Times New Roman" w:hAnsi="Arial" w:cs="Arial"/>
          <w:b/>
          <w:lang w:eastAsia="en-GB"/>
        </w:rPr>
      </w:pPr>
    </w:p>
    <w:p w14:paraId="39E050DA" w14:textId="77777777" w:rsidR="004E2D3D" w:rsidRPr="00A20D69" w:rsidRDefault="004E2D3D" w:rsidP="004E2D3D">
      <w:pPr>
        <w:numPr>
          <w:ilvl w:val="0"/>
          <w:numId w:val="6"/>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Regulatory Reform (Fire Safety) Order 2005</w:t>
      </w:r>
    </w:p>
    <w:p w14:paraId="6D8A9EEC" w14:textId="77777777" w:rsidR="004E2D3D" w:rsidRPr="00A20D69" w:rsidRDefault="004E2D3D" w:rsidP="004E2D3D">
      <w:pPr>
        <w:spacing w:after="0" w:line="360" w:lineRule="auto"/>
        <w:contextualSpacing/>
        <w:rPr>
          <w:rFonts w:ascii="Arial" w:eastAsia="Times New Roman" w:hAnsi="Arial" w:cs="Arial"/>
          <w:b/>
          <w:lang w:eastAsia="en-GB"/>
        </w:rPr>
      </w:pPr>
    </w:p>
    <w:p w14:paraId="79FFBADE" w14:textId="77777777" w:rsidR="004E2D3D" w:rsidRPr="00A20D69" w:rsidRDefault="004E2D3D" w:rsidP="004E2D3D">
      <w:pPr>
        <w:spacing w:after="0" w:line="360" w:lineRule="auto"/>
        <w:rPr>
          <w:rFonts w:ascii="Arial" w:eastAsia="Times New Roman" w:hAnsi="Arial" w:cs="Arial"/>
          <w:b/>
          <w:lang w:eastAsia="en-GB"/>
        </w:rPr>
      </w:pPr>
      <w:r w:rsidRPr="00A20D69">
        <w:rPr>
          <w:rFonts w:ascii="Arial" w:eastAsia="Times New Roman" w:hAnsi="Arial" w:cs="Arial"/>
          <w:b/>
          <w:lang w:eastAsia="en-GB"/>
        </w:rPr>
        <w:t xml:space="preserve">Further guidance </w:t>
      </w:r>
    </w:p>
    <w:p w14:paraId="62B0CFA8" w14:textId="77777777" w:rsidR="004E2D3D" w:rsidRPr="00A20D69" w:rsidRDefault="004E2D3D" w:rsidP="004E2D3D">
      <w:pPr>
        <w:spacing w:after="0" w:line="360" w:lineRule="auto"/>
        <w:rPr>
          <w:rFonts w:ascii="Arial" w:eastAsia="Times New Roman" w:hAnsi="Arial" w:cs="Arial"/>
          <w:b/>
          <w:lang w:eastAsia="en-GB"/>
        </w:rPr>
      </w:pPr>
    </w:p>
    <w:p w14:paraId="341B475C" w14:textId="7B6D863B" w:rsidR="004E2D3D" w:rsidRPr="00A20D69" w:rsidRDefault="004E2D3D" w:rsidP="004E2D3D">
      <w:pPr>
        <w:numPr>
          <w:ilvl w:val="0"/>
          <w:numId w:val="1"/>
        </w:numPr>
        <w:spacing w:after="0" w:line="360" w:lineRule="auto"/>
        <w:contextualSpacing/>
        <w:rPr>
          <w:rFonts w:ascii="Arial" w:eastAsia="Times New Roman" w:hAnsi="Arial" w:cs="Arial"/>
          <w:b/>
          <w:bCs/>
          <w:lang w:eastAsia="en-GB"/>
        </w:rPr>
      </w:pPr>
      <w:r w:rsidRPr="269DDE2B">
        <w:rPr>
          <w:rFonts w:ascii="Arial" w:eastAsia="Times New Roman" w:hAnsi="Arial" w:cs="Arial"/>
          <w:lang w:eastAsia="en-GB"/>
        </w:rPr>
        <w:t>Fire Safety Risk Assessment - Educational Premises (HMG 2006)</w:t>
      </w:r>
    </w:p>
    <w:tbl>
      <w:tblPr>
        <w:tblStyle w:val="TableGrid"/>
        <w:tblW w:w="5000" w:type="pct"/>
        <w:tblLook w:val="01E0" w:firstRow="1" w:lastRow="1" w:firstColumn="1" w:lastColumn="1" w:noHBand="0" w:noVBand="0"/>
      </w:tblPr>
      <w:tblGrid>
        <w:gridCol w:w="4149"/>
        <w:gridCol w:w="4867"/>
      </w:tblGrid>
      <w:tr w:rsidR="004E2D3D" w:rsidRPr="00A20D69" w14:paraId="1860F975" w14:textId="77777777" w:rsidTr="00C7666C">
        <w:tc>
          <w:tcPr>
            <w:tcW w:w="2301" w:type="pct"/>
          </w:tcPr>
          <w:p w14:paraId="158D5A68" w14:textId="77777777" w:rsidR="004E2D3D" w:rsidRPr="00A20D69" w:rsidRDefault="004E2D3D" w:rsidP="00C7666C">
            <w:pPr>
              <w:spacing w:line="360" w:lineRule="auto"/>
              <w:rPr>
                <w:rFonts w:ascii="Arial" w:eastAsia="Times New Roman" w:hAnsi="Arial" w:cs="Arial"/>
                <w:sz w:val="24"/>
                <w:szCs w:val="24"/>
                <w:lang w:eastAsia="en-GB"/>
              </w:rPr>
            </w:pPr>
            <w:r>
              <w:rPr>
                <w:rFonts w:ascii="Arial" w:eastAsia="Times New Roman" w:hAnsi="Arial" w:cs="Arial"/>
                <w:lang w:eastAsia="en-GB"/>
              </w:rPr>
              <w:t>Reviewed on</w:t>
            </w:r>
          </w:p>
        </w:tc>
        <w:tc>
          <w:tcPr>
            <w:tcW w:w="2699" w:type="pct"/>
          </w:tcPr>
          <w:p w14:paraId="6AD21448" w14:textId="63FA2E25" w:rsidR="004E2D3D" w:rsidRPr="00A20D69" w:rsidRDefault="004E2D3D" w:rsidP="00A34976">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w:t>
            </w:r>
            <w:r w:rsidR="00A34976">
              <w:rPr>
                <w:rFonts w:ascii="Arial" w:eastAsia="Times New Roman" w:hAnsi="Arial" w:cs="Arial"/>
                <w:lang w:eastAsia="en-GB"/>
              </w:rPr>
              <w:t xml:space="preserve"> September 2025 </w:t>
            </w:r>
          </w:p>
        </w:tc>
      </w:tr>
      <w:tr w:rsidR="004E2D3D" w:rsidRPr="00A20D69" w14:paraId="30F2FAD4" w14:textId="77777777" w:rsidTr="00C7666C">
        <w:tc>
          <w:tcPr>
            <w:tcW w:w="2301" w:type="pct"/>
          </w:tcPr>
          <w:p w14:paraId="5B4EB52D" w14:textId="77777777" w:rsidR="004E2D3D" w:rsidRPr="00A20D69" w:rsidRDefault="004E2D3D"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7589579C" w14:textId="2156E008" w:rsidR="004E2D3D" w:rsidRPr="00A20D69" w:rsidRDefault="004E2D3D" w:rsidP="00A34976">
            <w:pPr>
              <w:spacing w:line="360" w:lineRule="auto"/>
              <w:rPr>
                <w:rFonts w:ascii="Arial" w:eastAsia="Times New Roman" w:hAnsi="Arial" w:cs="Arial"/>
                <w:sz w:val="24"/>
                <w:szCs w:val="24"/>
                <w:lang w:eastAsia="en-GB"/>
              </w:rPr>
            </w:pPr>
            <w:r>
              <w:rPr>
                <w:rFonts w:ascii="Arial" w:eastAsia="Times New Roman" w:hAnsi="Arial" w:cs="Arial"/>
                <w:lang w:eastAsia="en-GB"/>
              </w:rPr>
              <w:t>(date)</w:t>
            </w:r>
            <w:r w:rsidR="00A34976">
              <w:rPr>
                <w:rFonts w:ascii="Arial" w:eastAsia="Times New Roman" w:hAnsi="Arial" w:cs="Arial"/>
                <w:lang w:eastAsia="en-GB"/>
              </w:rPr>
              <w:t xml:space="preserve"> September 2026 </w:t>
            </w:r>
          </w:p>
        </w:tc>
      </w:tr>
      <w:tr w:rsidR="004E2D3D" w:rsidRPr="00A20D69" w14:paraId="796D2E06" w14:textId="77777777" w:rsidTr="00C7666C">
        <w:tc>
          <w:tcPr>
            <w:tcW w:w="2301" w:type="pct"/>
          </w:tcPr>
          <w:p w14:paraId="748D53EE" w14:textId="77777777" w:rsidR="004E2D3D" w:rsidRPr="00A20D69" w:rsidRDefault="004E2D3D"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6CD9C526" w14:textId="66B56F64" w:rsidR="004E2D3D" w:rsidRPr="00A20D69" w:rsidRDefault="00A34976" w:rsidP="00C7666C">
            <w:pPr>
              <w:spacing w:line="36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H.M.Millson</w:t>
            </w:r>
            <w:proofErr w:type="spellEnd"/>
          </w:p>
        </w:tc>
      </w:tr>
      <w:tr w:rsidR="004E2D3D" w:rsidRPr="00A20D69" w14:paraId="3720ABB4" w14:textId="77777777" w:rsidTr="00C7666C">
        <w:tc>
          <w:tcPr>
            <w:tcW w:w="2301" w:type="pct"/>
          </w:tcPr>
          <w:p w14:paraId="6C8B99AF" w14:textId="77777777" w:rsidR="004E2D3D" w:rsidRPr="00A20D69" w:rsidRDefault="004E2D3D"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2699" w:type="pct"/>
          </w:tcPr>
          <w:p w14:paraId="4293B201" w14:textId="4D8F286F" w:rsidR="004E2D3D" w:rsidRPr="00A20D69" w:rsidRDefault="00A34976"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Hannah Millson</w:t>
            </w:r>
          </w:p>
        </w:tc>
      </w:tr>
      <w:tr w:rsidR="004E2D3D" w:rsidRPr="00A20D69" w14:paraId="699B72BE" w14:textId="77777777" w:rsidTr="00C7666C">
        <w:tc>
          <w:tcPr>
            <w:tcW w:w="2301" w:type="pct"/>
          </w:tcPr>
          <w:p w14:paraId="7B67DBF9" w14:textId="77777777" w:rsidR="004E2D3D" w:rsidRPr="00A20D69" w:rsidRDefault="004E2D3D"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Role of signatory</w:t>
            </w:r>
          </w:p>
        </w:tc>
        <w:tc>
          <w:tcPr>
            <w:tcW w:w="2699" w:type="pct"/>
          </w:tcPr>
          <w:p w14:paraId="5A6ED984" w14:textId="628F53EA" w:rsidR="004E2D3D" w:rsidRPr="00A20D69" w:rsidRDefault="00A34976"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4E2D3D" w:rsidRPr="00A20D69" w14:paraId="163D3A9E" w14:textId="77777777" w:rsidTr="00C7666C">
        <w:tc>
          <w:tcPr>
            <w:tcW w:w="2301" w:type="pct"/>
          </w:tcPr>
          <w:p w14:paraId="0B8DE268" w14:textId="77777777" w:rsidR="004E2D3D" w:rsidRPr="00A20D69" w:rsidRDefault="004E2D3D" w:rsidP="00C7666C">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2699" w:type="pct"/>
          </w:tcPr>
          <w:p w14:paraId="5D335B2A" w14:textId="17095E1C" w:rsidR="004E2D3D" w:rsidRPr="00A20D69" w:rsidRDefault="00A34976"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G.WALSH</w:t>
            </w:r>
          </w:p>
        </w:tc>
      </w:tr>
      <w:tr w:rsidR="004E2D3D" w:rsidRPr="00A20D69" w14:paraId="519D09BA" w14:textId="77777777" w:rsidTr="00C7666C">
        <w:tc>
          <w:tcPr>
            <w:tcW w:w="2301" w:type="pct"/>
          </w:tcPr>
          <w:p w14:paraId="45FE8981" w14:textId="77777777" w:rsidR="004E2D3D" w:rsidRDefault="004E2D3D" w:rsidP="00C7666C">
            <w:pPr>
              <w:spacing w:line="360" w:lineRule="auto"/>
              <w:rPr>
                <w:rFonts w:ascii="Arial" w:eastAsia="Times New Roman" w:hAnsi="Arial" w:cs="Arial"/>
                <w:lang w:eastAsia="en-GB"/>
              </w:rPr>
            </w:pPr>
            <w:r>
              <w:rPr>
                <w:rFonts w:ascii="Arial" w:eastAsia="Times New Roman" w:hAnsi="Arial" w:cs="Arial"/>
                <w:lang w:eastAsia="en-GB"/>
              </w:rPr>
              <w:t>Name of signatory</w:t>
            </w:r>
          </w:p>
        </w:tc>
        <w:tc>
          <w:tcPr>
            <w:tcW w:w="2699" w:type="pct"/>
          </w:tcPr>
          <w:p w14:paraId="50EDE5FD" w14:textId="53D0EE79" w:rsidR="004E2D3D" w:rsidRPr="00A20D69" w:rsidRDefault="00A34976"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Gary Walsh </w:t>
            </w:r>
          </w:p>
        </w:tc>
      </w:tr>
      <w:tr w:rsidR="004E2D3D" w:rsidRPr="00A20D69" w14:paraId="632BBC1F" w14:textId="77777777" w:rsidTr="00C7666C">
        <w:tc>
          <w:tcPr>
            <w:tcW w:w="2301" w:type="pct"/>
          </w:tcPr>
          <w:p w14:paraId="108B1737" w14:textId="77777777" w:rsidR="004E2D3D" w:rsidRDefault="004E2D3D"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w:t>
            </w:r>
          </w:p>
        </w:tc>
        <w:tc>
          <w:tcPr>
            <w:tcW w:w="2699" w:type="pct"/>
          </w:tcPr>
          <w:p w14:paraId="43064902" w14:textId="7693B10C" w:rsidR="004E2D3D" w:rsidRPr="00A20D69" w:rsidRDefault="00A34976"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Chairperson </w:t>
            </w:r>
          </w:p>
        </w:tc>
      </w:tr>
    </w:tbl>
    <w:p w14:paraId="06D2C093" w14:textId="7B51CAFA"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45EC" w14:textId="77777777" w:rsidR="00D8549E" w:rsidRDefault="00D8549E" w:rsidP="004E2D3D">
      <w:pPr>
        <w:spacing w:after="0" w:line="240" w:lineRule="auto"/>
      </w:pPr>
      <w:r>
        <w:separator/>
      </w:r>
    </w:p>
  </w:endnote>
  <w:endnote w:type="continuationSeparator" w:id="0">
    <w:p w14:paraId="1600CE45" w14:textId="77777777" w:rsidR="00D8549E" w:rsidRDefault="00D8549E" w:rsidP="004E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BFC9" w14:textId="77777777" w:rsidR="00D8549E" w:rsidRDefault="00D8549E" w:rsidP="004E2D3D">
      <w:pPr>
        <w:spacing w:after="0" w:line="240" w:lineRule="auto"/>
      </w:pPr>
      <w:r>
        <w:separator/>
      </w:r>
    </w:p>
  </w:footnote>
  <w:footnote w:type="continuationSeparator" w:id="0">
    <w:p w14:paraId="34E3D027" w14:textId="77777777" w:rsidR="00D8549E" w:rsidRDefault="00D8549E" w:rsidP="004E2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411B" w14:textId="15D959C5" w:rsidR="004E2D3D" w:rsidRDefault="004E2D3D">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AB7"/>
    <w:multiLevelType w:val="hybridMultilevel"/>
    <w:tmpl w:val="2D7EC660"/>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0277E"/>
    <w:multiLevelType w:val="hybridMultilevel"/>
    <w:tmpl w:val="86BC46E4"/>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05986"/>
    <w:multiLevelType w:val="hybridMultilevel"/>
    <w:tmpl w:val="4DAAFB4C"/>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8820CE"/>
    <w:multiLevelType w:val="hybridMultilevel"/>
    <w:tmpl w:val="503A21EE"/>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A2943"/>
    <w:multiLevelType w:val="hybridMultilevel"/>
    <w:tmpl w:val="962A5824"/>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B50D51"/>
    <w:multiLevelType w:val="hybridMultilevel"/>
    <w:tmpl w:val="57A8465E"/>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013054">
    <w:abstractNumId w:val="5"/>
  </w:num>
  <w:num w:numId="2" w16cid:durableId="386883140">
    <w:abstractNumId w:val="2"/>
  </w:num>
  <w:num w:numId="3" w16cid:durableId="70352890">
    <w:abstractNumId w:val="3"/>
  </w:num>
  <w:num w:numId="4" w16cid:durableId="602223419">
    <w:abstractNumId w:val="0"/>
  </w:num>
  <w:num w:numId="5" w16cid:durableId="2128768351">
    <w:abstractNumId w:val="4"/>
  </w:num>
  <w:num w:numId="6" w16cid:durableId="48544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3D"/>
    <w:rsid w:val="00263DEA"/>
    <w:rsid w:val="004E2D3D"/>
    <w:rsid w:val="009046DF"/>
    <w:rsid w:val="00975C2B"/>
    <w:rsid w:val="009F2AFA"/>
    <w:rsid w:val="00A34976"/>
    <w:rsid w:val="00D8549E"/>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AB7A"/>
  <w15:chartTrackingRefBased/>
  <w15:docId w15:val="{05A96784-EE8E-47AD-B60B-CAD0B5C8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D3D"/>
    <w:rPr>
      <w:rFonts w:eastAsiaTheme="majorEastAsia" w:cstheme="majorBidi"/>
      <w:color w:val="272727" w:themeColor="text1" w:themeTint="D8"/>
    </w:rPr>
  </w:style>
  <w:style w:type="paragraph" w:styleId="Title">
    <w:name w:val="Title"/>
    <w:basedOn w:val="Normal"/>
    <w:next w:val="Normal"/>
    <w:link w:val="TitleChar"/>
    <w:uiPriority w:val="10"/>
    <w:qFormat/>
    <w:rsid w:val="004E2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D3D"/>
    <w:pPr>
      <w:spacing w:before="160"/>
      <w:jc w:val="center"/>
    </w:pPr>
    <w:rPr>
      <w:i/>
      <w:iCs/>
      <w:color w:val="404040" w:themeColor="text1" w:themeTint="BF"/>
    </w:rPr>
  </w:style>
  <w:style w:type="character" w:customStyle="1" w:styleId="QuoteChar">
    <w:name w:val="Quote Char"/>
    <w:basedOn w:val="DefaultParagraphFont"/>
    <w:link w:val="Quote"/>
    <w:uiPriority w:val="29"/>
    <w:rsid w:val="004E2D3D"/>
    <w:rPr>
      <w:i/>
      <w:iCs/>
      <w:color w:val="404040" w:themeColor="text1" w:themeTint="BF"/>
    </w:rPr>
  </w:style>
  <w:style w:type="paragraph" w:styleId="ListParagraph">
    <w:name w:val="List Paragraph"/>
    <w:basedOn w:val="Normal"/>
    <w:uiPriority w:val="34"/>
    <w:qFormat/>
    <w:rsid w:val="004E2D3D"/>
    <w:pPr>
      <w:ind w:left="720"/>
      <w:contextualSpacing/>
    </w:pPr>
  </w:style>
  <w:style w:type="character" w:styleId="IntenseEmphasis">
    <w:name w:val="Intense Emphasis"/>
    <w:basedOn w:val="DefaultParagraphFont"/>
    <w:uiPriority w:val="21"/>
    <w:qFormat/>
    <w:rsid w:val="004E2D3D"/>
    <w:rPr>
      <w:i/>
      <w:iCs/>
      <w:color w:val="0F4761" w:themeColor="accent1" w:themeShade="BF"/>
    </w:rPr>
  </w:style>
  <w:style w:type="paragraph" w:styleId="IntenseQuote">
    <w:name w:val="Intense Quote"/>
    <w:basedOn w:val="Normal"/>
    <w:next w:val="Normal"/>
    <w:link w:val="IntenseQuoteChar"/>
    <w:uiPriority w:val="30"/>
    <w:qFormat/>
    <w:rsid w:val="004E2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D3D"/>
    <w:rPr>
      <w:i/>
      <w:iCs/>
      <w:color w:val="0F4761" w:themeColor="accent1" w:themeShade="BF"/>
    </w:rPr>
  </w:style>
  <w:style w:type="character" w:styleId="IntenseReference">
    <w:name w:val="Intense Reference"/>
    <w:basedOn w:val="DefaultParagraphFont"/>
    <w:uiPriority w:val="32"/>
    <w:qFormat/>
    <w:rsid w:val="004E2D3D"/>
    <w:rPr>
      <w:b/>
      <w:bCs/>
      <w:smallCaps/>
      <w:color w:val="0F4761" w:themeColor="accent1" w:themeShade="BF"/>
      <w:spacing w:val="5"/>
    </w:rPr>
  </w:style>
  <w:style w:type="paragraph" w:styleId="Header">
    <w:name w:val="header"/>
    <w:basedOn w:val="Normal"/>
    <w:link w:val="HeaderChar"/>
    <w:uiPriority w:val="99"/>
    <w:unhideWhenUsed/>
    <w:rsid w:val="004E2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D3D"/>
  </w:style>
  <w:style w:type="paragraph" w:styleId="Footer">
    <w:name w:val="footer"/>
    <w:basedOn w:val="Normal"/>
    <w:link w:val="FooterChar"/>
    <w:uiPriority w:val="99"/>
    <w:unhideWhenUsed/>
    <w:rsid w:val="004E2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D3D"/>
  </w:style>
  <w:style w:type="table" w:styleId="TableGrid">
    <w:name w:val="Table Grid"/>
    <w:basedOn w:val="TableNormal"/>
    <w:uiPriority w:val="59"/>
    <w:rsid w:val="004E2D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2025-11-26T13:49:00Z</dcterms:created>
  <dcterms:modified xsi:type="dcterms:W3CDTF">2025-11-26T13:54:00Z</dcterms:modified>
</cp:coreProperties>
</file>