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5CA8" w14:textId="2FE1F1E7" w:rsidR="00ED2A04" w:rsidRPr="00034F14" w:rsidRDefault="00ED2A04" w:rsidP="00034F1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B5E33" wp14:editId="23B9ACFC">
                <wp:simplePos x="0" y="0"/>
                <wp:positionH relativeFrom="column">
                  <wp:posOffset>-233680</wp:posOffset>
                </wp:positionH>
                <wp:positionV relativeFrom="paragraph">
                  <wp:posOffset>3572510</wp:posOffset>
                </wp:positionV>
                <wp:extent cx="6864985" cy="9570085"/>
                <wp:effectExtent l="0" t="285750" r="0" b="0"/>
                <wp:wrapNone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783750" flipH="1">
                          <a:off x="0" y="0"/>
                          <a:ext cx="6864985" cy="9570085"/>
                        </a:xfrm>
                        <a:custGeom>
                          <a:avLst/>
                          <a:gdLst>
                            <a:gd name="T0" fmla="*/ 6221594 w 6864985"/>
                            <a:gd name="T1" fmla="*/ 7574144 h 9570085"/>
                            <a:gd name="T2" fmla="*/ 1280330 w 6864985"/>
                            <a:gd name="T3" fmla="*/ 8512695 h 9570085"/>
                            <a:gd name="T4" fmla="*/ 61700 w 6864985"/>
                            <a:gd name="T5" fmla="*/ 3881841 h 9570085"/>
                            <a:gd name="T6" fmla="*/ 3432491 w 6864985"/>
                            <a:gd name="T7" fmla="*/ -1 h 9570085"/>
                            <a:gd name="T8" fmla="*/ 6221594 w 6864985"/>
                            <a:gd name="T9" fmla="*/ 7574144 h 957008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864985" h="9570085">
                              <a:moveTo>
                                <a:pt x="6221594" y="7574144"/>
                              </a:moveTo>
                              <a:cubicBezTo>
                                <a:pt x="5073064" y="9806146"/>
                                <a:pt x="2815347" y="10234980"/>
                                <a:pt x="1280330" y="8512695"/>
                              </a:cubicBezTo>
                              <a:cubicBezTo>
                                <a:pt x="290722" y="7402357"/>
                                <a:pt x="-178079" y="5620891"/>
                                <a:pt x="61700" y="3881841"/>
                              </a:cubicBezTo>
                              <a:cubicBezTo>
                                <a:pt x="372370" y="1628643"/>
                                <a:pt x="1786601" y="-1"/>
                                <a:pt x="3432491" y="-1"/>
                              </a:cubicBezTo>
                              <a:lnTo>
                                <a:pt x="6221594" y="7574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E14B" id="Figura a mano libera: forma 21" o:spid="_x0000_s1026" style="position:absolute;margin-left:-18.4pt;margin-top:281.3pt;width:540.55pt;height:753.55pt;rotation:7445163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64985,957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" path="m6221594,7574144c5073064,9806146,2815347,10234980,1280330,8512695,290722,7402357,-178079,5620891,61700,3881841,372370,1628643,1786601,-1,3432491,-1l6221594,7574144xe" fillcolor="#00b050" strokecolor="#f2f2f2 [3041]" strokeweight="3pt">
                <v:shadow on="t" color="#243f60 [1604]" opacity=".5" offset="1pt"/>
                <v:path arrowok="t" o:connecttype="custom" o:connectlocs="6221594,7574144;1280330,8512695;61700,3881841;3432491,-1;6221594,7574144" o:connectangles="0,0,0,0,0"/>
              </v:shape>
            </w:pict>
          </mc:Fallback>
        </mc:AlternateContent>
      </w:r>
    </w:p>
    <w:p w14:paraId="217A9109" w14:textId="255B052A" w:rsidR="00034F14" w:rsidRPr="00034F14" w:rsidRDefault="00034F14" w:rsidP="00F97A5E">
      <w:pPr>
        <w:tabs>
          <w:tab w:val="left" w:pos="4070"/>
        </w:tabs>
        <w:rPr>
          <w:sz w:val="24"/>
        </w:rPr>
      </w:pPr>
    </w:p>
    <w:p w14:paraId="7B09BDE8" w14:textId="2EE27003" w:rsidR="00034F14" w:rsidRPr="00034F14" w:rsidRDefault="00F97A5E" w:rsidP="00F97A5E">
      <w:pPr>
        <w:jc w:val="center"/>
        <w:rPr>
          <w:sz w:val="24"/>
        </w:rPr>
      </w:pPr>
      <w:r w:rsidRPr="00797E76">
        <w:rPr>
          <w:noProof/>
        </w:rPr>
        <w:drawing>
          <wp:inline distT="0" distB="0" distL="0" distR="0" wp14:anchorId="53F5A5F0" wp14:editId="6E327C8C">
            <wp:extent cx="3098227" cy="1335819"/>
            <wp:effectExtent l="0" t="0" r="6985" b="0"/>
            <wp:docPr id="11285439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46" cy="134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B10C" w14:textId="77777777" w:rsidR="00034F14" w:rsidRPr="00034F14" w:rsidRDefault="00034F14" w:rsidP="00034F14">
      <w:pPr>
        <w:rPr>
          <w:sz w:val="24"/>
        </w:rPr>
      </w:pPr>
    </w:p>
    <w:p w14:paraId="56116007" w14:textId="77777777" w:rsidR="00034F14" w:rsidRDefault="00034F14" w:rsidP="00034F14">
      <w:pPr>
        <w:rPr>
          <w:b/>
          <w:sz w:val="24"/>
        </w:rPr>
      </w:pPr>
    </w:p>
    <w:p w14:paraId="2D587087" w14:textId="220B9AE1" w:rsidR="00034F14" w:rsidRPr="00034F14" w:rsidRDefault="00034F14" w:rsidP="00034F14">
      <w:pPr>
        <w:tabs>
          <w:tab w:val="left" w:pos="5823"/>
        </w:tabs>
        <w:rPr>
          <w:sz w:val="24"/>
        </w:rPr>
        <w:sectPr w:rsidR="00034F14" w:rsidRPr="00034F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701" w:right="1416" w:bottom="1418" w:left="1134" w:header="709" w:footer="709" w:gutter="284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E0CF3" wp14:editId="75229C3A">
                <wp:simplePos x="0" y="0"/>
                <wp:positionH relativeFrom="margin">
                  <wp:posOffset>-528265</wp:posOffset>
                </wp:positionH>
                <wp:positionV relativeFrom="paragraph">
                  <wp:posOffset>2760014</wp:posOffset>
                </wp:positionV>
                <wp:extent cx="6880860" cy="4000500"/>
                <wp:effectExtent l="0" t="0" r="0" b="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8086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0B081" w14:textId="2555F3E9" w:rsidR="00034F14" w:rsidRPr="00034F14" w:rsidRDefault="00ED2A04" w:rsidP="00034F14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szCs w:val="52"/>
                              </w:rPr>
                              <w:t xml:space="preserve">                           </w:t>
                            </w:r>
                            <w:r w:rsidR="00034F14" w:rsidRPr="00034F14">
                              <w:rPr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RELAZIONE EVENTO AVVERSO</w:t>
                            </w:r>
                          </w:p>
                          <w:p w14:paraId="71EFF411" w14:textId="77777777" w:rsidR="00034F14" w:rsidRPr="00034F14" w:rsidRDefault="00034F14" w:rsidP="00034F14">
                            <w:pPr>
                              <w:tabs>
                                <w:tab w:val="left" w:pos="5823"/>
                              </w:tabs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034F14">
                              <w:rPr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2024</w:t>
                            </w:r>
                          </w:p>
                          <w:p w14:paraId="155945D2" w14:textId="77777777" w:rsidR="00034F14" w:rsidRDefault="00034F14" w:rsidP="00ED2A04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EB31AD4" w14:textId="77777777" w:rsidR="00034F14" w:rsidRDefault="00034F14" w:rsidP="00034F1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4D95109" w14:textId="77777777" w:rsidR="00034F14" w:rsidRDefault="00034F14" w:rsidP="00034F1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467FB53" w14:textId="77777777" w:rsidR="00034F14" w:rsidRDefault="00034F14" w:rsidP="00034F1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CED1A26" w14:textId="70067FF6" w:rsidR="00ED2A04" w:rsidRPr="00034F14" w:rsidRDefault="00ED2A04" w:rsidP="00034F1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34F14">
                              <w:rPr>
                                <w:color w:val="FFFFFF"/>
                                <w:sz w:val="32"/>
                                <w:szCs w:val="32"/>
                              </w:rPr>
                              <w:t>Ai sensi dell’art. 2 comma 5 della legge 08 marzo 2017</w:t>
                            </w:r>
                          </w:p>
                          <w:p w14:paraId="1F10E0E0" w14:textId="649AA7CC" w:rsidR="0055677A" w:rsidRPr="00034F14" w:rsidRDefault="0055677A" w:rsidP="00034F14">
                            <w:pPr>
                              <w:spacing w:after="0"/>
                              <w:jc w:val="right"/>
                              <w:rPr>
                                <w:rFonts w:ascii="Arial Black" w:hAnsi="Arial Black" w:cs="Arial Black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34F14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                            Ai sensi dell’art. 4 comma 3 della legge 08 marzo 2017</w:t>
                            </w:r>
                          </w:p>
                          <w:p w14:paraId="658FA646" w14:textId="04A25CDF" w:rsidR="00ED2A04" w:rsidRDefault="00ED2A04" w:rsidP="00ED2A04">
                            <w:pPr>
                              <w:spacing w:after="0"/>
                              <w:jc w:val="center"/>
                              <w:rPr>
                                <w:rFonts w:ascii="Calibri" w:hAnsi="Calibri" w:cs="Times New Roman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E0CF3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-41.6pt;margin-top:217.3pt;width:541.8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" filled="f" stroked="f" strokeweight=".5pt">
                <v:path arrowok="t"/>
                <v:textbox>
                  <w:txbxContent>
                    <w:p w14:paraId="0730B081" w14:textId="2555F3E9" w:rsidR="00034F14" w:rsidRPr="00034F14" w:rsidRDefault="00ED2A04" w:rsidP="00034F14">
                      <w:pPr>
                        <w:spacing w:after="0"/>
                        <w:jc w:val="right"/>
                        <w:rPr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color w:val="FFFFFF"/>
                          <w:sz w:val="52"/>
                          <w:szCs w:val="52"/>
                        </w:rPr>
                        <w:t xml:space="preserve">                           </w:t>
                      </w:r>
                      <w:r w:rsidR="00034F14" w:rsidRPr="00034F14">
                        <w:rPr>
                          <w:b/>
                          <w:color w:val="FFFFFF" w:themeColor="background1"/>
                          <w:sz w:val="72"/>
                          <w:szCs w:val="56"/>
                        </w:rPr>
                        <w:t>RELAZIONE EVENTO AVVERSO</w:t>
                      </w:r>
                    </w:p>
                    <w:p w14:paraId="71EFF411" w14:textId="77777777" w:rsidR="00034F14" w:rsidRPr="00034F14" w:rsidRDefault="00034F14" w:rsidP="00034F14">
                      <w:pPr>
                        <w:tabs>
                          <w:tab w:val="left" w:pos="5823"/>
                        </w:tabs>
                        <w:jc w:val="right"/>
                        <w:rPr>
                          <w:b/>
                          <w:color w:val="FFFFFF" w:themeColor="background1"/>
                          <w:sz w:val="72"/>
                          <w:szCs w:val="56"/>
                        </w:rPr>
                      </w:pPr>
                      <w:r w:rsidRPr="00034F14">
                        <w:rPr>
                          <w:b/>
                          <w:color w:val="FFFFFF" w:themeColor="background1"/>
                          <w:sz w:val="72"/>
                          <w:szCs w:val="56"/>
                        </w:rPr>
                        <w:t>2024</w:t>
                      </w:r>
                    </w:p>
                    <w:p w14:paraId="155945D2" w14:textId="77777777" w:rsidR="00034F14" w:rsidRDefault="00034F14" w:rsidP="00ED2A04">
                      <w:pPr>
                        <w:spacing w:after="0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14:paraId="5EB31AD4" w14:textId="77777777" w:rsidR="00034F14" w:rsidRDefault="00034F14" w:rsidP="00034F14">
                      <w:pPr>
                        <w:spacing w:after="0"/>
                        <w:jc w:val="righ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14:paraId="14D95109" w14:textId="77777777" w:rsidR="00034F14" w:rsidRDefault="00034F14" w:rsidP="00034F14">
                      <w:pPr>
                        <w:spacing w:after="0"/>
                        <w:jc w:val="righ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14:paraId="4467FB53" w14:textId="77777777" w:rsidR="00034F14" w:rsidRDefault="00034F14" w:rsidP="00034F14">
                      <w:pPr>
                        <w:spacing w:after="0"/>
                        <w:jc w:val="righ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14:paraId="2CED1A26" w14:textId="70067FF6" w:rsidR="00ED2A04" w:rsidRPr="00034F14" w:rsidRDefault="00ED2A04" w:rsidP="00034F14">
                      <w:pPr>
                        <w:spacing w:after="0"/>
                        <w:jc w:val="righ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034F14">
                        <w:rPr>
                          <w:color w:val="FFFFFF"/>
                          <w:sz w:val="32"/>
                          <w:szCs w:val="32"/>
                        </w:rPr>
                        <w:t>Ai sensi dell’art. 2 comma 5 della legge 08 marzo 2017</w:t>
                      </w:r>
                    </w:p>
                    <w:p w14:paraId="1F10E0E0" w14:textId="649AA7CC" w:rsidR="0055677A" w:rsidRPr="00034F14" w:rsidRDefault="0055677A" w:rsidP="00034F14">
                      <w:pPr>
                        <w:spacing w:after="0"/>
                        <w:jc w:val="right"/>
                        <w:rPr>
                          <w:rFonts w:ascii="Arial Black" w:hAnsi="Arial Black" w:cs="Arial Black"/>
                          <w:color w:val="FFFFFF"/>
                          <w:sz w:val="36"/>
                          <w:szCs w:val="36"/>
                        </w:rPr>
                      </w:pPr>
                      <w:r w:rsidRPr="00034F14">
                        <w:rPr>
                          <w:color w:val="FFFFFF"/>
                          <w:sz w:val="32"/>
                          <w:szCs w:val="32"/>
                        </w:rPr>
                        <w:t xml:space="preserve">                             Ai sensi dell’art. 4 comma 3 della legge 08 marzo 2017</w:t>
                      </w:r>
                    </w:p>
                    <w:p w14:paraId="658FA646" w14:textId="04A25CDF" w:rsidR="00ED2A04" w:rsidRDefault="00ED2A04" w:rsidP="00ED2A04">
                      <w:pPr>
                        <w:spacing w:after="0"/>
                        <w:jc w:val="center"/>
                        <w:rPr>
                          <w:rFonts w:ascii="Calibri" w:hAnsi="Calibri" w:cs="Times New Roman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color w:val="FFFFFF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ab/>
      </w:r>
    </w:p>
    <w:p w14:paraId="34E1B66C" w14:textId="77777777" w:rsidR="00ED2A04" w:rsidRDefault="00ED2A04" w:rsidP="00703D84">
      <w:pPr>
        <w:tabs>
          <w:tab w:val="left" w:pos="1134"/>
        </w:tabs>
        <w:spacing w:before="240" w:after="120"/>
        <w:ind w:left="1134" w:hanging="850"/>
        <w:outlineLvl w:val="0"/>
        <w:rPr>
          <w:rFonts w:ascii="Arial Black" w:hAnsi="Arial Black"/>
          <w:b/>
          <w:color w:val="548DD4" w:themeColor="text2" w:themeTint="99"/>
        </w:rPr>
      </w:pPr>
      <w:bookmarkStart w:id="0" w:name="_Toc483220293"/>
      <w:bookmarkStart w:id="1" w:name="_Toc421726232"/>
      <w:bookmarkStart w:id="2" w:name="_Toc420062275"/>
      <w:bookmarkStart w:id="3" w:name="_Toc5016488"/>
      <w:r>
        <w:rPr>
          <w:rFonts w:ascii="Arial Black" w:hAnsi="Arial Black"/>
          <w:b/>
          <w:color w:val="548DD4" w:themeColor="text2" w:themeTint="99"/>
        </w:rPr>
        <w:lastRenderedPageBreak/>
        <w:t>INTRODUZIONE</w:t>
      </w:r>
      <w:bookmarkEnd w:id="0"/>
      <w:bookmarkEnd w:id="1"/>
      <w:bookmarkEnd w:id="2"/>
      <w:bookmarkEnd w:id="3"/>
    </w:p>
    <w:p w14:paraId="52201CBC" w14:textId="77777777" w:rsidR="00ED2A04" w:rsidRDefault="00ED2A04" w:rsidP="00ED2A04">
      <w:pPr>
        <w:spacing w:after="0" w:line="360" w:lineRule="auto"/>
        <w:ind w:left="284"/>
        <w:rPr>
          <w:rFonts w:ascii="Calibri" w:hAnsi="Calibri"/>
        </w:rPr>
      </w:pPr>
      <w:r>
        <w:t>Cosi come affermato dal Manuale del Ministero della Salute “Sicurezza dei pazienti e gestione del rischio clinico: manuale per la formazione degli operatori sanitari” la sicurezza dei pazienti è uno “dei fattori determinanti per la qualità delle cure” e costituisce elemento qualificante del SSN oltre a rappresentare specifico obiettivo assegnato dall’Assessorato Regionale della Salute alle Aziende Sanitarie nell’ambito dei Piani Attuativi Interaziendali.</w:t>
      </w:r>
    </w:p>
    <w:p w14:paraId="34FB276C" w14:textId="77777777" w:rsidR="00ED2A04" w:rsidRDefault="000464A0" w:rsidP="00ED2A04">
      <w:pPr>
        <w:spacing w:after="0" w:line="360" w:lineRule="auto"/>
        <w:ind w:left="284"/>
      </w:pPr>
      <w:r>
        <w:t>Come indicato nella normativa per l’Accreditamento Istituzionale delle strutture sanitarie private accreditate (rif. DCA 124/2012), la gestione degli eventi avversi è un requisito meritorio tra quelli di classe “C” per l’accreditamento istituzionale, sia in termini di gestione che di formazione del personale interessato.</w:t>
      </w:r>
    </w:p>
    <w:p w14:paraId="22242CE2" w14:textId="77777777" w:rsidR="00ED2A04" w:rsidRDefault="000464A0" w:rsidP="00ED2A04">
      <w:pPr>
        <w:spacing w:after="0" w:line="360" w:lineRule="auto"/>
        <w:ind w:left="284"/>
      </w:pPr>
      <w:r>
        <w:t>La struttura ha, quindi, sin dal 2012 intrapreso un percorso di gestione degli eventi avversi basato sulla segnalazione di ogni tipologia di evento (evento sentinella, evento avverso, near miss event) e sulla analisi dello stesso da parte del Team di Risk Management interno.</w:t>
      </w:r>
    </w:p>
    <w:p w14:paraId="60DA9AFD" w14:textId="77777777" w:rsidR="00ED2A04" w:rsidRDefault="000464A0" w:rsidP="00ED2A04">
      <w:pPr>
        <w:spacing w:after="0" w:line="360" w:lineRule="auto"/>
        <w:ind w:left="284"/>
      </w:pPr>
      <w:r>
        <w:t xml:space="preserve">Tale sistema, </w:t>
      </w:r>
      <w:r w:rsidR="00ED2A04">
        <w:t>come tutti i sistemi di segnalazione che hanno una base prevalentemente volontaria</w:t>
      </w:r>
      <w:r>
        <w:t>,</w:t>
      </w:r>
      <w:r w:rsidR="00ED2A04">
        <w:t xml:space="preserve"> risentono del livello di collaborazione e della sensibilità degli operatori sui temi della sicurezza</w:t>
      </w:r>
      <w:r>
        <w:t>; per tanto l’azienda si è impegnata a sviluppare corsi di formazione sulla gestione degli eventi avversi per tutto il personale a cadenza periodica.</w:t>
      </w:r>
    </w:p>
    <w:p w14:paraId="3D78C14A" w14:textId="77777777" w:rsidR="000464A0" w:rsidRDefault="000464A0" w:rsidP="00ED2A04">
      <w:pPr>
        <w:spacing w:after="0" w:line="360" w:lineRule="auto"/>
        <w:ind w:left="284"/>
      </w:pPr>
      <w:r>
        <w:t>È ormai noto in letteratura (rif. Proporzio</w:t>
      </w:r>
      <w:r w:rsidR="00703D84">
        <w:t>n</w:t>
      </w:r>
      <w:r>
        <w:t>e di Heinrich) che la segnalazione sia lo strumento principale per identificare le situazioni potenzialmente pericolose e consenta alla struttura di attivare quelle misure preventive che riescano statisticamente a ridurre danni a pazienti ed incidenza degli eventi avversi nella normale gestione delle attività.</w:t>
      </w:r>
    </w:p>
    <w:p w14:paraId="5C9C0481" w14:textId="77777777" w:rsidR="00703D84" w:rsidRDefault="00703D84" w:rsidP="00ED2A04">
      <w:pPr>
        <w:spacing w:after="0" w:line="360" w:lineRule="auto"/>
        <w:ind w:left="284"/>
      </w:pPr>
    </w:p>
    <w:p w14:paraId="6865B3C9" w14:textId="77777777" w:rsidR="000464A0" w:rsidRDefault="000464A0" w:rsidP="000464A0">
      <w:pPr>
        <w:keepNext/>
        <w:spacing w:after="0" w:line="360" w:lineRule="auto"/>
        <w:ind w:left="284"/>
        <w:jc w:val="center"/>
      </w:pPr>
      <w:r w:rsidRPr="000464A0">
        <w:rPr>
          <w:noProof/>
        </w:rPr>
        <w:drawing>
          <wp:inline distT="0" distB="0" distL="0" distR="0" wp14:anchorId="6DF8E8C0" wp14:editId="010610F4">
            <wp:extent cx="4424059" cy="2773414"/>
            <wp:effectExtent l="0" t="0" r="0" b="8255"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4DBAFAF1-B45C-48DC-8E18-769C23757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4DBAFAF1-B45C-48DC-8E18-769C23757D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5822" cy="27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0794" w14:textId="77777777" w:rsidR="000464A0" w:rsidRDefault="000464A0" w:rsidP="000464A0">
      <w:pPr>
        <w:pStyle w:val="Didascalia"/>
        <w:jc w:val="center"/>
      </w:pPr>
      <w:r>
        <w:t xml:space="preserve">Figura </w:t>
      </w:r>
      <w:fldSimple w:instr=" SEQ Figura \* ARABIC ">
        <w:r w:rsidR="00CA2F05">
          <w:rPr>
            <w:noProof/>
          </w:rPr>
          <w:t>1</w:t>
        </w:r>
      </w:fldSimple>
      <w:r>
        <w:t xml:space="preserve"> - Metafora dell'Iceberg</w:t>
      </w:r>
    </w:p>
    <w:p w14:paraId="75C27F45" w14:textId="77777777" w:rsidR="00ED2A04" w:rsidRDefault="00ED2A04" w:rsidP="00ED2A04">
      <w:pPr>
        <w:spacing w:after="0" w:line="360" w:lineRule="auto"/>
        <w:ind w:left="284"/>
        <w:rPr>
          <w:rFonts w:ascii="Calibri" w:eastAsia="Calibri" w:hAnsi="Calibri"/>
        </w:rPr>
      </w:pPr>
      <w:r>
        <w:lastRenderedPageBreak/>
        <w:t xml:space="preserve">Con la presente relazione, nello spirito di quanto previsto dall’art. 2 comma 5 della legge n° 24 dell’08 marzo 2017, intendono rappresentare a consuntivo gli eventi avversi registrati nel corso </w:t>
      </w:r>
      <w:r w:rsidR="000464A0">
        <w:t>dell’ultimo anno</w:t>
      </w:r>
      <w:r>
        <w:t>, segnalati con i tradizionali sistemi di incident reporting</w:t>
      </w:r>
    </w:p>
    <w:p w14:paraId="41997759" w14:textId="77777777" w:rsidR="00ED2A04" w:rsidRDefault="00ED2A04" w:rsidP="00EC60E5">
      <w:pPr>
        <w:pStyle w:val="Paragrafoelenco"/>
        <w:numPr>
          <w:ilvl w:val="0"/>
          <w:numId w:val="2"/>
        </w:numPr>
        <w:ind w:left="284" w:firstLine="0"/>
        <w:jc w:val="left"/>
        <w:rPr>
          <w:b/>
          <w:color w:val="002060"/>
          <w:sz w:val="24"/>
        </w:rPr>
      </w:pPr>
      <w:r>
        <w:rPr>
          <w:b/>
          <w:color w:val="002060"/>
          <w:sz w:val="24"/>
        </w:rPr>
        <w:t>Eventi sentinella</w:t>
      </w:r>
    </w:p>
    <w:p w14:paraId="37845FC8" w14:textId="77777777" w:rsidR="00ED2A04" w:rsidRDefault="00ED2A04" w:rsidP="00ED2A04">
      <w:pPr>
        <w:spacing w:after="0" w:line="360" w:lineRule="auto"/>
        <w:ind w:left="284"/>
      </w:pPr>
      <w:r>
        <w:t>Nel corso dell’anno 2009 il Ministero della Salute ha pubblicato il Protocollo per il monitoraggio degli eventi sentinella, in attuazione di quanto deciso dall’intesa Stato/Regioni del 20 marzo 2008 nell’ambito delle quale è stata prevista l’attivazione dell’Osservatorio Nazionale sugli eventi sentinella.</w:t>
      </w:r>
    </w:p>
    <w:p w14:paraId="6C5B5C50" w14:textId="77777777" w:rsidR="00ED2A04" w:rsidRDefault="00ED2A04" w:rsidP="00ED2A04">
      <w:pPr>
        <w:spacing w:after="0" w:line="360" w:lineRule="auto"/>
        <w:ind w:left="284"/>
      </w:pPr>
      <w:r>
        <w:t>Già a partire dall’anno 201</w:t>
      </w:r>
      <w:r w:rsidR="0037245D">
        <w:t>2</w:t>
      </w:r>
      <w:r>
        <w:t xml:space="preserve"> l’Azienda ha proceduto alla segnalazione degli eventi sentinella e all’analisi delle cause che hanno determinato l’evento</w:t>
      </w:r>
      <w:r w:rsidR="00CA2F05">
        <w:t>.</w:t>
      </w:r>
      <w:r>
        <w:t xml:space="preserve"> </w:t>
      </w:r>
      <w:r w:rsidR="00CA2F05">
        <w:t>Al fine di perseguire un corretto monitoraggio dei processi, l’azienda attua un sistema di segnalazione e gestione degli eventi sentinella identico a quello degli eventi avversi, come dettagliato nel seguente diagramma di flusso:</w:t>
      </w:r>
    </w:p>
    <w:p w14:paraId="07F14F0B" w14:textId="77777777" w:rsidR="00CA2F05" w:rsidRDefault="00CA2F05" w:rsidP="00CA2F05">
      <w:pPr>
        <w:keepNext/>
        <w:spacing w:after="0" w:line="360" w:lineRule="auto"/>
        <w:ind w:left="284"/>
        <w:jc w:val="center"/>
      </w:pPr>
      <w:r w:rsidRPr="00CA2F05">
        <w:rPr>
          <w:noProof/>
        </w:rPr>
        <w:drawing>
          <wp:inline distT="0" distB="0" distL="0" distR="0" wp14:anchorId="60C51636" wp14:editId="03F210F4">
            <wp:extent cx="3949398" cy="5860046"/>
            <wp:effectExtent l="0" t="0" r="0" b="762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71" cy="58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14B7" w14:textId="77777777" w:rsidR="00ED2A04" w:rsidRDefault="00CA2F05" w:rsidP="00CA2F05">
      <w:pPr>
        <w:pStyle w:val="Didascalia"/>
        <w:jc w:val="center"/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- Diagramma di flusso Gestione Eventi Avversi</w:t>
      </w:r>
    </w:p>
    <w:p w14:paraId="66918167" w14:textId="77777777" w:rsidR="00CA2F05" w:rsidRDefault="00CA2F05" w:rsidP="0037245D">
      <w:pPr>
        <w:spacing w:after="0" w:line="360" w:lineRule="auto"/>
        <w:ind w:left="284"/>
        <w:jc w:val="center"/>
      </w:pPr>
    </w:p>
    <w:p w14:paraId="771E2CD9" w14:textId="77777777" w:rsidR="00ED2A04" w:rsidRDefault="00ED2A04" w:rsidP="00ED2A04">
      <w:pPr>
        <w:spacing w:after="0" w:line="360" w:lineRule="auto"/>
        <w:ind w:left="284"/>
      </w:pPr>
      <w:r>
        <w:t>Le cause che hanno determinato l’evento, in relazione a quanto previsto dal Protocollo ministeriale, sono approfondite mediante tecniche di analisi del rischio, quali l’audit o la root cause analisys</w:t>
      </w:r>
      <w:r w:rsidR="00CA2F05">
        <w:t xml:space="preserve"> (riservata ad eventi particolarmente complessi), in linea, tra l’altro, con i corsi di formazione svolti in azienda.</w:t>
      </w:r>
    </w:p>
    <w:p w14:paraId="5BAB7844" w14:textId="77777777" w:rsidR="00703D84" w:rsidRDefault="00703D84" w:rsidP="00ED2A04">
      <w:pPr>
        <w:spacing w:after="0" w:line="360" w:lineRule="auto"/>
        <w:ind w:left="284"/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051"/>
        <w:gridCol w:w="1241"/>
      </w:tblGrid>
      <w:tr w:rsidR="00ED2A04" w14:paraId="3E6CF4D6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31B739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sentinella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4EDC79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casi</w:t>
            </w:r>
          </w:p>
        </w:tc>
      </w:tr>
      <w:tr w:rsidR="00ED2A04" w14:paraId="6CAE0FC1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785A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Morte o grave danno per caduta di paziente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00E5" w14:textId="6DA40979" w:rsidR="00ED2A04" w:rsidRDefault="00C637F8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D2A04" w14:paraId="2E4E08C4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2A6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 di violenza a danno di operatore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E1B" w14:textId="490C5AA5" w:rsidR="00ED2A04" w:rsidRDefault="00C637F8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D2A04" w14:paraId="160082C0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192" w14:textId="77777777" w:rsidR="00ED2A04" w:rsidRDefault="00CA2F05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Morte o grave danno al paziente in seguito a trattamento sanitario programmato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3C4" w14:textId="79FE5729" w:rsidR="00ED2A04" w:rsidRDefault="00C637F8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D2A04" w14:paraId="632C70F7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C13D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Ogni altro evento avverso che causa morte o grave danno al paziente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18F" w14:textId="2D62BD53" w:rsidR="00ED2A04" w:rsidRDefault="00C637F8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D2A04" w14:paraId="13935935" w14:textId="77777777" w:rsidTr="00703D84">
        <w:trPr>
          <w:trHeight w:val="45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A1A7" w14:textId="77777777" w:rsidR="00ED2A04" w:rsidRDefault="00ED2A04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Errata procedura su paziente corretto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90E" w14:textId="4005F5B0" w:rsidR="00ED2A04" w:rsidRDefault="00C637F8" w:rsidP="00703D84">
            <w:pPr>
              <w:ind w:left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</w:tbl>
    <w:p w14:paraId="16D205CC" w14:textId="77777777" w:rsidR="00ED2A04" w:rsidRDefault="00ED2A04" w:rsidP="00ED2A04">
      <w:pPr>
        <w:spacing w:after="0" w:line="360" w:lineRule="auto"/>
        <w:ind w:left="284"/>
        <w:rPr>
          <w:rFonts w:ascii="Calibri" w:hAnsi="Calibri"/>
        </w:rPr>
      </w:pPr>
    </w:p>
    <w:p w14:paraId="123517C9" w14:textId="77777777" w:rsidR="00ED2A04" w:rsidRDefault="00ED2A04" w:rsidP="00ED2A04">
      <w:pPr>
        <w:spacing w:after="0" w:line="360" w:lineRule="auto"/>
        <w:ind w:left="284"/>
      </w:pPr>
      <w:r>
        <w:t>Peraltro, occorre segnalare che l’azienda, nell’ambito del proprio sistema qualità, ha implementato una serie di regolamenti e procedure, con la relativa modulistica laddove necessaria, volte, tra l’altro, a ridurre i rischi collegati ad alcuni degli eventi sopra indicati:</w:t>
      </w:r>
    </w:p>
    <w:p w14:paraId="19DE4819" w14:textId="77777777" w:rsidR="00ED2A04" w:rsidRDefault="00ED2A04" w:rsidP="00ED2A04">
      <w:pPr>
        <w:pStyle w:val="NormaleWeb"/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7F80A4E5" w14:textId="77777777" w:rsidR="00ED2A04" w:rsidRDefault="00ED2A04" w:rsidP="00ED2A04">
      <w:pPr>
        <w:spacing w:after="0" w:line="360" w:lineRule="auto"/>
        <w:ind w:left="284"/>
        <w:rPr>
          <w:rFonts w:ascii="Calibri" w:eastAsia="Calibri" w:hAnsi="Calibri"/>
        </w:rPr>
      </w:pPr>
      <w:r>
        <w:t>Tutti</w:t>
      </w:r>
      <w:r w:rsidR="00CA2F05">
        <w:t xml:space="preserve"> i </w:t>
      </w:r>
      <w:r>
        <w:t xml:space="preserve">regolamenti, le procedure, la modulistica allegate, sono rese disponibili </w:t>
      </w:r>
      <w:r w:rsidR="00CA2F05">
        <w:t>a tutto il personale mediante il Responsabile Qualità e con l’ausilio dell’Elenco dei documenti attualmente in vigore in azienda.</w:t>
      </w:r>
    </w:p>
    <w:p w14:paraId="0542DFC7" w14:textId="77777777" w:rsidR="00ED2A04" w:rsidRDefault="00ED2A04" w:rsidP="00ED2A04">
      <w:pPr>
        <w:spacing w:after="0" w:line="360" w:lineRule="auto"/>
        <w:ind w:left="284"/>
      </w:pPr>
    </w:p>
    <w:p w14:paraId="718F8F0F" w14:textId="5A53595E" w:rsidR="00ED2A04" w:rsidRDefault="00ED2A04" w:rsidP="00ED2A04">
      <w:pPr>
        <w:spacing w:after="0" w:line="360" w:lineRule="auto"/>
        <w:ind w:left="284"/>
      </w:pPr>
      <w:r>
        <w:rPr>
          <w:b/>
        </w:rPr>
        <w:t>Relativamente all’anno 20</w:t>
      </w:r>
      <w:r w:rsidR="008028F1">
        <w:rPr>
          <w:b/>
        </w:rPr>
        <w:t>2</w:t>
      </w:r>
      <w:r w:rsidR="00034F14">
        <w:rPr>
          <w:b/>
        </w:rPr>
        <w:t>4</w:t>
      </w:r>
      <w:r>
        <w:t xml:space="preserve"> </w:t>
      </w:r>
      <w:r w:rsidR="008866E6">
        <w:t xml:space="preserve">non </w:t>
      </w:r>
      <w:r>
        <w:t xml:space="preserve">sono stati segnalati eventi </w:t>
      </w:r>
      <w:r w:rsidR="00CA2F05">
        <w:t>avversi</w:t>
      </w:r>
      <w:r w:rsidR="008866E6">
        <w:t xml:space="preserve"> nella struttura;</w:t>
      </w:r>
      <w:r>
        <w:t xml:space="preserve"> </w:t>
      </w:r>
      <w:r w:rsidR="008866E6">
        <w:t>sebbene tale dato rientri in una casistica di auspicabilità, è opportuno evidenziare che ulteriori livelli di sensibilizzazione del personale saranno condotti nel corso del 20</w:t>
      </w:r>
      <w:r w:rsidR="00F608A5">
        <w:t>2</w:t>
      </w:r>
      <w:r w:rsidR="00034F14">
        <w:t>5</w:t>
      </w:r>
      <w:r w:rsidR="008866E6">
        <w:t xml:space="preserve"> per incentivare le segnalazioni ed aumentare la significatività di tale informazione</w:t>
      </w:r>
    </w:p>
    <w:p w14:paraId="2B703460" w14:textId="77777777" w:rsidR="00ED2A04" w:rsidRDefault="00ED2A04" w:rsidP="00ED2A04">
      <w:pPr>
        <w:tabs>
          <w:tab w:val="left" w:pos="567"/>
          <w:tab w:val="left" w:pos="851"/>
        </w:tabs>
        <w:spacing w:before="120" w:after="120" w:line="240" w:lineRule="auto"/>
        <w:ind w:right="283"/>
      </w:pPr>
    </w:p>
    <w:p w14:paraId="0A961F85" w14:textId="77777777" w:rsidR="00ED2A04" w:rsidRDefault="00ED2A04" w:rsidP="00EC60E5">
      <w:pPr>
        <w:pStyle w:val="Paragrafoelenco"/>
        <w:numPr>
          <w:ilvl w:val="0"/>
          <w:numId w:val="3"/>
        </w:numPr>
        <w:jc w:val="left"/>
        <w:rPr>
          <w:b/>
          <w:color w:val="002060"/>
          <w:sz w:val="24"/>
        </w:rPr>
      </w:pPr>
      <w:r>
        <w:rPr>
          <w:b/>
          <w:color w:val="002060"/>
          <w:sz w:val="24"/>
        </w:rPr>
        <w:t>Incident Reporting</w:t>
      </w:r>
    </w:p>
    <w:p w14:paraId="3C43E039" w14:textId="77777777" w:rsidR="00ED2A04" w:rsidRDefault="00ED2A04" w:rsidP="00ED2A04">
      <w:pPr>
        <w:spacing w:after="0" w:line="360" w:lineRule="auto"/>
        <w:ind w:left="284"/>
      </w:pPr>
      <w:r>
        <w:t>L’incident reporting è una modalità di raccolta strutturata delle segnalazioni che gli operatori sanitari fanno, in maniera anonima e volontaria, degli eventi indesiderati e dei near miss</w:t>
      </w:r>
      <w:r w:rsidR="009A0154">
        <w:t xml:space="preserve"> event</w:t>
      </w:r>
      <w:r>
        <w:t>.</w:t>
      </w:r>
    </w:p>
    <w:p w14:paraId="12FDB94F" w14:textId="77777777" w:rsidR="00ED2A04" w:rsidRDefault="00ED2A04" w:rsidP="00ED2A04">
      <w:pPr>
        <w:spacing w:after="0" w:line="360" w:lineRule="auto"/>
        <w:ind w:left="284"/>
      </w:pPr>
      <w:r>
        <w:t xml:space="preserve">Per facilitare la segnalazione, nella nostra azienda </w:t>
      </w:r>
      <w:r w:rsidR="009A0154">
        <w:t xml:space="preserve">è </w:t>
      </w:r>
      <w:r>
        <w:t>stat</w:t>
      </w:r>
      <w:r w:rsidR="009A0154">
        <w:t>o</w:t>
      </w:r>
      <w:r>
        <w:t xml:space="preserve"> predispost</w:t>
      </w:r>
      <w:r w:rsidR="009A0154">
        <w:t>o</w:t>
      </w:r>
      <w:r>
        <w:t xml:space="preserve"> un modulo cartaceo </w:t>
      </w:r>
      <w:r w:rsidR="009A0154">
        <w:t>accessibile a tutti gli operatori.</w:t>
      </w:r>
    </w:p>
    <w:p w14:paraId="2ABAD3EF" w14:textId="77777777" w:rsidR="009A0154" w:rsidRDefault="009A0154">
      <w:pPr>
        <w:jc w:val="left"/>
      </w:pPr>
      <w:r>
        <w:br w:type="page"/>
      </w:r>
    </w:p>
    <w:p w14:paraId="175C73EC" w14:textId="7BAE2326" w:rsidR="00ED2A04" w:rsidRPr="00034F14" w:rsidRDefault="00ED2A04" w:rsidP="00034F14">
      <w:pPr>
        <w:spacing w:after="0" w:line="360" w:lineRule="auto"/>
        <w:ind w:left="284"/>
      </w:pPr>
      <w:r>
        <w:lastRenderedPageBreak/>
        <w:t>Di seguito si riporta il modulo di segnalazione:</w:t>
      </w:r>
    </w:p>
    <w:p w14:paraId="29775ED9" w14:textId="5FBC5CE0" w:rsidR="00034F14" w:rsidRDefault="00034F14" w:rsidP="00034F14">
      <w:pPr>
        <w:spacing w:after="0" w:line="360" w:lineRule="auto"/>
        <w:ind w:left="284"/>
        <w:rPr>
          <w:rFonts w:ascii="Calibri" w:hAnsi="Calibri"/>
          <w:noProof/>
        </w:rPr>
      </w:pPr>
      <w:r>
        <w:rPr>
          <w:noProof/>
        </w:rPr>
        <w:drawing>
          <wp:inline distT="0" distB="0" distL="0" distR="0" wp14:anchorId="5690BF84" wp14:editId="1F7017D4">
            <wp:extent cx="6120130" cy="3977005"/>
            <wp:effectExtent l="0" t="0" r="0" b="4445"/>
            <wp:docPr id="8868253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253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E7A5" w14:textId="77777777" w:rsidR="0055677A" w:rsidRDefault="0055677A" w:rsidP="00EC60E5">
      <w:pPr>
        <w:pStyle w:val="Paragrafoelenco"/>
        <w:numPr>
          <w:ilvl w:val="0"/>
          <w:numId w:val="2"/>
        </w:numPr>
        <w:ind w:left="284" w:firstLine="0"/>
        <w:jc w:val="left"/>
        <w:rPr>
          <w:b/>
          <w:color w:val="002060"/>
          <w:sz w:val="24"/>
        </w:rPr>
      </w:pPr>
      <w:r>
        <w:rPr>
          <w:b/>
          <w:color w:val="002060"/>
          <w:sz w:val="24"/>
        </w:rPr>
        <w:t>Risarcimenti Erogati Ultimo Quinquennio</w:t>
      </w:r>
    </w:p>
    <w:p w14:paraId="05DE86A7" w14:textId="77777777" w:rsidR="0055677A" w:rsidRDefault="0055677A" w:rsidP="0055677A">
      <w:pPr>
        <w:spacing w:after="0" w:line="360" w:lineRule="auto"/>
        <w:ind w:left="284"/>
      </w:pPr>
      <w:r>
        <w:t>La Legge 08/03/2017 n. 24 prevede che le strutture sanitarie pubblichino sui propri siti internet, una statistica riguardante i dati relativi ai risarcimenti erogati negli ultimi cinque anni, con riferimento esplicito ai risarcimenti erogati per sinistri, escludendo de facto pagamenti connessi a smarrimento di oggetti personali, danni a cose, etc</w:t>
      </w:r>
      <w:r w:rsidR="00453F9F">
        <w:t>.</w:t>
      </w:r>
    </w:p>
    <w:tbl>
      <w:tblPr>
        <w:tblStyle w:val="Tabellagriglia4-colore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453F9F" w14:paraId="7FB6DACB" w14:textId="77777777" w:rsidTr="0070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44E062C0" w14:textId="77777777" w:rsidR="00453F9F" w:rsidRDefault="00453F9F" w:rsidP="00703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ANNO</w:t>
            </w:r>
          </w:p>
        </w:tc>
        <w:tc>
          <w:tcPr>
            <w:tcW w:w="6514" w:type="dxa"/>
            <w:vAlign w:val="center"/>
          </w:tcPr>
          <w:p w14:paraId="6F392E6C" w14:textId="77777777" w:rsidR="00453F9F" w:rsidRDefault="00453F9F" w:rsidP="00703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Importi Risarciti</w:t>
            </w:r>
          </w:p>
        </w:tc>
      </w:tr>
      <w:tr w:rsidR="00F608A5" w14:paraId="13EC779D" w14:textId="77777777" w:rsidTr="0070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7D91FBE" w14:textId="2E8449E5" w:rsidR="00F608A5" w:rsidRDefault="00F608A5" w:rsidP="00703D84">
            <w:pPr>
              <w:jc w:val="center"/>
              <w:rPr>
                <w:rFonts w:ascii="Calibri" w:hAnsi="Calibri"/>
              </w:rPr>
            </w:pPr>
            <w:r w:rsidRPr="00F608A5">
              <w:rPr>
                <w:rFonts w:ascii="Calibri" w:hAnsi="Calibri"/>
              </w:rPr>
              <w:t>20</w:t>
            </w:r>
            <w:r w:rsidR="008028F1">
              <w:rPr>
                <w:rFonts w:ascii="Calibri" w:hAnsi="Calibri"/>
              </w:rPr>
              <w:t>2</w:t>
            </w:r>
            <w:r w:rsidR="00034F14">
              <w:rPr>
                <w:rFonts w:ascii="Calibri" w:hAnsi="Calibri"/>
              </w:rPr>
              <w:t>4</w:t>
            </w:r>
          </w:p>
        </w:tc>
        <w:tc>
          <w:tcPr>
            <w:tcW w:w="6514" w:type="dxa"/>
            <w:vAlign w:val="center"/>
          </w:tcPr>
          <w:p w14:paraId="0FA3A48D" w14:textId="1E6B5802" w:rsidR="00F608A5" w:rsidRPr="00453F9F" w:rsidRDefault="00F608A5" w:rsidP="00703D84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53F9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453F9F">
              <w:rPr>
                <w:rFonts w:ascii="Calibri" w:hAnsi="Calibri"/>
              </w:rPr>
              <w:t>€</w:t>
            </w:r>
          </w:p>
        </w:tc>
      </w:tr>
      <w:tr w:rsidR="00453F9F" w14:paraId="2D4403C2" w14:textId="77777777" w:rsidTr="00703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4F49DCD" w14:textId="1DF3E705" w:rsidR="00453F9F" w:rsidRDefault="00453F9F" w:rsidP="00703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7C03D7">
              <w:rPr>
                <w:rFonts w:ascii="Calibri" w:hAnsi="Calibri"/>
              </w:rPr>
              <w:t>2</w:t>
            </w:r>
            <w:r w:rsidR="00034F14">
              <w:rPr>
                <w:rFonts w:ascii="Calibri" w:hAnsi="Calibri"/>
              </w:rPr>
              <w:t>3</w:t>
            </w:r>
          </w:p>
        </w:tc>
        <w:tc>
          <w:tcPr>
            <w:tcW w:w="6514" w:type="dxa"/>
            <w:vAlign w:val="center"/>
          </w:tcPr>
          <w:p w14:paraId="57568548" w14:textId="77777777" w:rsidR="00453F9F" w:rsidRPr="00453F9F" w:rsidRDefault="00453F9F" w:rsidP="00703D8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53F9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453F9F">
              <w:rPr>
                <w:rFonts w:ascii="Calibri" w:hAnsi="Calibri"/>
              </w:rPr>
              <w:t>€</w:t>
            </w:r>
          </w:p>
        </w:tc>
      </w:tr>
      <w:tr w:rsidR="00453F9F" w14:paraId="3BCEF487" w14:textId="77777777" w:rsidTr="0070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550F2D5" w14:textId="5C6BBCAD" w:rsidR="00453F9F" w:rsidRDefault="00453F9F" w:rsidP="00703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8357A0">
              <w:rPr>
                <w:rFonts w:ascii="Calibri" w:hAnsi="Calibri"/>
              </w:rPr>
              <w:t>2</w:t>
            </w:r>
            <w:r w:rsidR="00034F14">
              <w:rPr>
                <w:rFonts w:ascii="Calibri" w:hAnsi="Calibri"/>
              </w:rPr>
              <w:t>2</w:t>
            </w:r>
          </w:p>
        </w:tc>
        <w:tc>
          <w:tcPr>
            <w:tcW w:w="6514" w:type="dxa"/>
            <w:vAlign w:val="center"/>
          </w:tcPr>
          <w:p w14:paraId="2D80A88D" w14:textId="77777777" w:rsidR="00453F9F" w:rsidRPr="00453F9F" w:rsidRDefault="00453F9F" w:rsidP="00703D84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53F9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453F9F">
              <w:rPr>
                <w:rFonts w:ascii="Calibri" w:hAnsi="Calibri"/>
              </w:rPr>
              <w:t>€</w:t>
            </w:r>
          </w:p>
        </w:tc>
      </w:tr>
      <w:tr w:rsidR="00453F9F" w14:paraId="01F80394" w14:textId="77777777" w:rsidTr="00703D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D87A794" w14:textId="54FEA60D" w:rsidR="00453F9F" w:rsidRDefault="00453F9F" w:rsidP="00703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034F14">
              <w:rPr>
                <w:rFonts w:ascii="Calibri" w:hAnsi="Calibri"/>
              </w:rPr>
              <w:t>21</w:t>
            </w:r>
          </w:p>
        </w:tc>
        <w:tc>
          <w:tcPr>
            <w:tcW w:w="6514" w:type="dxa"/>
            <w:vAlign w:val="center"/>
          </w:tcPr>
          <w:p w14:paraId="283485A6" w14:textId="77777777" w:rsidR="00453F9F" w:rsidRPr="00453F9F" w:rsidRDefault="00453F9F" w:rsidP="00703D8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53F9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453F9F">
              <w:rPr>
                <w:rFonts w:ascii="Calibri" w:hAnsi="Calibri"/>
              </w:rPr>
              <w:t>€</w:t>
            </w:r>
          </w:p>
        </w:tc>
      </w:tr>
      <w:tr w:rsidR="00453F9F" w14:paraId="471DCDD9" w14:textId="77777777" w:rsidTr="0070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2AE092D" w14:textId="4BD8F735" w:rsidR="00453F9F" w:rsidRDefault="00453F9F" w:rsidP="00703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034F14">
              <w:rPr>
                <w:rFonts w:ascii="Calibri" w:hAnsi="Calibri"/>
              </w:rPr>
              <w:t>20</w:t>
            </w:r>
          </w:p>
        </w:tc>
        <w:tc>
          <w:tcPr>
            <w:tcW w:w="6514" w:type="dxa"/>
            <w:vAlign w:val="center"/>
          </w:tcPr>
          <w:p w14:paraId="09A2D6F9" w14:textId="77777777" w:rsidR="00453F9F" w:rsidRPr="00453F9F" w:rsidRDefault="00453F9F" w:rsidP="00703D84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53F9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453F9F">
              <w:rPr>
                <w:rFonts w:ascii="Calibri" w:hAnsi="Calibri"/>
              </w:rPr>
              <w:t>€</w:t>
            </w:r>
          </w:p>
        </w:tc>
      </w:tr>
    </w:tbl>
    <w:p w14:paraId="63EC8F90" w14:textId="77777777" w:rsidR="00DF7C1F" w:rsidRDefault="00DF7C1F" w:rsidP="0055677A">
      <w:pPr>
        <w:spacing w:after="0" w:line="360" w:lineRule="auto"/>
        <w:ind w:left="284"/>
        <w:rPr>
          <w:rFonts w:ascii="Calibri" w:hAnsi="Calibri"/>
        </w:rPr>
      </w:pPr>
    </w:p>
    <w:p w14:paraId="60A1EB08" w14:textId="3C17D9C0" w:rsidR="00DF7C1F" w:rsidRDefault="00F97A5E" w:rsidP="00034F14">
      <w:pPr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Castellammare di Stabia</w:t>
      </w:r>
      <w:r w:rsidR="00034F14">
        <w:rPr>
          <w:rFonts w:ascii="Calibri" w:hAnsi="Calibri"/>
        </w:rPr>
        <w:t>,</w:t>
      </w:r>
      <w:r w:rsidR="00DF7C1F">
        <w:rPr>
          <w:rFonts w:ascii="Calibri" w:hAnsi="Calibri"/>
        </w:rPr>
        <w:t xml:space="preserve"> </w:t>
      </w:r>
      <w:r w:rsidR="00034F14">
        <w:rPr>
          <w:rFonts w:ascii="Calibri" w:hAnsi="Calibri"/>
        </w:rPr>
        <w:t>03/02/2025</w:t>
      </w:r>
    </w:p>
    <w:p w14:paraId="7F2D8AF8" w14:textId="77777777" w:rsidR="00034F14" w:rsidRDefault="00034F14" w:rsidP="00034F14">
      <w:pPr>
        <w:spacing w:after="0" w:line="360" w:lineRule="auto"/>
        <w:ind w:left="284"/>
        <w:rPr>
          <w:rFonts w:ascii="Calibri" w:hAnsi="Calibr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111"/>
        <w:gridCol w:w="992"/>
        <w:gridCol w:w="4251"/>
      </w:tblGrid>
      <w:tr w:rsidR="00DF7C1F" w14:paraId="19CEBAFF" w14:textId="77777777" w:rsidTr="00DF7C1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EC28DFD" w14:textId="2B2F0D29" w:rsidR="00DF7C1F" w:rsidRDefault="00DF7C1F" w:rsidP="00DF7C1F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</w:t>
            </w:r>
            <w:r w:rsidR="00DB73A6">
              <w:rPr>
                <w:rFonts w:ascii="Calibri" w:hAnsi="Calibri"/>
              </w:rPr>
              <w:t>Presidente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CDF4F5" w14:textId="77777777" w:rsidR="00DF7C1F" w:rsidRDefault="00DF7C1F" w:rsidP="00DF7C1F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203B30E0" w14:textId="35D605DD" w:rsidR="00DF7C1F" w:rsidRDefault="00DF7C1F" w:rsidP="00DF7C1F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Direttore </w:t>
            </w:r>
            <w:r w:rsidR="00085B56">
              <w:rPr>
                <w:rFonts w:ascii="Calibri" w:hAnsi="Calibri"/>
              </w:rPr>
              <w:t xml:space="preserve">Sanitario </w:t>
            </w:r>
          </w:p>
        </w:tc>
      </w:tr>
      <w:tr w:rsidR="00DF7C1F" w14:paraId="749EA6EE" w14:textId="77777777" w:rsidTr="00DF7C1F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89644" w14:textId="77777777" w:rsidR="00DF7C1F" w:rsidRDefault="00DF7C1F" w:rsidP="0055677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D96913" w14:textId="77777777" w:rsidR="00DF7C1F" w:rsidRDefault="00DF7C1F" w:rsidP="0055677A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0C47D" w14:textId="77777777" w:rsidR="00DF7C1F" w:rsidRDefault="00DF7C1F" w:rsidP="0055677A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576E928" w14:textId="77777777" w:rsidR="00DF7C1F" w:rsidRDefault="00DF7C1F" w:rsidP="00034F14">
      <w:pPr>
        <w:spacing w:after="0" w:line="360" w:lineRule="auto"/>
        <w:rPr>
          <w:rFonts w:ascii="Calibri" w:hAnsi="Calibri"/>
        </w:rPr>
      </w:pPr>
    </w:p>
    <w:sectPr w:rsidR="00DF7C1F" w:rsidSect="003C15BC">
      <w:headerReference w:type="default" r:id="rId18"/>
      <w:footerReference w:type="default" r:id="rId19"/>
      <w:pgSz w:w="11906" w:h="16838"/>
      <w:pgMar w:top="1417" w:right="1134" w:bottom="1134" w:left="1134" w:header="708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1069" w14:textId="77777777" w:rsidR="00D77CD6" w:rsidRDefault="00D77CD6" w:rsidP="00524B34">
      <w:r>
        <w:separator/>
      </w:r>
    </w:p>
  </w:endnote>
  <w:endnote w:type="continuationSeparator" w:id="0">
    <w:p w14:paraId="2D8677F0" w14:textId="77777777" w:rsidR="00D77CD6" w:rsidRDefault="00D77CD6" w:rsidP="0052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3908" w14:textId="77777777" w:rsidR="00F97A5E" w:rsidRDefault="00F97A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2B8B" w14:textId="77777777" w:rsidR="00F97A5E" w:rsidRDefault="00F97A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18E0" w14:textId="412D212E" w:rsidR="00F97A5E" w:rsidRDefault="00F97A5E">
    <w:pPr>
      <w:pStyle w:val="Pidipagina"/>
    </w:pPr>
    <w:r>
      <w:tab/>
    </w:r>
    <w:r>
      <w:tab/>
    </w:r>
    <w:sdt>
      <w:sdtPr>
        <w:id w:val="-755358045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B002A" w14:textId="77777777" w:rsidR="00F97A5E" w:rsidRDefault="00F97A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ED53" w14:textId="77777777" w:rsidR="008C01C1" w:rsidRPr="003C15BC" w:rsidRDefault="008C01C1" w:rsidP="00ED2A04">
    <w:pPr>
      <w:spacing w:after="0" w:line="240" w:lineRule="auto"/>
      <w:ind w:right="141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0883" w14:textId="77777777" w:rsidR="00D77CD6" w:rsidRDefault="00D77CD6" w:rsidP="00524B34">
      <w:r>
        <w:separator/>
      </w:r>
    </w:p>
  </w:footnote>
  <w:footnote w:type="continuationSeparator" w:id="0">
    <w:p w14:paraId="076E6A12" w14:textId="77777777" w:rsidR="00D77CD6" w:rsidRDefault="00D77CD6" w:rsidP="0052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F7F3" w14:textId="77777777" w:rsidR="00F97A5E" w:rsidRDefault="00F97A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831" w14:textId="77777777" w:rsidR="00F97A5E" w:rsidRDefault="00F97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CE1A" w14:textId="77777777" w:rsidR="00F97A5E" w:rsidRDefault="00F97A5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0BA6" w14:textId="77777777" w:rsidR="008C01C1" w:rsidRDefault="008C01C1" w:rsidP="00D77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6AB"/>
    <w:multiLevelType w:val="multilevel"/>
    <w:tmpl w:val="BAFCEBCE"/>
    <w:lvl w:ilvl="0">
      <w:numFmt w:val="decimal"/>
      <w:pStyle w:val="Titolo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CE03E1"/>
    <w:multiLevelType w:val="hybridMultilevel"/>
    <w:tmpl w:val="C5CE0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33F0C"/>
    <w:multiLevelType w:val="hybridMultilevel"/>
    <w:tmpl w:val="6C5A1DFA"/>
    <w:lvl w:ilvl="0" w:tplc="443AC7BE">
      <w:start w:val="2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99933">
    <w:abstractNumId w:val="0"/>
  </w:num>
  <w:num w:numId="2" w16cid:durableId="866140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6777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F"/>
    <w:rsid w:val="00004509"/>
    <w:rsid w:val="000109BA"/>
    <w:rsid w:val="00013CCA"/>
    <w:rsid w:val="00023F67"/>
    <w:rsid w:val="00024C6A"/>
    <w:rsid w:val="00031AD4"/>
    <w:rsid w:val="00034F14"/>
    <w:rsid w:val="000464A0"/>
    <w:rsid w:val="00047030"/>
    <w:rsid w:val="00050B2F"/>
    <w:rsid w:val="00065D15"/>
    <w:rsid w:val="000660CB"/>
    <w:rsid w:val="00077C98"/>
    <w:rsid w:val="00082CCD"/>
    <w:rsid w:val="0008314D"/>
    <w:rsid w:val="00085B56"/>
    <w:rsid w:val="000919EB"/>
    <w:rsid w:val="00092EB4"/>
    <w:rsid w:val="00093359"/>
    <w:rsid w:val="00096485"/>
    <w:rsid w:val="000A4B36"/>
    <w:rsid w:val="000A5233"/>
    <w:rsid w:val="000A7809"/>
    <w:rsid w:val="000B0613"/>
    <w:rsid w:val="000B3DF6"/>
    <w:rsid w:val="000C1774"/>
    <w:rsid w:val="000C3418"/>
    <w:rsid w:val="000C3AF8"/>
    <w:rsid w:val="000C432A"/>
    <w:rsid w:val="00103F55"/>
    <w:rsid w:val="001230FE"/>
    <w:rsid w:val="00125361"/>
    <w:rsid w:val="0012601E"/>
    <w:rsid w:val="00133DA4"/>
    <w:rsid w:val="00144FF8"/>
    <w:rsid w:val="001509FE"/>
    <w:rsid w:val="00164874"/>
    <w:rsid w:val="00165767"/>
    <w:rsid w:val="00173C73"/>
    <w:rsid w:val="00174841"/>
    <w:rsid w:val="00177813"/>
    <w:rsid w:val="00182109"/>
    <w:rsid w:val="0018506E"/>
    <w:rsid w:val="00186B71"/>
    <w:rsid w:val="00193D5F"/>
    <w:rsid w:val="001A3E09"/>
    <w:rsid w:val="001A58B0"/>
    <w:rsid w:val="001B0B0B"/>
    <w:rsid w:val="001B7AF6"/>
    <w:rsid w:val="001C4EA8"/>
    <w:rsid w:val="001D3609"/>
    <w:rsid w:val="001D49B3"/>
    <w:rsid w:val="001E1650"/>
    <w:rsid w:val="001E57D6"/>
    <w:rsid w:val="001F22A6"/>
    <w:rsid w:val="002056E4"/>
    <w:rsid w:val="002061F9"/>
    <w:rsid w:val="00207779"/>
    <w:rsid w:val="002208EB"/>
    <w:rsid w:val="00242127"/>
    <w:rsid w:val="00243DBA"/>
    <w:rsid w:val="0024460B"/>
    <w:rsid w:val="00251709"/>
    <w:rsid w:val="00255E8C"/>
    <w:rsid w:val="00260110"/>
    <w:rsid w:val="00260E19"/>
    <w:rsid w:val="0026203A"/>
    <w:rsid w:val="002748C9"/>
    <w:rsid w:val="002773BF"/>
    <w:rsid w:val="00291FB8"/>
    <w:rsid w:val="002948DA"/>
    <w:rsid w:val="0029692B"/>
    <w:rsid w:val="002A2562"/>
    <w:rsid w:val="002A3E08"/>
    <w:rsid w:val="002A5D6E"/>
    <w:rsid w:val="002B090D"/>
    <w:rsid w:val="002B0F95"/>
    <w:rsid w:val="002B6604"/>
    <w:rsid w:val="002B6D38"/>
    <w:rsid w:val="002D6055"/>
    <w:rsid w:val="002D6EE1"/>
    <w:rsid w:val="002F39A2"/>
    <w:rsid w:val="00310A08"/>
    <w:rsid w:val="0032313B"/>
    <w:rsid w:val="00333380"/>
    <w:rsid w:val="0033353D"/>
    <w:rsid w:val="003379D7"/>
    <w:rsid w:val="003427BD"/>
    <w:rsid w:val="00361D27"/>
    <w:rsid w:val="0037245D"/>
    <w:rsid w:val="0037607D"/>
    <w:rsid w:val="003769B1"/>
    <w:rsid w:val="00392798"/>
    <w:rsid w:val="00393A2A"/>
    <w:rsid w:val="003A332C"/>
    <w:rsid w:val="003A573B"/>
    <w:rsid w:val="003B0B7D"/>
    <w:rsid w:val="003B20F5"/>
    <w:rsid w:val="003B3DB3"/>
    <w:rsid w:val="003B4757"/>
    <w:rsid w:val="003B7337"/>
    <w:rsid w:val="003C15BC"/>
    <w:rsid w:val="003E1FA6"/>
    <w:rsid w:val="003E7D61"/>
    <w:rsid w:val="003F59B9"/>
    <w:rsid w:val="00400C9B"/>
    <w:rsid w:val="00401E95"/>
    <w:rsid w:val="00420524"/>
    <w:rsid w:val="00420971"/>
    <w:rsid w:val="0043685C"/>
    <w:rsid w:val="00444B15"/>
    <w:rsid w:val="00445D96"/>
    <w:rsid w:val="0044653B"/>
    <w:rsid w:val="00453F9F"/>
    <w:rsid w:val="004602FC"/>
    <w:rsid w:val="0046226D"/>
    <w:rsid w:val="004632EB"/>
    <w:rsid w:val="00467FAC"/>
    <w:rsid w:val="00471C52"/>
    <w:rsid w:val="00473F4A"/>
    <w:rsid w:val="00480E18"/>
    <w:rsid w:val="00490AEC"/>
    <w:rsid w:val="004A551D"/>
    <w:rsid w:val="004B0F09"/>
    <w:rsid w:val="004B3D91"/>
    <w:rsid w:val="004B618F"/>
    <w:rsid w:val="004C0F08"/>
    <w:rsid w:val="004D02B7"/>
    <w:rsid w:val="004D582B"/>
    <w:rsid w:val="004D6F93"/>
    <w:rsid w:val="004D785D"/>
    <w:rsid w:val="004E05C2"/>
    <w:rsid w:val="004E3B23"/>
    <w:rsid w:val="004F1B3E"/>
    <w:rsid w:val="004F4554"/>
    <w:rsid w:val="004F5F67"/>
    <w:rsid w:val="005039DC"/>
    <w:rsid w:val="00505553"/>
    <w:rsid w:val="00506DB0"/>
    <w:rsid w:val="0050708F"/>
    <w:rsid w:val="005132EC"/>
    <w:rsid w:val="005168E6"/>
    <w:rsid w:val="005171C2"/>
    <w:rsid w:val="005236E6"/>
    <w:rsid w:val="005244EF"/>
    <w:rsid w:val="00524B34"/>
    <w:rsid w:val="005251D9"/>
    <w:rsid w:val="005431C6"/>
    <w:rsid w:val="00552B75"/>
    <w:rsid w:val="00554A27"/>
    <w:rsid w:val="00556657"/>
    <w:rsid w:val="0055677A"/>
    <w:rsid w:val="005677C6"/>
    <w:rsid w:val="00575962"/>
    <w:rsid w:val="0057661B"/>
    <w:rsid w:val="00592D8D"/>
    <w:rsid w:val="00593C24"/>
    <w:rsid w:val="005B0313"/>
    <w:rsid w:val="005B26A8"/>
    <w:rsid w:val="005C02F7"/>
    <w:rsid w:val="005C2BCF"/>
    <w:rsid w:val="005C377F"/>
    <w:rsid w:val="005C7B2E"/>
    <w:rsid w:val="005D183F"/>
    <w:rsid w:val="005D377D"/>
    <w:rsid w:val="005D7716"/>
    <w:rsid w:val="005E4723"/>
    <w:rsid w:val="00601004"/>
    <w:rsid w:val="006057DF"/>
    <w:rsid w:val="006065A9"/>
    <w:rsid w:val="00607855"/>
    <w:rsid w:val="00613EEF"/>
    <w:rsid w:val="006149AA"/>
    <w:rsid w:val="00626FA9"/>
    <w:rsid w:val="00626FD0"/>
    <w:rsid w:val="00630C41"/>
    <w:rsid w:val="00635A83"/>
    <w:rsid w:val="006439DF"/>
    <w:rsid w:val="00650808"/>
    <w:rsid w:val="00651E73"/>
    <w:rsid w:val="006571F0"/>
    <w:rsid w:val="00657DD8"/>
    <w:rsid w:val="00661383"/>
    <w:rsid w:val="0066786C"/>
    <w:rsid w:val="00676D95"/>
    <w:rsid w:val="00680793"/>
    <w:rsid w:val="0069174E"/>
    <w:rsid w:val="006B13A6"/>
    <w:rsid w:val="006C0793"/>
    <w:rsid w:val="006C0865"/>
    <w:rsid w:val="006C2EE2"/>
    <w:rsid w:val="006C628F"/>
    <w:rsid w:val="006D0427"/>
    <w:rsid w:val="006D6984"/>
    <w:rsid w:val="006E27AB"/>
    <w:rsid w:val="006E5E95"/>
    <w:rsid w:val="006F5E91"/>
    <w:rsid w:val="00700FA2"/>
    <w:rsid w:val="00703D84"/>
    <w:rsid w:val="0071057D"/>
    <w:rsid w:val="007142E0"/>
    <w:rsid w:val="00732CAF"/>
    <w:rsid w:val="00734315"/>
    <w:rsid w:val="007345FB"/>
    <w:rsid w:val="00734B3E"/>
    <w:rsid w:val="00734BFA"/>
    <w:rsid w:val="00737C48"/>
    <w:rsid w:val="007462D9"/>
    <w:rsid w:val="0075210C"/>
    <w:rsid w:val="00760684"/>
    <w:rsid w:val="00760A29"/>
    <w:rsid w:val="00764505"/>
    <w:rsid w:val="00764C96"/>
    <w:rsid w:val="00771305"/>
    <w:rsid w:val="00771B27"/>
    <w:rsid w:val="00783307"/>
    <w:rsid w:val="00797ACB"/>
    <w:rsid w:val="007B3063"/>
    <w:rsid w:val="007C03D7"/>
    <w:rsid w:val="007C6193"/>
    <w:rsid w:val="007D040A"/>
    <w:rsid w:val="007D0B6B"/>
    <w:rsid w:val="007D39A3"/>
    <w:rsid w:val="007F08C1"/>
    <w:rsid w:val="007F1A26"/>
    <w:rsid w:val="007F477F"/>
    <w:rsid w:val="007F7E02"/>
    <w:rsid w:val="008000F7"/>
    <w:rsid w:val="008028F1"/>
    <w:rsid w:val="00807314"/>
    <w:rsid w:val="00815899"/>
    <w:rsid w:val="008237F5"/>
    <w:rsid w:val="00823EC2"/>
    <w:rsid w:val="00825D5A"/>
    <w:rsid w:val="00830C33"/>
    <w:rsid w:val="00832FCA"/>
    <w:rsid w:val="00833EE8"/>
    <w:rsid w:val="008357A0"/>
    <w:rsid w:val="00837EBF"/>
    <w:rsid w:val="00842C5A"/>
    <w:rsid w:val="00851B55"/>
    <w:rsid w:val="00854B82"/>
    <w:rsid w:val="00860D79"/>
    <w:rsid w:val="00867E38"/>
    <w:rsid w:val="0088309C"/>
    <w:rsid w:val="008866E6"/>
    <w:rsid w:val="0089343C"/>
    <w:rsid w:val="008A5CA3"/>
    <w:rsid w:val="008B017D"/>
    <w:rsid w:val="008B3783"/>
    <w:rsid w:val="008B4E0D"/>
    <w:rsid w:val="008B4E60"/>
    <w:rsid w:val="008B50D0"/>
    <w:rsid w:val="008C01C1"/>
    <w:rsid w:val="008C7557"/>
    <w:rsid w:val="008D01E1"/>
    <w:rsid w:val="008D3F53"/>
    <w:rsid w:val="008D7ABD"/>
    <w:rsid w:val="008F3FEE"/>
    <w:rsid w:val="009041E9"/>
    <w:rsid w:val="00914419"/>
    <w:rsid w:val="00914655"/>
    <w:rsid w:val="00916C3A"/>
    <w:rsid w:val="00921559"/>
    <w:rsid w:val="00921AC2"/>
    <w:rsid w:val="009352F0"/>
    <w:rsid w:val="00936E0C"/>
    <w:rsid w:val="00937BD4"/>
    <w:rsid w:val="00945F34"/>
    <w:rsid w:val="00961EB5"/>
    <w:rsid w:val="00962633"/>
    <w:rsid w:val="0097686B"/>
    <w:rsid w:val="00977349"/>
    <w:rsid w:val="00994B8E"/>
    <w:rsid w:val="009A0154"/>
    <w:rsid w:val="009A278D"/>
    <w:rsid w:val="009A2F97"/>
    <w:rsid w:val="009A3BE8"/>
    <w:rsid w:val="009B400F"/>
    <w:rsid w:val="009C2F8A"/>
    <w:rsid w:val="009C586F"/>
    <w:rsid w:val="009C7A77"/>
    <w:rsid w:val="009C7D58"/>
    <w:rsid w:val="009D1C84"/>
    <w:rsid w:val="009D666B"/>
    <w:rsid w:val="009F2773"/>
    <w:rsid w:val="00A00CDF"/>
    <w:rsid w:val="00A07031"/>
    <w:rsid w:val="00A1005B"/>
    <w:rsid w:val="00A15189"/>
    <w:rsid w:val="00A24E80"/>
    <w:rsid w:val="00A25E0F"/>
    <w:rsid w:val="00A2774F"/>
    <w:rsid w:val="00A36CB7"/>
    <w:rsid w:val="00A37472"/>
    <w:rsid w:val="00A4135A"/>
    <w:rsid w:val="00A41804"/>
    <w:rsid w:val="00A42FF6"/>
    <w:rsid w:val="00A60D86"/>
    <w:rsid w:val="00A6244E"/>
    <w:rsid w:val="00A74E19"/>
    <w:rsid w:val="00A80BA5"/>
    <w:rsid w:val="00A81EEB"/>
    <w:rsid w:val="00A832B2"/>
    <w:rsid w:val="00A864C9"/>
    <w:rsid w:val="00A921C7"/>
    <w:rsid w:val="00A959F9"/>
    <w:rsid w:val="00AA0155"/>
    <w:rsid w:val="00AA2902"/>
    <w:rsid w:val="00AA47E2"/>
    <w:rsid w:val="00AA7641"/>
    <w:rsid w:val="00AB0D28"/>
    <w:rsid w:val="00AB1E9A"/>
    <w:rsid w:val="00AB3C99"/>
    <w:rsid w:val="00AC0658"/>
    <w:rsid w:val="00AD147B"/>
    <w:rsid w:val="00AD280E"/>
    <w:rsid w:val="00AE3410"/>
    <w:rsid w:val="00B10713"/>
    <w:rsid w:val="00B121C5"/>
    <w:rsid w:val="00B203F6"/>
    <w:rsid w:val="00B207E4"/>
    <w:rsid w:val="00B20F2C"/>
    <w:rsid w:val="00B235BD"/>
    <w:rsid w:val="00B25776"/>
    <w:rsid w:val="00B33AA1"/>
    <w:rsid w:val="00B45CB2"/>
    <w:rsid w:val="00B543B3"/>
    <w:rsid w:val="00B55D69"/>
    <w:rsid w:val="00B577DF"/>
    <w:rsid w:val="00B57F8D"/>
    <w:rsid w:val="00B61F0D"/>
    <w:rsid w:val="00B62A57"/>
    <w:rsid w:val="00B630C3"/>
    <w:rsid w:val="00B647B6"/>
    <w:rsid w:val="00B65384"/>
    <w:rsid w:val="00B66133"/>
    <w:rsid w:val="00B82A00"/>
    <w:rsid w:val="00B8522A"/>
    <w:rsid w:val="00B97B1C"/>
    <w:rsid w:val="00BA003F"/>
    <w:rsid w:val="00BB447E"/>
    <w:rsid w:val="00BD1906"/>
    <w:rsid w:val="00BE17D6"/>
    <w:rsid w:val="00BE29FC"/>
    <w:rsid w:val="00BE3C96"/>
    <w:rsid w:val="00BF0D2A"/>
    <w:rsid w:val="00BF118D"/>
    <w:rsid w:val="00C05D90"/>
    <w:rsid w:val="00C15A73"/>
    <w:rsid w:val="00C23B0C"/>
    <w:rsid w:val="00C2510D"/>
    <w:rsid w:val="00C25619"/>
    <w:rsid w:val="00C378A4"/>
    <w:rsid w:val="00C4163A"/>
    <w:rsid w:val="00C42A42"/>
    <w:rsid w:val="00C56001"/>
    <w:rsid w:val="00C57E4D"/>
    <w:rsid w:val="00C637F8"/>
    <w:rsid w:val="00C64029"/>
    <w:rsid w:val="00C7483E"/>
    <w:rsid w:val="00C900B9"/>
    <w:rsid w:val="00CA18C4"/>
    <w:rsid w:val="00CA2F05"/>
    <w:rsid w:val="00CA6A2D"/>
    <w:rsid w:val="00CA72EE"/>
    <w:rsid w:val="00CB7E74"/>
    <w:rsid w:val="00CC5E1A"/>
    <w:rsid w:val="00CC5FE5"/>
    <w:rsid w:val="00CC762C"/>
    <w:rsid w:val="00CD107B"/>
    <w:rsid w:val="00CD52E1"/>
    <w:rsid w:val="00CE1DB6"/>
    <w:rsid w:val="00CE621A"/>
    <w:rsid w:val="00D16623"/>
    <w:rsid w:val="00D5249D"/>
    <w:rsid w:val="00D56397"/>
    <w:rsid w:val="00D56888"/>
    <w:rsid w:val="00D618F3"/>
    <w:rsid w:val="00D62E48"/>
    <w:rsid w:val="00D64A96"/>
    <w:rsid w:val="00D7366F"/>
    <w:rsid w:val="00D7773C"/>
    <w:rsid w:val="00D77CD6"/>
    <w:rsid w:val="00D93FE7"/>
    <w:rsid w:val="00DA4D74"/>
    <w:rsid w:val="00DA5144"/>
    <w:rsid w:val="00DB30DF"/>
    <w:rsid w:val="00DB4296"/>
    <w:rsid w:val="00DB58A1"/>
    <w:rsid w:val="00DB73A6"/>
    <w:rsid w:val="00DD259E"/>
    <w:rsid w:val="00DD3D67"/>
    <w:rsid w:val="00DE2BF8"/>
    <w:rsid w:val="00DE7DFC"/>
    <w:rsid w:val="00DF05AB"/>
    <w:rsid w:val="00DF16A6"/>
    <w:rsid w:val="00DF4DA3"/>
    <w:rsid w:val="00DF6EE4"/>
    <w:rsid w:val="00DF7C1F"/>
    <w:rsid w:val="00E00B3D"/>
    <w:rsid w:val="00E06089"/>
    <w:rsid w:val="00E12960"/>
    <w:rsid w:val="00E15C4D"/>
    <w:rsid w:val="00E2354A"/>
    <w:rsid w:val="00E27007"/>
    <w:rsid w:val="00E2751C"/>
    <w:rsid w:val="00E27AC2"/>
    <w:rsid w:val="00E52D0D"/>
    <w:rsid w:val="00E541D9"/>
    <w:rsid w:val="00E60045"/>
    <w:rsid w:val="00E627FB"/>
    <w:rsid w:val="00E661E3"/>
    <w:rsid w:val="00E817FA"/>
    <w:rsid w:val="00E935D9"/>
    <w:rsid w:val="00EA1451"/>
    <w:rsid w:val="00EA2C52"/>
    <w:rsid w:val="00EA2F77"/>
    <w:rsid w:val="00EA45DB"/>
    <w:rsid w:val="00EB154E"/>
    <w:rsid w:val="00EB2670"/>
    <w:rsid w:val="00EB774C"/>
    <w:rsid w:val="00EC0965"/>
    <w:rsid w:val="00EC60E5"/>
    <w:rsid w:val="00ED04F7"/>
    <w:rsid w:val="00ED2A04"/>
    <w:rsid w:val="00ED38EB"/>
    <w:rsid w:val="00ED6225"/>
    <w:rsid w:val="00EE2300"/>
    <w:rsid w:val="00EE38FD"/>
    <w:rsid w:val="00EE58FA"/>
    <w:rsid w:val="00EE7562"/>
    <w:rsid w:val="00F05BEA"/>
    <w:rsid w:val="00F116A3"/>
    <w:rsid w:val="00F25530"/>
    <w:rsid w:val="00F34AA2"/>
    <w:rsid w:val="00F36BF3"/>
    <w:rsid w:val="00F379AD"/>
    <w:rsid w:val="00F44B43"/>
    <w:rsid w:val="00F4777D"/>
    <w:rsid w:val="00F5454F"/>
    <w:rsid w:val="00F608A5"/>
    <w:rsid w:val="00F61730"/>
    <w:rsid w:val="00F6477D"/>
    <w:rsid w:val="00F71A95"/>
    <w:rsid w:val="00F76FB7"/>
    <w:rsid w:val="00F901EB"/>
    <w:rsid w:val="00F91B2B"/>
    <w:rsid w:val="00F97A5E"/>
    <w:rsid w:val="00FB2F83"/>
    <w:rsid w:val="00FC5422"/>
    <w:rsid w:val="00FD15F7"/>
    <w:rsid w:val="00FD35A8"/>
    <w:rsid w:val="00FE622C"/>
    <w:rsid w:val="00FF2AED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D96AF"/>
  <w15:docId w15:val="{34516F54-1CBD-436B-8D8B-2A8CB07B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B34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24B3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4B3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354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0100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100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10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10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10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10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7DF"/>
  </w:style>
  <w:style w:type="paragraph" w:styleId="Pidipagina">
    <w:name w:val="footer"/>
    <w:basedOn w:val="Normale"/>
    <w:link w:val="PidipaginaCarattere"/>
    <w:uiPriority w:val="99"/>
    <w:unhideWhenUsed/>
    <w:rsid w:val="00B5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7DF"/>
  </w:style>
  <w:style w:type="character" w:customStyle="1" w:styleId="Titolo1Carattere">
    <w:name w:val="Titolo 1 Carattere"/>
    <w:basedOn w:val="Carpredefinitoparagrafo"/>
    <w:link w:val="Titolo1"/>
    <w:uiPriority w:val="9"/>
    <w:rsid w:val="00524B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4B34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54A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6010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10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10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10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10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10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essunaspaziatura">
    <w:name w:val="No Spacing"/>
    <w:uiPriority w:val="1"/>
    <w:qFormat/>
    <w:rsid w:val="00524B34"/>
    <w:pPr>
      <w:spacing w:after="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AA47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7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7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7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7E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A47E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7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41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D01E1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B090D"/>
    <w:pPr>
      <w:numPr>
        <w:numId w:val="0"/>
      </w:numPr>
      <w:jc w:val="left"/>
      <w:outlineLvl w:val="9"/>
    </w:pPr>
    <w:rPr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2B090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B090D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B090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3E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3E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3E08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E2354A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qFormat/>
    <w:rsid w:val="000109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basedOn w:val="Normale"/>
    <w:rsid w:val="008B4E0D"/>
    <w:pPr>
      <w:widowControl w:val="0"/>
      <w:autoSpaceDE w:val="0"/>
      <w:spacing w:after="0" w:line="240" w:lineRule="auto"/>
      <w:jc w:val="lef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ED04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D04F7"/>
    <w:rPr>
      <w:i/>
      <w:iCs/>
    </w:rPr>
  </w:style>
  <w:style w:type="paragraph" w:customStyle="1" w:styleId="in-evidenza">
    <w:name w:val="in-evidenza"/>
    <w:basedOn w:val="Normale"/>
    <w:rsid w:val="00ED04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-controls">
    <w:name w:val="pane-controls"/>
    <w:basedOn w:val="Normale"/>
    <w:rsid w:val="00ED04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4F7"/>
    <w:rPr>
      <w:color w:val="605E5C"/>
      <w:shd w:val="clear" w:color="auto" w:fill="E1DFDD"/>
    </w:rPr>
  </w:style>
  <w:style w:type="table" w:styleId="Tabellagriglia4-colore1">
    <w:name w:val="Grid Table 4 Accent 1"/>
    <w:basedOn w:val="Tabellanormale"/>
    <w:uiPriority w:val="49"/>
    <w:rsid w:val="00453F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3D2B-AA22-4495-86E5-C1AAB0E1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</dc:creator>
  <cp:lastModifiedBy>Carmela D'Angelo</cp:lastModifiedBy>
  <cp:revision>4</cp:revision>
  <cp:lastPrinted>2015-12-15T16:18:00Z</cp:lastPrinted>
  <dcterms:created xsi:type="dcterms:W3CDTF">2025-03-05T08:18:00Z</dcterms:created>
  <dcterms:modified xsi:type="dcterms:W3CDTF">2025-07-29T14:20:00Z</dcterms:modified>
</cp:coreProperties>
</file>