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40982" w14:textId="77777777" w:rsidR="00F75873" w:rsidRDefault="00F75873" w:rsidP="00BF1B65">
      <w:pPr>
        <w:rPr>
          <w:b/>
        </w:rPr>
      </w:pPr>
      <w:r>
        <w:rPr>
          <w:b/>
        </w:rPr>
        <w:t>Audrey Carr, Esq.</w:t>
      </w:r>
    </w:p>
    <w:p w14:paraId="71858A5B" w14:textId="0B72EF53" w:rsidR="00BF1B65" w:rsidRPr="000E5DE9" w:rsidRDefault="00BF1B65" w:rsidP="00BF1B65">
      <w:pPr>
        <w:rPr>
          <w:b/>
        </w:rPr>
      </w:pPr>
      <w:r w:rsidRPr="000E5DE9">
        <w:rPr>
          <w:b/>
        </w:rPr>
        <w:t>Ermela Singh, Esq.</w:t>
      </w:r>
    </w:p>
    <w:p w14:paraId="2B19C590" w14:textId="77777777" w:rsidR="00BF1B65" w:rsidRPr="000E5DE9" w:rsidRDefault="00BF1B65" w:rsidP="00BF1B65">
      <w:pPr>
        <w:rPr>
          <w:b/>
        </w:rPr>
      </w:pPr>
      <w:r w:rsidRPr="000E5DE9">
        <w:rPr>
          <w:b/>
        </w:rPr>
        <w:t>Legal Services NYC</w:t>
      </w:r>
    </w:p>
    <w:p w14:paraId="16BCEC92" w14:textId="77777777" w:rsidR="00BF1B65" w:rsidRPr="000E5DE9" w:rsidRDefault="00BF1B65" w:rsidP="00BF1B65">
      <w:pPr>
        <w:rPr>
          <w:b/>
        </w:rPr>
      </w:pPr>
      <w:r w:rsidRPr="000E5DE9">
        <w:rPr>
          <w:b/>
        </w:rPr>
        <w:t>40 Worth Street, Suite 606</w:t>
      </w:r>
    </w:p>
    <w:p w14:paraId="68CC6CE9" w14:textId="77777777" w:rsidR="00BF1B65" w:rsidRPr="000E5DE9" w:rsidRDefault="00BF1B65" w:rsidP="00BF1B65">
      <w:pPr>
        <w:rPr>
          <w:b/>
        </w:rPr>
      </w:pPr>
      <w:r w:rsidRPr="000E5DE9">
        <w:rPr>
          <w:b/>
        </w:rPr>
        <w:t>New York, NY 10013</w:t>
      </w:r>
    </w:p>
    <w:p w14:paraId="057B189D" w14:textId="77777777" w:rsidR="00BF1B65" w:rsidRPr="000E5DE9" w:rsidRDefault="00BF1B65" w:rsidP="00BF1B65">
      <w:pPr>
        <w:rPr>
          <w:b/>
        </w:rPr>
      </w:pPr>
    </w:p>
    <w:p w14:paraId="5E6BFD13" w14:textId="59FDAF92" w:rsidR="00BF1B65" w:rsidRPr="000E5DE9" w:rsidRDefault="00BF1B65" w:rsidP="00BF1B65">
      <w:pPr>
        <w:rPr>
          <w:b/>
        </w:rPr>
      </w:pPr>
      <w:r w:rsidRPr="000E5DE9">
        <w:rPr>
          <w:b/>
        </w:rPr>
        <w:t>Counsel</w:t>
      </w:r>
      <w:r w:rsidR="00F75873">
        <w:rPr>
          <w:b/>
        </w:rPr>
        <w:t>s</w:t>
      </w:r>
      <w:r w:rsidRPr="000E5DE9">
        <w:rPr>
          <w:b/>
        </w:rPr>
        <w:t xml:space="preserve"> for Petitioner</w:t>
      </w:r>
    </w:p>
    <w:p w14:paraId="6FD8AB06" w14:textId="77777777" w:rsidR="00BF1B65" w:rsidRPr="000E5DE9" w:rsidRDefault="00BF1B65" w:rsidP="00BF1B65">
      <w:pPr>
        <w:rPr>
          <w:b/>
        </w:rPr>
      </w:pPr>
    </w:p>
    <w:p w14:paraId="6625FF50" w14:textId="77777777" w:rsidR="00BF1B65" w:rsidRPr="000E5DE9" w:rsidRDefault="00BF1B65" w:rsidP="00BF1B65">
      <w:pPr>
        <w:rPr>
          <w:b/>
        </w:rPr>
      </w:pPr>
    </w:p>
    <w:p w14:paraId="5AC07CE6" w14:textId="77777777" w:rsidR="00BF1B65" w:rsidRPr="000E5DE9" w:rsidRDefault="00BF1B65" w:rsidP="00BF1B65">
      <w:pPr>
        <w:rPr>
          <w:b/>
        </w:rPr>
      </w:pPr>
    </w:p>
    <w:p w14:paraId="25845F6B" w14:textId="77777777" w:rsidR="00BF1B65" w:rsidRPr="000E5DE9" w:rsidRDefault="00BF1B65" w:rsidP="00BF1B65">
      <w:pPr>
        <w:rPr>
          <w:b/>
        </w:rPr>
      </w:pPr>
    </w:p>
    <w:p w14:paraId="624D59DF" w14:textId="77777777" w:rsidR="00BF1B65" w:rsidRPr="000E5DE9" w:rsidRDefault="00BF1B65" w:rsidP="00BF1B65">
      <w:pPr>
        <w:spacing w:line="480" w:lineRule="auto"/>
        <w:jc w:val="center"/>
        <w:rPr>
          <w:b/>
        </w:rPr>
      </w:pPr>
      <w:r w:rsidRPr="000E5DE9">
        <w:rPr>
          <w:b/>
        </w:rPr>
        <w:t>UNITED STATES DEPARTMENT OF HOMELAND SECURITY</w:t>
      </w:r>
    </w:p>
    <w:p w14:paraId="4C7D9D39" w14:textId="77777777" w:rsidR="00BF1B65" w:rsidRPr="000E5DE9" w:rsidRDefault="00BF1B65" w:rsidP="00BF1B65">
      <w:pPr>
        <w:spacing w:line="480" w:lineRule="auto"/>
        <w:jc w:val="center"/>
        <w:rPr>
          <w:b/>
        </w:rPr>
      </w:pPr>
      <w:r w:rsidRPr="000E5DE9">
        <w:rPr>
          <w:b/>
        </w:rPr>
        <w:t>UNITED STATES CITIZENSHIP AND IMMIGRATION SERVICES</w:t>
      </w:r>
    </w:p>
    <w:p w14:paraId="0A056C0D" w14:textId="77777777" w:rsidR="00BF1B65" w:rsidRPr="000E5DE9" w:rsidRDefault="00BF1B65" w:rsidP="00BF1B65">
      <w:pPr>
        <w:spacing w:line="480" w:lineRule="auto"/>
        <w:jc w:val="center"/>
        <w:rPr>
          <w:b/>
        </w:rPr>
      </w:pPr>
      <w:r w:rsidRPr="000E5DE9">
        <w:rPr>
          <w:b/>
        </w:rPr>
        <w:t>VERMONT SERVICE CENTER</w:t>
      </w:r>
    </w:p>
    <w:p w14:paraId="0D0EE81F" w14:textId="77777777" w:rsidR="00BF1B65" w:rsidRPr="000E5DE9" w:rsidRDefault="00BF1B65" w:rsidP="00BF1B65">
      <w:pPr>
        <w:spacing w:line="480" w:lineRule="auto"/>
        <w:jc w:val="center"/>
        <w:rPr>
          <w:b/>
        </w:rPr>
      </w:pPr>
      <w:r w:rsidRPr="000E5DE9">
        <w:rPr>
          <w:b/>
        </w:rPr>
        <w:t>ST. ALBANS, VERMONT</w:t>
      </w:r>
    </w:p>
    <w:p w14:paraId="0FEBA5FC" w14:textId="77777777" w:rsidR="00BF1B65" w:rsidRPr="000E5DE9" w:rsidRDefault="00BF1B65" w:rsidP="00BF1B65">
      <w:pPr>
        <w:rPr>
          <w:b/>
        </w:rPr>
      </w:pPr>
      <w:r w:rsidRPr="000E5DE9">
        <w:rPr>
          <w:b/>
        </w:rPr>
        <w:t>In the Matter of</w:t>
      </w:r>
      <w:r w:rsidRPr="000E5DE9">
        <w:rPr>
          <w:b/>
        </w:rPr>
        <w:tab/>
      </w:r>
      <w:r w:rsidRPr="000E5DE9">
        <w:rPr>
          <w:b/>
        </w:rPr>
        <w:tab/>
      </w:r>
      <w:r w:rsidRPr="000E5DE9">
        <w:rPr>
          <w:b/>
        </w:rPr>
        <w:tab/>
      </w:r>
      <w:r w:rsidRPr="000E5DE9">
        <w:rPr>
          <w:b/>
        </w:rPr>
        <w:tab/>
      </w:r>
      <w:r w:rsidRPr="000E5DE9">
        <w:rPr>
          <w:b/>
        </w:rPr>
        <w:tab/>
        <w:t>)</w:t>
      </w:r>
    </w:p>
    <w:p w14:paraId="5E4B7B47" w14:textId="77777777" w:rsidR="00BF1B65" w:rsidRPr="000E5DE9" w:rsidRDefault="00BF1B65" w:rsidP="00BF1B65">
      <w:pPr>
        <w:rPr>
          <w:b/>
        </w:rPr>
      </w:pPr>
      <w:r w:rsidRPr="000E5DE9">
        <w:rPr>
          <w:b/>
        </w:rPr>
        <w:tab/>
      </w:r>
      <w:r w:rsidRPr="000E5DE9">
        <w:rPr>
          <w:b/>
        </w:rPr>
        <w:tab/>
      </w:r>
      <w:r w:rsidRPr="000E5DE9">
        <w:rPr>
          <w:b/>
        </w:rPr>
        <w:tab/>
      </w:r>
      <w:r w:rsidRPr="000E5DE9">
        <w:rPr>
          <w:b/>
        </w:rPr>
        <w:tab/>
      </w:r>
      <w:r w:rsidRPr="000E5DE9">
        <w:rPr>
          <w:b/>
        </w:rPr>
        <w:tab/>
      </w:r>
      <w:r w:rsidRPr="000E5DE9">
        <w:rPr>
          <w:b/>
        </w:rPr>
        <w:tab/>
      </w:r>
      <w:r w:rsidRPr="000E5DE9">
        <w:rPr>
          <w:b/>
        </w:rPr>
        <w:tab/>
        <w:t xml:space="preserve">)  </w:t>
      </w:r>
      <w:r w:rsidRPr="00981B94">
        <w:rPr>
          <w:highlight w:val="black"/>
        </w:rPr>
        <w:t>A205 893 884</w:t>
      </w:r>
    </w:p>
    <w:p w14:paraId="10C53E9E" w14:textId="157F5464" w:rsidR="00BF1B65" w:rsidRPr="000E5DE9" w:rsidRDefault="00BF1B65" w:rsidP="00BF1B65">
      <w:pPr>
        <w:autoSpaceDE w:val="0"/>
        <w:autoSpaceDN w:val="0"/>
        <w:adjustRightInd w:val="0"/>
        <w:rPr>
          <w:b/>
        </w:rPr>
      </w:pPr>
      <w:r w:rsidRPr="000E5DE9">
        <w:rPr>
          <w:b/>
        </w:rPr>
        <w:tab/>
      </w:r>
      <w:r w:rsidRPr="00981B94">
        <w:rPr>
          <w:b/>
          <w:highlight w:val="black"/>
        </w:rPr>
        <w:t xml:space="preserve">FRANKLYN, </w:t>
      </w:r>
      <w:r w:rsidR="00981B94">
        <w:rPr>
          <w:b/>
          <w:highlight w:val="black"/>
        </w:rPr>
        <w:t>___________</w:t>
      </w:r>
      <w:r w:rsidRPr="000E5DE9">
        <w:rPr>
          <w:b/>
        </w:rPr>
        <w:tab/>
      </w:r>
      <w:r w:rsidRPr="000E5DE9">
        <w:rPr>
          <w:b/>
        </w:rPr>
        <w:tab/>
      </w:r>
      <w:r w:rsidRPr="000E5DE9">
        <w:rPr>
          <w:b/>
        </w:rPr>
        <w:tab/>
      </w:r>
      <w:r w:rsidRPr="000E5DE9">
        <w:rPr>
          <w:b/>
        </w:rPr>
        <w:tab/>
        <w:t xml:space="preserve">)  </w:t>
      </w:r>
      <w:r w:rsidRPr="000E5DE9">
        <w:t>EAC</w:t>
      </w:r>
      <w:r w:rsidRPr="00981B94">
        <w:rPr>
          <w:highlight w:val="black"/>
        </w:rPr>
        <w:t>1518450098</w:t>
      </w:r>
    </w:p>
    <w:p w14:paraId="79FFF57B" w14:textId="77777777" w:rsidR="00BF1B65" w:rsidRPr="000E5DE9" w:rsidRDefault="00BF1B65" w:rsidP="00BF1B65">
      <w:pPr>
        <w:autoSpaceDE w:val="0"/>
        <w:autoSpaceDN w:val="0"/>
        <w:adjustRightInd w:val="0"/>
        <w:rPr>
          <w:b/>
        </w:rPr>
      </w:pPr>
      <w:r w:rsidRPr="000E5DE9">
        <w:rPr>
          <w:b/>
        </w:rPr>
        <w:tab/>
      </w:r>
      <w:r w:rsidRPr="000E5DE9">
        <w:rPr>
          <w:b/>
        </w:rPr>
        <w:tab/>
      </w:r>
      <w:r w:rsidRPr="000E5DE9">
        <w:rPr>
          <w:b/>
        </w:rPr>
        <w:tab/>
      </w:r>
      <w:r w:rsidRPr="000E5DE9">
        <w:rPr>
          <w:b/>
        </w:rPr>
        <w:tab/>
      </w:r>
      <w:r w:rsidRPr="000E5DE9">
        <w:rPr>
          <w:b/>
        </w:rPr>
        <w:tab/>
      </w:r>
      <w:r w:rsidRPr="000E5DE9">
        <w:rPr>
          <w:b/>
        </w:rPr>
        <w:tab/>
      </w:r>
      <w:r w:rsidRPr="000E5DE9">
        <w:rPr>
          <w:b/>
        </w:rPr>
        <w:tab/>
        <w:t>)</w:t>
      </w:r>
      <w:r w:rsidRPr="000E5DE9">
        <w:rPr>
          <w:b/>
        </w:rPr>
        <w:tab/>
      </w:r>
    </w:p>
    <w:p w14:paraId="6B7977D3" w14:textId="77777777" w:rsidR="00BF1B65" w:rsidRPr="000E5DE9" w:rsidRDefault="00BF1B65" w:rsidP="00BF1B65">
      <w:pPr>
        <w:rPr>
          <w:b/>
        </w:rPr>
      </w:pPr>
      <w:r w:rsidRPr="000E5DE9">
        <w:rPr>
          <w:b/>
        </w:rPr>
        <w:tab/>
        <w:t>Petitioner for U Nonimmigrant Status</w:t>
      </w:r>
      <w:r w:rsidRPr="000E5DE9">
        <w:rPr>
          <w:b/>
        </w:rPr>
        <w:tab/>
        <w:t>)</w:t>
      </w:r>
    </w:p>
    <w:p w14:paraId="2DF6DB81" w14:textId="77777777" w:rsidR="00BF1B65" w:rsidRPr="000E5DE9" w:rsidRDefault="00BF1B65" w:rsidP="00BF1B65">
      <w:pPr>
        <w:rPr>
          <w:b/>
          <w:u w:val="single"/>
        </w:rPr>
      </w:pPr>
      <w:r w:rsidRPr="000E5DE9">
        <w:rPr>
          <w:b/>
        </w:rPr>
        <w:t>______________________________</w:t>
      </w:r>
      <w:r w:rsidRPr="000E5DE9">
        <w:rPr>
          <w:b/>
          <w:u w:val="single"/>
        </w:rPr>
        <w:tab/>
      </w:r>
      <w:r w:rsidRPr="000E5DE9">
        <w:rPr>
          <w:b/>
          <w:u w:val="single"/>
        </w:rPr>
        <w:tab/>
        <w:t>)</w:t>
      </w:r>
    </w:p>
    <w:p w14:paraId="724FB575" w14:textId="77777777" w:rsidR="00BF1B65" w:rsidRPr="000E5DE9" w:rsidRDefault="00BF1B65" w:rsidP="00BF1B65">
      <w:pPr>
        <w:tabs>
          <w:tab w:val="left" w:pos="5040"/>
        </w:tabs>
        <w:outlineLvl w:val="0"/>
        <w:rPr>
          <w:b/>
        </w:rPr>
      </w:pPr>
    </w:p>
    <w:p w14:paraId="76F14249" w14:textId="0B6F6950" w:rsidR="00BF1B65" w:rsidRPr="000E5DE9" w:rsidRDefault="00BF1B65" w:rsidP="00BF1B65">
      <w:pPr>
        <w:jc w:val="center"/>
        <w:rPr>
          <w:b/>
        </w:rPr>
      </w:pPr>
      <w:r w:rsidRPr="000E5DE9">
        <w:rPr>
          <w:b/>
        </w:rPr>
        <w:t>BRIEF IN SUPPORT OF MOTION TO RECONSIDER</w:t>
      </w:r>
    </w:p>
    <w:p w14:paraId="2088E33B" w14:textId="77777777" w:rsidR="00BF1B65" w:rsidRPr="000E5DE9" w:rsidRDefault="00BF1B65" w:rsidP="001474E6">
      <w:pPr>
        <w:jc w:val="both"/>
      </w:pPr>
    </w:p>
    <w:p w14:paraId="3E8219E3" w14:textId="2CE23B52" w:rsidR="00BF1B65" w:rsidRPr="000E5DE9" w:rsidRDefault="00BF1B65" w:rsidP="001474E6">
      <w:pPr>
        <w:spacing w:line="480" w:lineRule="auto"/>
        <w:ind w:firstLine="720"/>
        <w:jc w:val="both"/>
      </w:pPr>
      <w:r w:rsidRPr="000E5DE9">
        <w:t xml:space="preserve">Ms. </w:t>
      </w:r>
      <w:r w:rsidR="00981B94">
        <w:t>________________</w:t>
      </w:r>
      <w:r w:rsidRPr="000E5DE9">
        <w:t>, through undersigned counsel</w:t>
      </w:r>
      <w:r w:rsidR="00F75873">
        <w:t>s</w:t>
      </w:r>
      <w:r w:rsidRPr="000E5DE9">
        <w:t>, respectfully submits this brief in support of this motion to reconsider the denial of her I-192 waiver of inadmissibility and her I-918 Petition for U Nonimmigrant status.</w:t>
      </w:r>
    </w:p>
    <w:p w14:paraId="2027EFEF" w14:textId="77777777" w:rsidR="00BF1B65" w:rsidRPr="000E5DE9" w:rsidRDefault="00BF1B65" w:rsidP="00BF1B65">
      <w:pPr>
        <w:pStyle w:val="ListParagraph"/>
        <w:numPr>
          <w:ilvl w:val="0"/>
          <w:numId w:val="1"/>
        </w:numPr>
        <w:spacing w:line="480" w:lineRule="auto"/>
      </w:pPr>
      <w:r w:rsidRPr="000E5DE9">
        <w:rPr>
          <w:u w:val="single"/>
        </w:rPr>
        <w:t>INTRODUCTION</w:t>
      </w:r>
      <w:r w:rsidRPr="000E5DE9">
        <w:rPr>
          <w:strike/>
        </w:rPr>
        <w:t xml:space="preserve"> </w:t>
      </w:r>
    </w:p>
    <w:p w14:paraId="372C6ED4" w14:textId="1EA9F214" w:rsidR="00BF1B65" w:rsidRDefault="00BF1B65" w:rsidP="00BF1B65">
      <w:pPr>
        <w:widowControl w:val="0"/>
        <w:autoSpaceDE w:val="0"/>
        <w:autoSpaceDN w:val="0"/>
        <w:adjustRightInd w:val="0"/>
        <w:spacing w:line="480" w:lineRule="auto"/>
        <w:ind w:firstLine="720"/>
        <w:jc w:val="both"/>
      </w:pPr>
      <w:r w:rsidRPr="000E5DE9">
        <w:t xml:space="preserve">On May 13, 2013, </w:t>
      </w:r>
      <w:r w:rsidR="00981B94">
        <w:t>________________</w:t>
      </w:r>
      <w:r w:rsidRPr="000E5DE9">
        <w:t xml:space="preserve"> submitted an I-918</w:t>
      </w:r>
      <w:r w:rsidR="00746116">
        <w:t xml:space="preserve"> p</w:t>
      </w:r>
      <w:r w:rsidRPr="000E5DE9">
        <w:t xml:space="preserve">etition along with an I-918 Supplement A for her daughter </w:t>
      </w:r>
      <w:r w:rsidR="00981B94">
        <w:rPr>
          <w:highlight w:val="black"/>
        </w:rPr>
        <w:t>___________</w:t>
      </w:r>
      <w:r w:rsidRPr="000E5DE9">
        <w:t xml:space="preserve">. </w:t>
      </w:r>
      <w:r w:rsidR="00746116">
        <w:t xml:space="preserve"> </w:t>
      </w:r>
      <w:r w:rsidRPr="000E5DE9">
        <w:t xml:space="preserve">On April 17, 2014, the Service placed </w:t>
      </w:r>
      <w:r w:rsidR="00981B94">
        <w:t>________________</w:t>
      </w:r>
      <w:r w:rsidRPr="000E5DE9">
        <w:t xml:space="preserve"> on the U visa wait list.  On May 8, 2015, the Service removed </w:t>
      </w:r>
      <w:r w:rsidR="00981B94">
        <w:t>________________</w:t>
      </w:r>
      <w:r w:rsidRPr="000E5DE9">
        <w:t xml:space="preserve"> from the U wait list and issued a Notice of Intent to Deny (NOID) </w:t>
      </w:r>
      <w:r w:rsidR="00981B94">
        <w:t>________________</w:t>
      </w:r>
      <w:r w:rsidRPr="000E5DE9">
        <w:t xml:space="preserve"> U status on the basis that she was inadmissible pursuant to Section 204(c) of </w:t>
      </w:r>
      <w:r w:rsidRPr="000E5DE9">
        <w:lastRenderedPageBreak/>
        <w:t xml:space="preserve">the Immigration and Nationality Act (INA).  </w:t>
      </w:r>
      <w:r>
        <w:t xml:space="preserve">In </w:t>
      </w:r>
      <w:r w:rsidRPr="000E5DE9">
        <w:t xml:space="preserve">response, </w:t>
      </w:r>
      <w:r w:rsidR="00981B94">
        <w:t>________________</w:t>
      </w:r>
      <w:r w:rsidRPr="000E5DE9">
        <w:t xml:space="preserve"> submitted Form I-192 with an affidavit explaining her previous marriage, other supporting documentation and legal arguments clarifying that INA §204(c) was inapplicable to nonimmigrant visas. </w:t>
      </w:r>
      <w:r w:rsidR="00746116">
        <w:t xml:space="preserve"> </w:t>
      </w:r>
      <w:r w:rsidRPr="000E5DE9">
        <w:t xml:space="preserve">The Service then issued another NOID on July 5, 2015, finding </w:t>
      </w:r>
      <w:r w:rsidR="00981B94">
        <w:t>________________</w:t>
      </w:r>
      <w:r w:rsidRPr="000E5DE9">
        <w:t xml:space="preserve"> inadmissible for fraud/misrepresentation under INA §212(a)(6)(C)(i).  </w:t>
      </w:r>
      <w:r w:rsidR="00981B94">
        <w:t>________________</w:t>
      </w:r>
      <w:r w:rsidRPr="000E5DE9">
        <w:t xml:space="preserve"> submitted a lengthy response to this NOID indicating that the Service misapplied </w:t>
      </w:r>
      <w:r w:rsidRPr="000E5DE9">
        <w:rPr>
          <w:i/>
        </w:rPr>
        <w:t>Matter of Hranka</w:t>
      </w:r>
      <w:r w:rsidRPr="000E5DE9">
        <w:t xml:space="preserve"> 16 I&amp;N Dec. 491 (BIA 1978) to her case and even if </w:t>
      </w:r>
      <w:r w:rsidRPr="000E5DE9">
        <w:rPr>
          <w:i/>
        </w:rPr>
        <w:t>Hranka</w:t>
      </w:r>
      <w:r w:rsidRPr="000E5DE9">
        <w:t xml:space="preserve"> was applicable, her I-192 application met the </w:t>
      </w:r>
      <w:r w:rsidRPr="000E5DE9">
        <w:rPr>
          <w:i/>
        </w:rPr>
        <w:t xml:space="preserve">Hranka </w:t>
      </w:r>
      <w:r w:rsidRPr="000E5DE9">
        <w:t xml:space="preserve">standards. </w:t>
      </w:r>
      <w:r w:rsidR="00746116">
        <w:t xml:space="preserve"> </w:t>
      </w:r>
      <w:r w:rsidRPr="000E5DE9">
        <w:t xml:space="preserve">On September 12, 2016, the Service issued a denial of the waiver request filed by </w:t>
      </w:r>
      <w:r w:rsidR="00981B94">
        <w:t>________________</w:t>
      </w:r>
      <w:r w:rsidRPr="000E5DE9">
        <w:t>’s daughter, the derivative</w:t>
      </w:r>
      <w:r w:rsidR="0042141F">
        <w:t>,</w:t>
      </w:r>
      <w:r w:rsidRPr="000E5DE9">
        <w:t xml:space="preserve"> and consequen</w:t>
      </w:r>
      <w:r w:rsidR="0042141F">
        <w:t xml:space="preserve">tly also issued a denial of the derivative’s </w:t>
      </w:r>
      <w:r w:rsidRPr="000E5DE9">
        <w:t xml:space="preserve">request for U nonimmigrant status referencing that the derivative’s case could not be approved because </w:t>
      </w:r>
      <w:r w:rsidR="00981B94">
        <w:t>________________</w:t>
      </w:r>
      <w:r w:rsidRPr="000E5DE9">
        <w:t>’s Form I-192 had been denied on September 1, 2016.</w:t>
      </w:r>
      <w:r w:rsidRPr="000E5DE9">
        <w:rPr>
          <w:rStyle w:val="FootnoteReference"/>
        </w:rPr>
        <w:footnoteReference w:id="1"/>
      </w:r>
      <w:r w:rsidRPr="000E5DE9">
        <w:t xml:space="preserve"> </w:t>
      </w:r>
      <w:r w:rsidR="00746116">
        <w:t xml:space="preserve"> </w:t>
      </w:r>
      <w:r w:rsidRPr="000E5DE9">
        <w:t>The Service did not</w:t>
      </w:r>
      <w:r>
        <w:t xml:space="preserve"> </w:t>
      </w:r>
      <w:r w:rsidRPr="000E5DE9">
        <w:t xml:space="preserve">issue a decision on </w:t>
      </w:r>
      <w:r w:rsidR="00981B94">
        <w:t>________________</w:t>
      </w:r>
      <w:r w:rsidRPr="000E5DE9">
        <w:t xml:space="preserve">’s case until October 3, 2016, after counsel filed a Notice of Appeal on September 28, 2016. </w:t>
      </w:r>
      <w:r w:rsidR="001474E6">
        <w:t xml:space="preserve"> </w:t>
      </w:r>
      <w:r w:rsidRPr="000E5DE9">
        <w:t>This motion stems from that denial.</w:t>
      </w:r>
    </w:p>
    <w:p w14:paraId="4A5CC4E2" w14:textId="1A9AAFF2" w:rsidR="001474E6" w:rsidRPr="00E614EA" w:rsidRDefault="00E614EA" w:rsidP="00BF1B65">
      <w:pPr>
        <w:widowControl w:val="0"/>
        <w:autoSpaceDE w:val="0"/>
        <w:autoSpaceDN w:val="0"/>
        <w:adjustRightInd w:val="0"/>
        <w:spacing w:line="480" w:lineRule="auto"/>
        <w:ind w:firstLine="720"/>
        <w:jc w:val="both"/>
      </w:pPr>
      <w:r>
        <w:t xml:space="preserve">A motion to reconsider is proper where the Service’s decision was based on improper and incorrect application of the law or USCIS policy and the decision was incorrect given the evidence of record.  </w:t>
      </w:r>
      <w:r w:rsidRPr="000E5DE9">
        <w:t>8 C.F.R. §</w:t>
      </w:r>
      <w:r>
        <w:t xml:space="preserve">103.5(a)(3).  </w:t>
      </w:r>
    </w:p>
    <w:p w14:paraId="3EA48E09" w14:textId="08EB52FF" w:rsidR="00BF1B65" w:rsidRPr="00BF1B65" w:rsidRDefault="00E614EA" w:rsidP="00BF1B65">
      <w:pPr>
        <w:widowControl w:val="0"/>
        <w:autoSpaceDE w:val="0"/>
        <w:autoSpaceDN w:val="0"/>
        <w:adjustRightInd w:val="0"/>
        <w:spacing w:line="480" w:lineRule="auto"/>
        <w:ind w:firstLine="720"/>
        <w:jc w:val="both"/>
      </w:pPr>
      <w:r>
        <w:t>Further, p</w:t>
      </w:r>
      <w:r w:rsidR="00BF1B65" w:rsidRPr="000E5DE9">
        <w:t>ursuant to 8 C.F.R. §214.17(c), an I-192 denial may not be appealed.  However, the regulation also notes</w:t>
      </w:r>
      <w:r w:rsidR="00493F47">
        <w:t xml:space="preserve"> that</w:t>
      </w:r>
      <w:r w:rsidR="00BF1B65" w:rsidRPr="000E5DE9">
        <w:t>, “</w:t>
      </w:r>
      <w:r w:rsidR="00BF1B65" w:rsidRPr="000E5DE9">
        <w:rPr>
          <w:rStyle w:val="ptext-2"/>
        </w:rPr>
        <w:t xml:space="preserve">nothing in this paragraph is intended to prevent an applicant from re-filing a request for a waiver of ground of inadmissibility in appropriate cases.”  </w:t>
      </w:r>
      <w:r w:rsidR="00BF1B65" w:rsidRPr="000E5DE9">
        <w:t xml:space="preserve">Therefore, with this Motion to </w:t>
      </w:r>
      <w:r w:rsidR="001474E6">
        <w:t>Reconsider</w:t>
      </w:r>
      <w:r w:rsidR="00BF1B65" w:rsidRPr="000E5DE9">
        <w:t xml:space="preserve">, </w:t>
      </w:r>
      <w:r w:rsidR="00981B94">
        <w:t>________________</w:t>
      </w:r>
      <w:r w:rsidR="00BF1B65" w:rsidRPr="000E5DE9">
        <w:t xml:space="preserve"> submits a new I-192 application with additional supporting evidence. (</w:t>
      </w:r>
      <w:r w:rsidR="00BF1B65" w:rsidRPr="000E5DE9">
        <w:rPr>
          <w:i/>
        </w:rPr>
        <w:t>See</w:t>
      </w:r>
      <w:r w:rsidR="00BF1B65" w:rsidRPr="000E5DE9">
        <w:t xml:space="preserve"> </w:t>
      </w:r>
      <w:r w:rsidR="00BF1B65" w:rsidRPr="000E5DE9">
        <w:rPr>
          <w:b/>
        </w:rPr>
        <w:t>Exhibit</w:t>
      </w:r>
      <w:r w:rsidR="001474E6">
        <w:t xml:space="preserve"> </w:t>
      </w:r>
      <w:r w:rsidR="00A84A1E">
        <w:rPr>
          <w:b/>
        </w:rPr>
        <w:t>1</w:t>
      </w:r>
      <w:r w:rsidR="00BF1B65" w:rsidRPr="000E5DE9">
        <w:t xml:space="preserve">, I-192 Application for Advance Permission to </w:t>
      </w:r>
      <w:r w:rsidR="00BF1B65" w:rsidRPr="000E5DE9">
        <w:lastRenderedPageBreak/>
        <w:t xml:space="preserve">Enter as Nonimmigrant). </w:t>
      </w:r>
    </w:p>
    <w:p w14:paraId="49E9D300" w14:textId="54940611" w:rsidR="00BF1B65" w:rsidRPr="000E5DE9" w:rsidRDefault="00BF1B65" w:rsidP="00BF1B65">
      <w:pPr>
        <w:pStyle w:val="ListParagraph"/>
        <w:numPr>
          <w:ilvl w:val="0"/>
          <w:numId w:val="1"/>
        </w:numPr>
      </w:pPr>
      <w:r w:rsidRPr="000E5DE9">
        <w:rPr>
          <w:caps/>
          <w:u w:val="single"/>
        </w:rPr>
        <w:t xml:space="preserve">The denial wrongly determines that </w:t>
      </w:r>
      <w:r w:rsidR="00981B94">
        <w:rPr>
          <w:caps/>
          <w:u w:val="single"/>
        </w:rPr>
        <w:t>________________</w:t>
      </w:r>
      <w:r w:rsidRPr="000E5DE9">
        <w:rPr>
          <w:caps/>
          <w:u w:val="single"/>
        </w:rPr>
        <w:t xml:space="preserve"> is indamissible for unlawful presence pursuant to ina</w:t>
      </w:r>
      <w:r w:rsidRPr="000E5DE9">
        <w:rPr>
          <w:u w:val="single"/>
        </w:rPr>
        <w:t xml:space="preserve"> §212(a)(9)(B)(i)(II)</w:t>
      </w:r>
    </w:p>
    <w:p w14:paraId="2A5077C6" w14:textId="77777777" w:rsidR="00BF1B65" w:rsidRDefault="00BF1B65" w:rsidP="00BF1B65">
      <w:pPr>
        <w:widowControl w:val="0"/>
        <w:autoSpaceDE w:val="0"/>
        <w:autoSpaceDN w:val="0"/>
        <w:adjustRightInd w:val="0"/>
        <w:spacing w:line="480" w:lineRule="auto"/>
        <w:ind w:firstLine="720"/>
        <w:jc w:val="both"/>
      </w:pPr>
    </w:p>
    <w:p w14:paraId="7DD56F37" w14:textId="2F98E588" w:rsidR="0042141F" w:rsidRDefault="00981B94" w:rsidP="0042141F">
      <w:pPr>
        <w:spacing w:line="480" w:lineRule="auto"/>
        <w:jc w:val="both"/>
      </w:pPr>
      <w:r>
        <w:t>________________</w:t>
      </w:r>
      <w:r w:rsidR="00BF1B65" w:rsidRPr="000E5DE9">
        <w:t xml:space="preserve"> is not unlawfully present because entering the U</w:t>
      </w:r>
      <w:r w:rsidR="00F75873">
        <w:t>nited States (U</w:t>
      </w:r>
      <w:r w:rsidR="00BF1B65" w:rsidRPr="000E5DE9">
        <w:t>.S.</w:t>
      </w:r>
      <w:r w:rsidR="00F75873">
        <w:t>)</w:t>
      </w:r>
      <w:r w:rsidR="00BF1B65" w:rsidRPr="000E5DE9">
        <w:t xml:space="preserve"> lawfully does not trigger an inadmissibility bar. When </w:t>
      </w:r>
      <w:r>
        <w:t>________________</w:t>
      </w:r>
      <w:r w:rsidR="00BF1B65" w:rsidRPr="000E5DE9">
        <w:t xml:space="preserve"> applied for U nonimmigrant status in May 2013, she submitted a copy of the I-94 card issued to her upon her lawful entry into the </w:t>
      </w:r>
      <w:r w:rsidR="00F75873">
        <w:t xml:space="preserve">U.S. </w:t>
      </w:r>
      <w:r w:rsidR="00BF1B65" w:rsidRPr="000E5DE9">
        <w:t>with a B-2 visa on June 7, 2007 (</w:t>
      </w:r>
      <w:r w:rsidR="00BF1B65" w:rsidRPr="000E5DE9">
        <w:rPr>
          <w:i/>
        </w:rPr>
        <w:t xml:space="preserve">see </w:t>
      </w:r>
      <w:r w:rsidR="00BF1B65" w:rsidRPr="000E5DE9">
        <w:rPr>
          <w:b/>
        </w:rPr>
        <w:t>Exhibit G</w:t>
      </w:r>
      <w:r w:rsidR="00BF1B65" w:rsidRPr="000E5DE9">
        <w:t xml:space="preserve"> in </w:t>
      </w:r>
      <w:r w:rsidR="00E1368E">
        <w:t xml:space="preserve">initial </w:t>
      </w:r>
      <w:r w:rsidR="00BF1B65" w:rsidRPr="000E5DE9">
        <w:t xml:space="preserve">U visa filing </w:t>
      </w:r>
      <w:r w:rsidR="00410DA2">
        <w:t xml:space="preserve">now attached as </w:t>
      </w:r>
      <w:r w:rsidR="00293FE3">
        <w:rPr>
          <w:b/>
        </w:rPr>
        <w:t>Exhibit 3</w:t>
      </w:r>
      <w:r w:rsidR="00BF1B65" w:rsidRPr="000E5DE9">
        <w:t xml:space="preserve">).  The Service has long held that U applicants who make a lawful entry into the country need not submit an I-192 to waive unlawful presence. Had </w:t>
      </w:r>
      <w:r>
        <w:t>________________</w:t>
      </w:r>
      <w:r w:rsidR="00BF1B65" w:rsidRPr="000E5DE9">
        <w:t xml:space="preserve"> departed the U.S. after being physically present in the U.S. for a year or more, she would be barred from re-entering the country under INA §212(a)(9)(B)(i)(II) for previous unlawful presence. </w:t>
      </w:r>
      <w:r>
        <w:t>________________</w:t>
      </w:r>
      <w:r w:rsidR="00BF1B65" w:rsidRPr="000E5DE9">
        <w:t xml:space="preserve"> has never departed the U.S. since her initial entry in 2007. The Service has misapplied the law as §212(a)(9)(B)(i)(II) of the Act is inapplicable to</w:t>
      </w:r>
      <w:r w:rsidR="0042141F">
        <w:t xml:space="preserve"> </w:t>
      </w:r>
      <w:r>
        <w:t>________________</w:t>
      </w:r>
      <w:r w:rsidR="00BF1B65" w:rsidRPr="000E5DE9">
        <w:t xml:space="preserve">. </w:t>
      </w:r>
    </w:p>
    <w:p w14:paraId="324963EA" w14:textId="192B6638" w:rsidR="00BF1B65" w:rsidRPr="000E5DE9" w:rsidRDefault="00BF1B65" w:rsidP="0042141F">
      <w:pPr>
        <w:pStyle w:val="ListParagraph"/>
        <w:numPr>
          <w:ilvl w:val="0"/>
          <w:numId w:val="1"/>
        </w:numPr>
        <w:jc w:val="both"/>
      </w:pPr>
      <w:r w:rsidRPr="0042141F">
        <w:rPr>
          <w:caps/>
          <w:u w:val="single"/>
        </w:rPr>
        <w:t>The Denial failS to consider the evidence</w:t>
      </w:r>
      <w:r w:rsidRPr="0042141F">
        <w:rPr>
          <w:u w:val="single"/>
        </w:rPr>
        <w:t xml:space="preserve"> SUBMITTED WITH THE NOID RESPONSES</w:t>
      </w:r>
    </w:p>
    <w:p w14:paraId="448ACF44" w14:textId="77777777" w:rsidR="00BF1B65" w:rsidRPr="000E5DE9" w:rsidRDefault="00BF1B65" w:rsidP="00BF1B65">
      <w:pPr>
        <w:pStyle w:val="ListParagraph"/>
      </w:pPr>
    </w:p>
    <w:p w14:paraId="1C3E3394" w14:textId="757E3847" w:rsidR="00BF1B65" w:rsidRPr="000E5DE9" w:rsidRDefault="00BF1B65" w:rsidP="00637050">
      <w:pPr>
        <w:pStyle w:val="ListParagraph"/>
        <w:spacing w:line="480" w:lineRule="auto"/>
        <w:ind w:left="0"/>
        <w:jc w:val="both"/>
      </w:pPr>
      <w:r w:rsidRPr="000E5DE9">
        <w:tab/>
        <w:t xml:space="preserve">The NOID issued July 5, 2015 requested that </w:t>
      </w:r>
      <w:r w:rsidR="00981B94">
        <w:t>________________</w:t>
      </w:r>
      <w:r w:rsidRPr="000E5DE9">
        <w:t xml:space="preserve"> submit a statement addressing the </w:t>
      </w:r>
      <w:r w:rsidRPr="000E5DE9">
        <w:rPr>
          <w:i/>
        </w:rPr>
        <w:t xml:space="preserve">Matter of Hranka </w:t>
      </w:r>
      <w:r w:rsidRPr="000E5DE9">
        <w:t>factors regarding (1) Risk of harm to society; (2) The seriousness of the applicant’s prior immigration law or criminal violations; and; (3) The reasons for wishing to enter the U.S. (</w:t>
      </w:r>
      <w:r w:rsidRPr="000E5DE9">
        <w:rPr>
          <w:i/>
        </w:rPr>
        <w:t>see</w:t>
      </w:r>
      <w:r w:rsidR="001474E6">
        <w:rPr>
          <w:i/>
        </w:rPr>
        <w:t xml:space="preserve"> </w:t>
      </w:r>
      <w:r w:rsidR="001474E6">
        <w:t>July 5</w:t>
      </w:r>
      <w:r w:rsidRPr="000E5DE9">
        <w:t xml:space="preserve">, 2016 </w:t>
      </w:r>
      <w:r w:rsidR="001474E6">
        <w:t xml:space="preserve">NOID, attached at </w:t>
      </w:r>
      <w:r w:rsidR="001474E6">
        <w:rPr>
          <w:b/>
        </w:rPr>
        <w:t>Exhibit</w:t>
      </w:r>
      <w:r w:rsidR="00293FE3">
        <w:rPr>
          <w:b/>
        </w:rPr>
        <w:t xml:space="preserve"> 2</w:t>
      </w:r>
      <w:r w:rsidRPr="000E5DE9">
        <w:t xml:space="preserve">). But for mentioning the evidence </w:t>
      </w:r>
      <w:r w:rsidR="00981B94">
        <w:t>________________</w:t>
      </w:r>
      <w:r w:rsidRPr="000E5DE9">
        <w:t xml:space="preserve"> submitted </w:t>
      </w:r>
      <w:r w:rsidR="001474E6">
        <w:t xml:space="preserve">with her I-918 petition </w:t>
      </w:r>
      <w:r w:rsidRPr="000E5DE9">
        <w:t xml:space="preserve">and summarizing </w:t>
      </w:r>
      <w:r w:rsidR="001474E6">
        <w:t xml:space="preserve">parts of </w:t>
      </w:r>
      <w:r w:rsidRPr="000E5DE9">
        <w:t>her statement in its denial</w:t>
      </w:r>
      <w:r w:rsidR="00E1368E">
        <w:t>,</w:t>
      </w:r>
      <w:r w:rsidRPr="000E5DE9">
        <w:t xml:space="preserve"> the Service fails to discuss why </w:t>
      </w:r>
      <w:r w:rsidR="00981B94">
        <w:t>________________</w:t>
      </w:r>
      <w:r w:rsidRPr="000E5DE9">
        <w:t xml:space="preserve">’s affidavit and the other evidence in the record was insufficient and simply categorically concludes that because she </w:t>
      </w:r>
      <w:r w:rsidRPr="000E5DE9">
        <w:lastRenderedPageBreak/>
        <w:t>entered into a marriage to evade the immigration laws, she is ineligible for a waiver of inadmissibility</w:t>
      </w:r>
      <w:r w:rsidR="00E1368E">
        <w:t xml:space="preserve"> (</w:t>
      </w:r>
      <w:r w:rsidR="00E1368E">
        <w:rPr>
          <w:i/>
        </w:rPr>
        <w:t xml:space="preserve">see </w:t>
      </w:r>
      <w:r w:rsidR="00E1368E">
        <w:t>USCIS letter of October 3</w:t>
      </w:r>
      <w:r w:rsidR="00E1368E" w:rsidRPr="000E5DE9">
        <w:t>,</w:t>
      </w:r>
      <w:r w:rsidR="00E1368E">
        <w:t xml:space="preserve"> 2016, attached)</w:t>
      </w:r>
      <w:r w:rsidRPr="000E5DE9">
        <w:t>.</w:t>
      </w:r>
    </w:p>
    <w:p w14:paraId="3A23CAF3" w14:textId="2998EC87" w:rsidR="00F75873" w:rsidRDefault="00981B94" w:rsidP="00637050">
      <w:pPr>
        <w:suppressAutoHyphens w:val="0"/>
        <w:autoSpaceDE w:val="0"/>
        <w:autoSpaceDN w:val="0"/>
        <w:adjustRightInd w:val="0"/>
        <w:spacing w:line="480" w:lineRule="auto"/>
        <w:ind w:firstLine="720"/>
        <w:jc w:val="both"/>
      </w:pPr>
      <w:r>
        <w:t>________________</w:t>
      </w:r>
      <w:r w:rsidR="00BF1B65" w:rsidRPr="000E5DE9">
        <w:t xml:space="preserve"> submitted substantial documentary evidence in support of the three </w:t>
      </w:r>
      <w:r w:rsidR="00BF1B65" w:rsidRPr="000E5DE9">
        <w:rPr>
          <w:i/>
        </w:rPr>
        <w:t xml:space="preserve">Hranka </w:t>
      </w:r>
      <w:r w:rsidR="00BF1B65" w:rsidRPr="000E5DE9">
        <w:t xml:space="preserve">factors. Besides her own affidavit, </w:t>
      </w:r>
      <w:r>
        <w:t>________________</w:t>
      </w:r>
      <w:r w:rsidR="00BF1B65" w:rsidRPr="000E5DE9">
        <w:t xml:space="preserve"> submitted in response to both NOIDs</w:t>
      </w:r>
      <w:r>
        <w:t>,</w:t>
      </w:r>
      <w:r w:rsidR="00BF1B65" w:rsidRPr="000E5DE9">
        <w:t xml:space="preserve"> a letter from her husband, evidence of her husband’s medical condition, a letter from her landlord, copy</w:t>
      </w:r>
      <w:r w:rsidR="00BF1B65">
        <w:t xml:space="preserve"> </w:t>
      </w:r>
      <w:r w:rsidR="00BF1B65" w:rsidRPr="000E5DE9">
        <w:t xml:space="preserve">of her 2015 tax returns, evidence of conditions in Grenada and proof of her ongoing training on caring for disabled children. The denial does not cite to a single fact attested to in any of the submitted documentation or arguments.  </w:t>
      </w:r>
      <w:r w:rsidR="00F75873" w:rsidRPr="000E5DE9">
        <w:t>T</w:t>
      </w:r>
      <w:r w:rsidR="00F75873" w:rsidRPr="000E5DE9">
        <w:rPr>
          <w:rFonts w:eastAsiaTheme="minorHAnsi"/>
          <w:lang w:eastAsia="en-US"/>
        </w:rPr>
        <w:t xml:space="preserve">he Board of Immigration Appeals </w:t>
      </w:r>
      <w:r>
        <w:rPr>
          <w:rFonts w:eastAsiaTheme="minorHAnsi"/>
          <w:lang w:eastAsia="en-US"/>
        </w:rPr>
        <w:t xml:space="preserve">(BIA) </w:t>
      </w:r>
      <w:r w:rsidR="00F75873" w:rsidRPr="000E5DE9">
        <w:rPr>
          <w:rFonts w:eastAsiaTheme="minorHAnsi"/>
          <w:lang w:eastAsia="en-US"/>
        </w:rPr>
        <w:t>has held that</w:t>
      </w:r>
      <w:r w:rsidR="00CC172A">
        <w:rPr>
          <w:rFonts w:eastAsiaTheme="minorHAnsi"/>
          <w:lang w:eastAsia="en-US"/>
        </w:rPr>
        <w:t xml:space="preserve"> when</w:t>
      </w:r>
      <w:r w:rsidR="00F75873" w:rsidRPr="000E5DE9">
        <w:rPr>
          <w:rFonts w:eastAsiaTheme="minorHAnsi"/>
          <w:lang w:eastAsia="en-US"/>
        </w:rPr>
        <w:t xml:space="preserve"> assessing whether an applicant has met the burden that a waiver is warranted in the exercise of discretion, the adjudicator must balance adverse factors evidencing inadmissibility with the social and humane considerations presented </w:t>
      </w:r>
      <w:r w:rsidR="00CC172A">
        <w:rPr>
          <w:rFonts w:eastAsiaTheme="minorHAnsi"/>
          <w:lang w:eastAsia="en-US"/>
        </w:rPr>
        <w:t xml:space="preserve">by the applicant </w:t>
      </w:r>
      <w:r w:rsidR="00F75873" w:rsidRPr="000E5DE9">
        <w:rPr>
          <w:rFonts w:eastAsiaTheme="minorHAnsi"/>
          <w:lang w:eastAsia="en-US"/>
        </w:rPr>
        <w:t>to determine if grant</w:t>
      </w:r>
      <w:r w:rsidR="00CC172A">
        <w:rPr>
          <w:rFonts w:eastAsiaTheme="minorHAnsi"/>
          <w:lang w:eastAsia="en-US"/>
        </w:rPr>
        <w:t>ing</w:t>
      </w:r>
      <w:r w:rsidR="00F75873" w:rsidRPr="000E5DE9">
        <w:rPr>
          <w:rFonts w:eastAsiaTheme="minorHAnsi"/>
          <w:lang w:eastAsia="en-US"/>
        </w:rPr>
        <w:t xml:space="preserve"> the waiver appears to be in the best interests of the United States. </w:t>
      </w:r>
      <w:r w:rsidR="00F75873" w:rsidRPr="000E5DE9">
        <w:rPr>
          <w:rFonts w:eastAsiaTheme="minorHAnsi"/>
          <w:i/>
          <w:iCs/>
          <w:lang w:eastAsia="en-US"/>
        </w:rPr>
        <w:t>Matter of Mendez-Moralez</w:t>
      </w:r>
      <w:r w:rsidR="00F75873" w:rsidRPr="000E5DE9">
        <w:rPr>
          <w:rFonts w:eastAsiaTheme="minorHAnsi"/>
          <w:u w:val="single"/>
          <w:lang w:eastAsia="en-US"/>
        </w:rPr>
        <w:t>,</w:t>
      </w:r>
      <w:r w:rsidR="00F75873" w:rsidRPr="000E5DE9">
        <w:rPr>
          <w:rFonts w:eastAsiaTheme="minorHAnsi"/>
          <w:lang w:eastAsia="en-US"/>
        </w:rPr>
        <w:t xml:space="preserve"> 21 I&amp;N Dec. 296 (BIA 1996). </w:t>
      </w:r>
      <w:r w:rsidR="00E1368E">
        <w:rPr>
          <w:rFonts w:eastAsiaTheme="minorHAnsi"/>
          <w:lang w:eastAsia="en-US"/>
        </w:rPr>
        <w:t xml:space="preserve"> </w:t>
      </w:r>
      <w:r w:rsidR="00F75873">
        <w:rPr>
          <w:rFonts w:eastAsiaTheme="minorHAnsi"/>
          <w:lang w:eastAsia="en-US"/>
        </w:rPr>
        <w:t>A</w:t>
      </w:r>
      <w:r w:rsidR="00F75873">
        <w:t xml:space="preserve">s there was no consideration and </w:t>
      </w:r>
      <w:r w:rsidR="00F75873" w:rsidRPr="006B72F3">
        <w:rPr>
          <w:bCs/>
        </w:rPr>
        <w:t xml:space="preserve">acknowledgement of </w:t>
      </w:r>
      <w:r w:rsidR="00E1368E">
        <w:rPr>
          <w:bCs/>
        </w:rPr>
        <w:t xml:space="preserve">the </w:t>
      </w:r>
      <w:r w:rsidR="00F75873" w:rsidRPr="006B72F3">
        <w:rPr>
          <w:bCs/>
        </w:rPr>
        <w:t>evidence</w:t>
      </w:r>
      <w:r w:rsidR="00E1368E">
        <w:rPr>
          <w:bCs/>
        </w:rPr>
        <w:t xml:space="preserve"> presented by </w:t>
      </w:r>
      <w:r>
        <w:rPr>
          <w:bCs/>
        </w:rPr>
        <w:t>________________</w:t>
      </w:r>
      <w:r w:rsidR="00F75873" w:rsidRPr="006B72F3">
        <w:rPr>
          <w:bCs/>
        </w:rPr>
        <w:t xml:space="preserve"> anywhere in the denial,</w:t>
      </w:r>
      <w:r w:rsidR="00F75873">
        <w:t xml:space="preserve"> it appears that the adjudicator </w:t>
      </w:r>
      <w:r w:rsidR="00F75873">
        <w:rPr>
          <w:rFonts w:eastAsiaTheme="minorHAnsi"/>
          <w:lang w:eastAsia="en-US"/>
        </w:rPr>
        <w:t>i</w:t>
      </w:r>
      <w:r w:rsidR="00F75873" w:rsidRPr="000E5DE9">
        <w:rPr>
          <w:rFonts w:eastAsiaTheme="minorHAnsi"/>
          <w:lang w:eastAsia="en-US"/>
        </w:rPr>
        <w:t xml:space="preserve">n denying </w:t>
      </w:r>
      <w:r>
        <w:rPr>
          <w:rFonts w:eastAsiaTheme="minorHAnsi"/>
          <w:lang w:eastAsia="en-US"/>
        </w:rPr>
        <w:t>________________</w:t>
      </w:r>
      <w:r w:rsidR="00F75873" w:rsidRPr="000E5DE9">
        <w:rPr>
          <w:rFonts w:eastAsiaTheme="minorHAnsi"/>
          <w:lang w:eastAsia="en-US"/>
        </w:rPr>
        <w:t xml:space="preserve"> a waiver of inadmissibility, did not </w:t>
      </w:r>
      <w:r w:rsidR="00F75873">
        <w:t xml:space="preserve">apply the </w:t>
      </w:r>
      <w:r w:rsidR="00F75873">
        <w:rPr>
          <w:i/>
          <w:iCs/>
        </w:rPr>
        <w:t>Hranka</w:t>
      </w:r>
      <w:r w:rsidR="00F75873">
        <w:t xml:space="preserve"> factors, and instead, rejected the evidence submitted with the NOID responses without applying the balancing test as mandated under </w:t>
      </w:r>
      <w:r w:rsidR="00F75873">
        <w:rPr>
          <w:i/>
        </w:rPr>
        <w:t>Mendez-Moralez</w:t>
      </w:r>
      <w:r w:rsidR="00F75873">
        <w:t>.</w:t>
      </w:r>
    </w:p>
    <w:p w14:paraId="4D427A8D" w14:textId="4250300D" w:rsidR="00BF1B65" w:rsidRPr="000E5DE9" w:rsidRDefault="00CC172A" w:rsidP="00637050">
      <w:pPr>
        <w:pStyle w:val="ListParagraph"/>
        <w:spacing w:line="480" w:lineRule="auto"/>
        <w:ind w:left="0" w:firstLine="360"/>
        <w:jc w:val="both"/>
      </w:pPr>
      <w:r>
        <w:t xml:space="preserve">In response to both NOIDS, </w:t>
      </w:r>
      <w:r w:rsidR="00981B94">
        <w:t>________________</w:t>
      </w:r>
      <w:r>
        <w:t xml:space="preserve"> submitted several pieces of </w:t>
      </w:r>
      <w:r w:rsidR="00BF1B65" w:rsidRPr="000E5DE9">
        <w:t xml:space="preserve">substantial evidence </w:t>
      </w:r>
      <w:r>
        <w:t xml:space="preserve">to prove </w:t>
      </w:r>
      <w:r w:rsidR="00BF1B65" w:rsidRPr="000E5DE9">
        <w:t xml:space="preserve">that she is not a risk to society to support a positive discretionary </w:t>
      </w:r>
      <w:r>
        <w:t xml:space="preserve">waiver </w:t>
      </w:r>
      <w:r w:rsidR="00BF1B65" w:rsidRPr="000E5DE9">
        <w:t>determination</w:t>
      </w:r>
      <w:r>
        <w:t xml:space="preserve">. This evidence, </w:t>
      </w:r>
      <w:r w:rsidR="00BF1B65" w:rsidRPr="000E5DE9">
        <w:t xml:space="preserve">being resubmitted now </w:t>
      </w:r>
      <w:r>
        <w:t xml:space="preserve">along </w:t>
      </w:r>
      <w:r w:rsidR="00BF1B65" w:rsidRPr="000E5DE9">
        <w:t>with the applicant’s new I-192 application</w:t>
      </w:r>
      <w:r w:rsidR="006D0389">
        <w:t xml:space="preserve"> (</w:t>
      </w:r>
      <w:r w:rsidR="006D0389">
        <w:rPr>
          <w:b/>
        </w:rPr>
        <w:t>Exhibit 1</w:t>
      </w:r>
      <w:r w:rsidR="006D0389">
        <w:t>)</w:t>
      </w:r>
      <w:r>
        <w:t xml:space="preserve"> and with additional supporting evidence</w:t>
      </w:r>
      <w:r w:rsidR="006D0389">
        <w:t xml:space="preserve"> </w:t>
      </w:r>
      <w:r w:rsidR="0083413A" w:rsidRPr="000E5DE9">
        <w:t>includes</w:t>
      </w:r>
      <w:r w:rsidR="00BF1B65" w:rsidRPr="000E5DE9">
        <w:t xml:space="preserve">: </w:t>
      </w:r>
    </w:p>
    <w:p w14:paraId="0A645C5A" w14:textId="363E9157" w:rsidR="00BF1B65" w:rsidRDefault="007B0406" w:rsidP="00637050">
      <w:pPr>
        <w:pStyle w:val="ListParagraph"/>
        <w:numPr>
          <w:ilvl w:val="0"/>
          <w:numId w:val="2"/>
        </w:numPr>
        <w:spacing w:line="480" w:lineRule="auto"/>
        <w:jc w:val="both"/>
      </w:pPr>
      <w:r>
        <w:t>S</w:t>
      </w:r>
      <w:r w:rsidR="00BF1B65" w:rsidRPr="000E5DE9">
        <w:t xml:space="preserve">tatement from </w:t>
      </w:r>
      <w:r w:rsidR="00981B94">
        <w:t>________________</w:t>
      </w:r>
      <w:r w:rsidR="00F75873">
        <w:t xml:space="preserve"> </w:t>
      </w:r>
      <w:r>
        <w:t xml:space="preserve">submitted with Form I-918 </w:t>
      </w:r>
      <w:r w:rsidR="00F75873">
        <w:t>(</w:t>
      </w:r>
      <w:r w:rsidR="00410DA2">
        <w:rPr>
          <w:b/>
        </w:rPr>
        <w:t>Exhibit 4</w:t>
      </w:r>
      <w:r w:rsidR="00F75873">
        <w:t>)</w:t>
      </w:r>
      <w:r w:rsidR="00BF1B65" w:rsidRPr="000E5DE9">
        <w:t>.</w:t>
      </w:r>
    </w:p>
    <w:p w14:paraId="75A331AF" w14:textId="633B1731" w:rsidR="007B0406" w:rsidRDefault="00410DA2" w:rsidP="007B0406">
      <w:pPr>
        <w:pStyle w:val="ListParagraph"/>
        <w:numPr>
          <w:ilvl w:val="0"/>
          <w:numId w:val="2"/>
        </w:numPr>
        <w:jc w:val="both"/>
      </w:pPr>
      <w:r>
        <w:lastRenderedPageBreak/>
        <w:t>Ju</w:t>
      </w:r>
      <w:r w:rsidR="001001F1">
        <w:t xml:space="preserve">ne 11, 2015 </w:t>
      </w:r>
      <w:r w:rsidR="007B0406">
        <w:t xml:space="preserve">Affidavit of Ms. </w:t>
      </w:r>
      <w:r w:rsidR="007B0406" w:rsidRPr="00981B94">
        <w:rPr>
          <w:highlight w:val="black"/>
        </w:rPr>
        <w:t>Frankly</w:t>
      </w:r>
      <w:r w:rsidR="007B0406">
        <w:t xml:space="preserve"> submitted with Form I-192 in response to May 5, 2015 NOID</w:t>
      </w:r>
      <w:r w:rsidR="005A4335">
        <w:t xml:space="preserve"> and </w:t>
      </w:r>
      <w:r w:rsidR="00CC172A">
        <w:t xml:space="preserve">her </w:t>
      </w:r>
      <w:r w:rsidR="005A4335">
        <w:t>July 27, 2016 statement in response to July 5, 2016 NOID</w:t>
      </w:r>
      <w:r w:rsidR="007B0406">
        <w:t xml:space="preserve"> (</w:t>
      </w:r>
      <w:r w:rsidR="007B0406">
        <w:rPr>
          <w:b/>
        </w:rPr>
        <w:t>Exh</w:t>
      </w:r>
      <w:r>
        <w:rPr>
          <w:b/>
        </w:rPr>
        <w:t>ibit 5</w:t>
      </w:r>
      <w:r w:rsidR="007B0406">
        <w:t>).</w:t>
      </w:r>
    </w:p>
    <w:p w14:paraId="3DCAADE2" w14:textId="77777777" w:rsidR="007B0406" w:rsidRPr="000E5DE9" w:rsidRDefault="007B0406" w:rsidP="007B0406">
      <w:pPr>
        <w:pStyle w:val="ListParagraph"/>
        <w:jc w:val="both"/>
      </w:pPr>
    </w:p>
    <w:p w14:paraId="4737961A" w14:textId="3F3C7B6D" w:rsidR="00BF1B65" w:rsidRPr="000E5DE9" w:rsidRDefault="00981B94" w:rsidP="00637050">
      <w:pPr>
        <w:pStyle w:val="ListParagraph"/>
        <w:numPr>
          <w:ilvl w:val="0"/>
          <w:numId w:val="2"/>
        </w:numPr>
        <w:spacing w:line="480" w:lineRule="auto"/>
        <w:jc w:val="both"/>
      </w:pPr>
      <w:r>
        <w:t>________________</w:t>
      </w:r>
      <w:r w:rsidR="00BF1B65" w:rsidRPr="000E5DE9">
        <w:t>’s marriage certificate</w:t>
      </w:r>
      <w:r w:rsidR="00F75873">
        <w:t xml:space="preserve"> (</w:t>
      </w:r>
      <w:r w:rsidR="00410DA2">
        <w:rPr>
          <w:b/>
        </w:rPr>
        <w:t>Exhibit 6</w:t>
      </w:r>
      <w:r w:rsidR="00A84A1E">
        <w:t>)</w:t>
      </w:r>
      <w:r w:rsidR="00BF1B65" w:rsidRPr="000E5DE9">
        <w:t>.</w:t>
      </w:r>
    </w:p>
    <w:p w14:paraId="3A864022" w14:textId="37D0A0D7" w:rsidR="00BF1B65" w:rsidRPr="000E5DE9" w:rsidRDefault="00BF1B65" w:rsidP="00637050">
      <w:pPr>
        <w:pStyle w:val="ListParagraph"/>
        <w:numPr>
          <w:ilvl w:val="0"/>
          <w:numId w:val="2"/>
        </w:numPr>
        <w:spacing w:line="480" w:lineRule="auto"/>
        <w:jc w:val="both"/>
      </w:pPr>
      <w:r w:rsidRPr="000E5DE9">
        <w:t xml:space="preserve">Two statements from her spouse, </w:t>
      </w:r>
      <w:r w:rsidR="00981B94">
        <w:t>________________</w:t>
      </w:r>
      <w:r w:rsidR="00F75873">
        <w:t xml:space="preserve"> (</w:t>
      </w:r>
      <w:r w:rsidR="00410DA2">
        <w:rPr>
          <w:b/>
        </w:rPr>
        <w:t>Exhibit 7</w:t>
      </w:r>
      <w:r w:rsidR="00F75873">
        <w:t>)</w:t>
      </w:r>
      <w:r w:rsidRPr="000E5DE9">
        <w:t>.</w:t>
      </w:r>
    </w:p>
    <w:p w14:paraId="4B572647" w14:textId="5CFD14D9" w:rsidR="00BF1B65" w:rsidRPr="000E5DE9" w:rsidRDefault="00BF1B65" w:rsidP="00637050">
      <w:pPr>
        <w:pStyle w:val="ListParagraph"/>
        <w:numPr>
          <w:ilvl w:val="0"/>
          <w:numId w:val="2"/>
        </w:numPr>
        <w:spacing w:line="480" w:lineRule="auto"/>
        <w:jc w:val="both"/>
      </w:pPr>
      <w:r w:rsidRPr="000E5DE9">
        <w:t xml:space="preserve">A letter from </w:t>
      </w:r>
      <w:r w:rsidR="00981B94">
        <w:t>________________</w:t>
      </w:r>
      <w:r w:rsidRPr="000E5DE9">
        <w:t xml:space="preserve">’s </w:t>
      </w:r>
      <w:r w:rsidR="008743FC">
        <w:t xml:space="preserve">prior </w:t>
      </w:r>
      <w:r w:rsidRPr="000E5DE9">
        <w:t>landlord</w:t>
      </w:r>
      <w:r w:rsidR="00F75873">
        <w:t xml:space="preserve"> (</w:t>
      </w:r>
      <w:r w:rsidR="001001F1">
        <w:rPr>
          <w:b/>
        </w:rPr>
        <w:t>Exhibit 8</w:t>
      </w:r>
      <w:r w:rsidR="00F75873">
        <w:t>)</w:t>
      </w:r>
      <w:r w:rsidRPr="000E5DE9">
        <w:t>.</w:t>
      </w:r>
    </w:p>
    <w:p w14:paraId="69644809" w14:textId="6215B7C3" w:rsidR="00BF1B65" w:rsidRPr="000E5DE9" w:rsidRDefault="001474E6" w:rsidP="00637050">
      <w:pPr>
        <w:pStyle w:val="ListParagraph"/>
        <w:numPr>
          <w:ilvl w:val="0"/>
          <w:numId w:val="2"/>
        </w:numPr>
        <w:spacing w:line="480" w:lineRule="auto"/>
        <w:jc w:val="both"/>
      </w:pPr>
      <w:r>
        <w:t xml:space="preserve">Two </w:t>
      </w:r>
      <w:r w:rsidR="00BF1B65" w:rsidRPr="000E5DE9">
        <w:t>letter</w:t>
      </w:r>
      <w:r>
        <w:t>s</w:t>
      </w:r>
      <w:r w:rsidR="00BF1B65" w:rsidRPr="000E5DE9">
        <w:t xml:space="preserve"> from </w:t>
      </w:r>
      <w:r w:rsidR="00981B94">
        <w:t>________________</w:t>
      </w:r>
      <w:r w:rsidR="00BF1B65" w:rsidRPr="000E5DE9">
        <w:t>’s physician</w:t>
      </w:r>
      <w:r w:rsidR="00F75873">
        <w:t xml:space="preserve"> (</w:t>
      </w:r>
      <w:r w:rsidR="001001F1">
        <w:rPr>
          <w:b/>
        </w:rPr>
        <w:t>Exhibit 9</w:t>
      </w:r>
      <w:r w:rsidR="00F75873">
        <w:t>)</w:t>
      </w:r>
      <w:r w:rsidR="00BF1B65" w:rsidRPr="000E5DE9">
        <w:t>.</w:t>
      </w:r>
    </w:p>
    <w:p w14:paraId="472C5DBB" w14:textId="4EAD2214" w:rsidR="00BF1B65" w:rsidRPr="000E5DE9" w:rsidRDefault="00BF1B65" w:rsidP="00637050">
      <w:pPr>
        <w:pStyle w:val="ListParagraph"/>
        <w:numPr>
          <w:ilvl w:val="0"/>
          <w:numId w:val="2"/>
        </w:numPr>
        <w:spacing w:line="480" w:lineRule="auto"/>
        <w:jc w:val="both"/>
      </w:pPr>
      <w:r w:rsidRPr="000E5DE9">
        <w:t xml:space="preserve">Copies of </w:t>
      </w:r>
      <w:r w:rsidR="00981B94">
        <w:t>________________</w:t>
      </w:r>
      <w:r w:rsidRPr="000E5DE9">
        <w:t>’s medical records</w:t>
      </w:r>
      <w:r w:rsidR="00F75873">
        <w:t xml:space="preserve"> (</w:t>
      </w:r>
      <w:r w:rsidR="001001F1">
        <w:rPr>
          <w:b/>
        </w:rPr>
        <w:t>Exhibit 10</w:t>
      </w:r>
      <w:r w:rsidR="00F75873">
        <w:t>)</w:t>
      </w:r>
      <w:r w:rsidRPr="000E5DE9">
        <w:t>.</w:t>
      </w:r>
    </w:p>
    <w:p w14:paraId="0C14AE52" w14:textId="7F83F5D5" w:rsidR="00BF1B65" w:rsidRPr="000E5DE9" w:rsidRDefault="00BF1B65" w:rsidP="00637050">
      <w:pPr>
        <w:pStyle w:val="ListParagraph"/>
        <w:numPr>
          <w:ilvl w:val="0"/>
          <w:numId w:val="2"/>
        </w:numPr>
        <w:spacing w:line="480" w:lineRule="auto"/>
        <w:jc w:val="both"/>
      </w:pPr>
      <w:r w:rsidRPr="000E5DE9">
        <w:t xml:space="preserve">A letter from the pastor at </w:t>
      </w:r>
      <w:r w:rsidR="00981B94">
        <w:t>________________</w:t>
      </w:r>
      <w:r w:rsidRPr="000E5DE9">
        <w:t>’s church</w:t>
      </w:r>
      <w:r w:rsidR="00F75873">
        <w:t xml:space="preserve"> (</w:t>
      </w:r>
      <w:r w:rsidR="001001F1">
        <w:rPr>
          <w:b/>
        </w:rPr>
        <w:t>Exhibit 11</w:t>
      </w:r>
      <w:r w:rsidR="00F75873">
        <w:t>)</w:t>
      </w:r>
      <w:r w:rsidRPr="000E5DE9">
        <w:t>.</w:t>
      </w:r>
    </w:p>
    <w:p w14:paraId="10703C09" w14:textId="77BF454F" w:rsidR="00BF1B65" w:rsidRPr="000E5DE9" w:rsidRDefault="00BF1B65" w:rsidP="00637050">
      <w:pPr>
        <w:pStyle w:val="ListParagraph"/>
        <w:numPr>
          <w:ilvl w:val="0"/>
          <w:numId w:val="2"/>
        </w:numPr>
        <w:jc w:val="both"/>
      </w:pPr>
      <w:r w:rsidRPr="000E5DE9">
        <w:t xml:space="preserve">Certificates issued to </w:t>
      </w:r>
      <w:r w:rsidR="00981B94">
        <w:t>________________</w:t>
      </w:r>
      <w:r w:rsidRPr="000E5DE9">
        <w:t xml:space="preserve"> for her continued training for working with disabled children</w:t>
      </w:r>
      <w:r w:rsidR="00F75873">
        <w:t xml:space="preserve"> (</w:t>
      </w:r>
      <w:r w:rsidR="00A84A1E">
        <w:rPr>
          <w:b/>
        </w:rPr>
        <w:t xml:space="preserve">Exhibit </w:t>
      </w:r>
      <w:r w:rsidR="001001F1">
        <w:rPr>
          <w:b/>
        </w:rPr>
        <w:t>12</w:t>
      </w:r>
      <w:r w:rsidR="00F75873">
        <w:t>)</w:t>
      </w:r>
      <w:r w:rsidRPr="000E5DE9">
        <w:t>.</w:t>
      </w:r>
    </w:p>
    <w:p w14:paraId="3CBBDA3F" w14:textId="77777777" w:rsidR="00BF1B65" w:rsidRPr="000E5DE9" w:rsidRDefault="00BF1B65" w:rsidP="00637050">
      <w:pPr>
        <w:ind w:left="360"/>
        <w:jc w:val="both"/>
      </w:pPr>
    </w:p>
    <w:p w14:paraId="0DB0667A" w14:textId="56CFD4D8" w:rsidR="00BF1B65" w:rsidRPr="000E5DE9" w:rsidRDefault="00BF1B65" w:rsidP="00637050">
      <w:pPr>
        <w:pStyle w:val="ListParagraph"/>
        <w:numPr>
          <w:ilvl w:val="0"/>
          <w:numId w:val="2"/>
        </w:numPr>
        <w:spacing w:line="480" w:lineRule="auto"/>
        <w:jc w:val="both"/>
      </w:pPr>
      <w:r w:rsidRPr="000E5DE9">
        <w:t xml:space="preserve">Copy of </w:t>
      </w:r>
      <w:r w:rsidR="00981B94">
        <w:t>________________</w:t>
      </w:r>
      <w:r w:rsidRPr="000E5DE9">
        <w:t>’s 2015 tax return</w:t>
      </w:r>
      <w:r w:rsidR="00F75873">
        <w:t xml:space="preserve"> (</w:t>
      </w:r>
      <w:r w:rsidR="001001F1">
        <w:rPr>
          <w:b/>
        </w:rPr>
        <w:t>Exhibit 13</w:t>
      </w:r>
      <w:r w:rsidR="00F75873">
        <w:t>)</w:t>
      </w:r>
      <w:r w:rsidRPr="000E5DE9">
        <w:t>.</w:t>
      </w:r>
    </w:p>
    <w:p w14:paraId="368EBBCF" w14:textId="77777777" w:rsidR="00714544" w:rsidRDefault="00BF1B65" w:rsidP="00714544">
      <w:pPr>
        <w:pStyle w:val="ListParagraph"/>
        <w:numPr>
          <w:ilvl w:val="0"/>
          <w:numId w:val="2"/>
        </w:numPr>
        <w:jc w:val="both"/>
      </w:pPr>
      <w:r w:rsidRPr="000E5DE9">
        <w:t>Documents discussing the economic condition in Grenada, the lack of medical facilities and treatment for cancer sufferers and the proliferation of abuse against women</w:t>
      </w:r>
      <w:r w:rsidR="00F75873">
        <w:t xml:space="preserve"> (</w:t>
      </w:r>
      <w:r w:rsidR="00F75873">
        <w:rPr>
          <w:b/>
        </w:rPr>
        <w:t>Exhib</w:t>
      </w:r>
      <w:r w:rsidR="001001F1">
        <w:rPr>
          <w:b/>
        </w:rPr>
        <w:t>it 14</w:t>
      </w:r>
      <w:r w:rsidR="00F75873">
        <w:t>)</w:t>
      </w:r>
      <w:r w:rsidRPr="000E5DE9">
        <w:t>.</w:t>
      </w:r>
    </w:p>
    <w:p w14:paraId="2290F363" w14:textId="1CC7C234" w:rsidR="00BF1B65" w:rsidRPr="000E5DE9" w:rsidRDefault="00714544" w:rsidP="00714544">
      <w:pPr>
        <w:pStyle w:val="ListParagraph"/>
        <w:jc w:val="both"/>
      </w:pPr>
      <w:r w:rsidRPr="000E5DE9">
        <w:t xml:space="preserve"> </w:t>
      </w:r>
    </w:p>
    <w:p w14:paraId="2DD5EF03" w14:textId="1624AA52" w:rsidR="00BF1B65" w:rsidRPr="000E5DE9" w:rsidRDefault="00120BA6" w:rsidP="00637050">
      <w:pPr>
        <w:suppressAutoHyphens w:val="0"/>
        <w:autoSpaceDE w:val="0"/>
        <w:autoSpaceDN w:val="0"/>
        <w:adjustRightInd w:val="0"/>
        <w:spacing w:line="480" w:lineRule="auto"/>
        <w:ind w:firstLine="360"/>
        <w:jc w:val="both"/>
      </w:pPr>
      <w:r>
        <w:t>The Supreme Court and other f</w:t>
      </w:r>
      <w:r w:rsidR="00F75873">
        <w:t xml:space="preserve">ederal court </w:t>
      </w:r>
      <w:r>
        <w:t xml:space="preserve">have long </w:t>
      </w:r>
      <w:r w:rsidR="00F75873">
        <w:t xml:space="preserve">ruled that where an agency fails to consider all relevant evidence before it, the agency abuses its discretion. </w:t>
      </w:r>
      <w:r>
        <w:rPr>
          <w:i/>
        </w:rPr>
        <w:t xml:space="preserve">Accardi v. </w:t>
      </w:r>
      <w:r w:rsidRPr="00120BA6">
        <w:rPr>
          <w:i/>
        </w:rPr>
        <w:t>Shaughnessy</w:t>
      </w:r>
      <w:r>
        <w:t xml:space="preserve">, 347 U.S. 260 (1954); </w:t>
      </w:r>
      <w:r w:rsidR="00F75873" w:rsidRPr="00120BA6">
        <w:rPr>
          <w:i/>
        </w:rPr>
        <w:t>Nadarajah</w:t>
      </w:r>
      <w:r w:rsidR="00F75873">
        <w:rPr>
          <w:i/>
        </w:rPr>
        <w:t xml:space="preserve"> v. Gonzalez</w:t>
      </w:r>
      <w:r w:rsidR="00F75873">
        <w:t>,</w:t>
      </w:r>
      <w:r w:rsidR="00F75873">
        <w:rPr>
          <w:i/>
        </w:rPr>
        <w:t xml:space="preserve"> </w:t>
      </w:r>
      <w:r>
        <w:t>443 F.3d 1069 (9</w:t>
      </w:r>
      <w:r w:rsidRPr="00120BA6">
        <w:rPr>
          <w:vertAlign w:val="superscript"/>
        </w:rPr>
        <w:t>th</w:t>
      </w:r>
      <w:r>
        <w:t xml:space="preserve"> Cir. 2006); </w:t>
      </w:r>
      <w:r>
        <w:rPr>
          <w:i/>
        </w:rPr>
        <w:t xml:space="preserve">Urban v. </w:t>
      </w:r>
      <w:r w:rsidRPr="00120BA6">
        <w:rPr>
          <w:i/>
        </w:rPr>
        <w:t>INS</w:t>
      </w:r>
      <w:r>
        <w:t>, 123 F.3d 644 (7</w:t>
      </w:r>
      <w:r w:rsidRPr="00120BA6">
        <w:rPr>
          <w:vertAlign w:val="superscript"/>
        </w:rPr>
        <w:t>th</w:t>
      </w:r>
      <w:r>
        <w:t xml:space="preserve"> Cir. 1997); </w:t>
      </w:r>
      <w:r>
        <w:rPr>
          <w:i/>
        </w:rPr>
        <w:t xml:space="preserve">Rodriguez-Guttierez v. INS </w:t>
      </w:r>
      <w:r>
        <w:t>59 F.3d 504 (5</w:t>
      </w:r>
      <w:r w:rsidRPr="00120BA6">
        <w:rPr>
          <w:vertAlign w:val="superscript"/>
        </w:rPr>
        <w:t>th</w:t>
      </w:r>
      <w:r>
        <w:t xml:space="preserve"> Cir. 1995); </w:t>
      </w:r>
      <w:r>
        <w:rPr>
          <w:i/>
        </w:rPr>
        <w:t xml:space="preserve">Blanco v. </w:t>
      </w:r>
      <w:r w:rsidRPr="00120BA6">
        <w:rPr>
          <w:i/>
        </w:rPr>
        <w:t>INS</w:t>
      </w:r>
      <w:r>
        <w:t>, 68 F.3d 642 (2</w:t>
      </w:r>
      <w:r w:rsidRPr="00120BA6">
        <w:rPr>
          <w:vertAlign w:val="superscript"/>
        </w:rPr>
        <w:t>nd</w:t>
      </w:r>
      <w:r>
        <w:t xml:space="preserve"> Cir. 1995). In addition, w</w:t>
      </w:r>
      <w:r w:rsidR="00BF1B65" w:rsidRPr="000E5DE9">
        <w:t xml:space="preserve">here an applicant for a waiver has a criminal history, the USCIS may not consider evidence of positive factors in inadmissibility determinations for applicants with records of violent or dangerous crimes, except in extraordinary circumstances. </w:t>
      </w:r>
      <w:r w:rsidR="00BF1B65" w:rsidRPr="000E5DE9">
        <w:rPr>
          <w:rFonts w:eastAsiaTheme="minorHAnsi"/>
          <w:i/>
          <w:iCs/>
          <w:lang w:eastAsia="en-US"/>
        </w:rPr>
        <w:t xml:space="preserve">Matter </w:t>
      </w:r>
      <w:r w:rsidR="00BF1B65" w:rsidRPr="00A84A1E">
        <w:rPr>
          <w:rFonts w:eastAsiaTheme="minorHAnsi"/>
          <w:i/>
          <w:iCs/>
          <w:lang w:eastAsia="en-US"/>
        </w:rPr>
        <w:t>of Jean</w:t>
      </w:r>
      <w:r w:rsidR="00BF1B65" w:rsidRPr="000E5DE9">
        <w:rPr>
          <w:rFonts w:eastAsiaTheme="minorHAnsi"/>
          <w:lang w:eastAsia="en-US"/>
        </w:rPr>
        <w:t xml:space="preserve">, 23 I&amp;N Dec. 373 (A.G. 2002).  However, </w:t>
      </w:r>
      <w:r w:rsidR="00F75873">
        <w:rPr>
          <w:rFonts w:eastAsiaTheme="minorHAnsi"/>
          <w:lang w:eastAsia="en-US"/>
        </w:rPr>
        <w:t xml:space="preserve">since </w:t>
      </w:r>
      <w:r w:rsidR="00BF1B65" w:rsidRPr="000E5DE9">
        <w:rPr>
          <w:rFonts w:eastAsiaTheme="minorHAnsi"/>
          <w:lang w:eastAsia="en-US"/>
        </w:rPr>
        <w:t xml:space="preserve">the Service did not indicate in </w:t>
      </w:r>
      <w:r w:rsidR="00CC172A">
        <w:rPr>
          <w:rFonts w:eastAsiaTheme="minorHAnsi"/>
          <w:lang w:eastAsia="en-US"/>
        </w:rPr>
        <w:t xml:space="preserve">its denial that </w:t>
      </w:r>
      <w:r w:rsidR="00981B94">
        <w:rPr>
          <w:rFonts w:eastAsiaTheme="minorHAnsi"/>
          <w:lang w:eastAsia="en-US"/>
        </w:rPr>
        <w:t>________________</w:t>
      </w:r>
      <w:r w:rsidR="00CC172A">
        <w:rPr>
          <w:rFonts w:eastAsiaTheme="minorHAnsi"/>
          <w:lang w:eastAsia="en-US"/>
        </w:rPr>
        <w:t xml:space="preserve"> is</w:t>
      </w:r>
      <w:r w:rsidR="00BF1B65" w:rsidRPr="000E5DE9">
        <w:rPr>
          <w:rFonts w:eastAsiaTheme="minorHAnsi"/>
          <w:lang w:eastAsia="en-US"/>
        </w:rPr>
        <w:t xml:space="preserve"> in this </w:t>
      </w:r>
      <w:r w:rsidR="00CC172A">
        <w:rPr>
          <w:rFonts w:eastAsiaTheme="minorHAnsi"/>
          <w:lang w:eastAsia="en-US"/>
        </w:rPr>
        <w:t>category of applicants, there i</w:t>
      </w:r>
      <w:r w:rsidR="00BF1B65" w:rsidRPr="000E5DE9">
        <w:rPr>
          <w:rFonts w:eastAsiaTheme="minorHAnsi"/>
          <w:lang w:eastAsia="en-US"/>
        </w:rPr>
        <w:t xml:space="preserve">s no reason for the agency to fail to individually consider and describe </w:t>
      </w:r>
      <w:r w:rsidR="00BF1B65" w:rsidRPr="000E5DE9">
        <w:t xml:space="preserve">why any piece or group of evidence </w:t>
      </w:r>
      <w:r w:rsidR="008743FC">
        <w:t xml:space="preserve">submitted by </w:t>
      </w:r>
      <w:r w:rsidR="00981B94">
        <w:lastRenderedPageBreak/>
        <w:t>________________</w:t>
      </w:r>
      <w:r w:rsidR="008743FC">
        <w:t xml:space="preserve"> i</w:t>
      </w:r>
      <w:r w:rsidR="00BF1B65" w:rsidRPr="000E5DE9">
        <w:t xml:space="preserve">s insufficient.  The Service’s failure to demonstrate how it has exercised discretion </w:t>
      </w:r>
      <w:r w:rsidR="00CC172A">
        <w:t xml:space="preserve">in </w:t>
      </w:r>
      <w:r w:rsidR="00981B94">
        <w:t>________________</w:t>
      </w:r>
      <w:r w:rsidR="00CC172A">
        <w:t xml:space="preserve">’s case </w:t>
      </w:r>
      <w:r w:rsidR="00BF1B65" w:rsidRPr="000E5DE9">
        <w:t>is therefore an abuse of discretion.</w:t>
      </w:r>
    </w:p>
    <w:p w14:paraId="033F1BF6" w14:textId="74B671D8" w:rsidR="00BF1B65" w:rsidRPr="000E5DE9" w:rsidRDefault="00BF1B65" w:rsidP="00637050">
      <w:pPr>
        <w:pStyle w:val="ListParagraph"/>
        <w:numPr>
          <w:ilvl w:val="2"/>
          <w:numId w:val="1"/>
        </w:numPr>
        <w:ind w:left="1987"/>
        <w:jc w:val="both"/>
      </w:pPr>
      <w:r w:rsidRPr="000E5DE9">
        <w:rPr>
          <w:b/>
          <w:u w:val="single"/>
        </w:rPr>
        <w:t xml:space="preserve">The denial fails to note how </w:t>
      </w:r>
      <w:r w:rsidR="00981B94">
        <w:rPr>
          <w:b/>
          <w:u w:val="single"/>
        </w:rPr>
        <w:t>________________</w:t>
      </w:r>
      <w:r w:rsidRPr="000E5DE9">
        <w:rPr>
          <w:b/>
          <w:u w:val="single"/>
        </w:rPr>
        <w:t xml:space="preserve"> is a threat to society</w:t>
      </w:r>
      <w:r w:rsidRPr="000E5DE9">
        <w:t>.</w:t>
      </w:r>
    </w:p>
    <w:p w14:paraId="272065FD" w14:textId="77777777" w:rsidR="00BF1B65" w:rsidRPr="000E5DE9" w:rsidRDefault="00BF1B65" w:rsidP="00637050">
      <w:pPr>
        <w:pStyle w:val="ListParagraph"/>
        <w:ind w:left="0"/>
        <w:jc w:val="both"/>
      </w:pPr>
      <w:r w:rsidRPr="000E5DE9">
        <w:tab/>
      </w:r>
    </w:p>
    <w:p w14:paraId="1FC21936" w14:textId="6AB6D1A1" w:rsidR="00F83406" w:rsidRDefault="00A84A1E" w:rsidP="00D343FA">
      <w:pPr>
        <w:pStyle w:val="ListParagraph"/>
        <w:spacing w:line="480" w:lineRule="auto"/>
        <w:ind w:left="0"/>
        <w:jc w:val="both"/>
      </w:pPr>
      <w:r>
        <w:tab/>
      </w:r>
      <w:r w:rsidR="00BF1B65" w:rsidRPr="000E5DE9">
        <w:t xml:space="preserve">After demanding that </w:t>
      </w:r>
      <w:r w:rsidR="00981B94">
        <w:t>________________</w:t>
      </w:r>
      <w:r w:rsidR="00BF1B65" w:rsidRPr="000E5DE9">
        <w:t xml:space="preserve"> prove that she is not a risk to U.S. society, the denial then fails to provide any analysis of why </w:t>
      </w:r>
      <w:r w:rsidR="00981B94">
        <w:t>________________</w:t>
      </w:r>
      <w:r w:rsidR="00BF1B65" w:rsidRPr="000E5DE9">
        <w:t xml:space="preserve">’s statements demonstrating that she is law abiding and has committed no crimes is insufficient. </w:t>
      </w:r>
      <w:r w:rsidR="008743FC">
        <w:t xml:space="preserve"> </w:t>
      </w:r>
      <w:r w:rsidR="00BF1B65" w:rsidRPr="000E5DE9">
        <w:t xml:space="preserve">The </w:t>
      </w:r>
      <w:r w:rsidR="00120BA6">
        <w:t xml:space="preserve">July 5, 2016 NOID </w:t>
      </w:r>
      <w:r w:rsidR="00BF1B65" w:rsidRPr="000E5DE9">
        <w:t xml:space="preserve">indicates from the outset that the factors stated in </w:t>
      </w:r>
      <w:r w:rsidR="00BF1B65" w:rsidRPr="000E5DE9">
        <w:rPr>
          <w:i/>
        </w:rPr>
        <w:t>Matter of Hranka</w:t>
      </w:r>
      <w:r w:rsidR="00120BA6">
        <w:t xml:space="preserve"> will guide the Service’s</w:t>
      </w:r>
      <w:r w:rsidR="00BF1B65" w:rsidRPr="000E5DE9">
        <w:t xml:space="preserve"> decision.  One of those factors is whether the applicant is a risk to society. After listing the </w:t>
      </w:r>
      <w:r w:rsidR="00BF1B65" w:rsidRPr="000E5DE9">
        <w:rPr>
          <w:i/>
        </w:rPr>
        <w:t xml:space="preserve">Hranka </w:t>
      </w:r>
      <w:r w:rsidR="00BF1B65" w:rsidRPr="000E5DE9">
        <w:t xml:space="preserve">factors, the NOID specifically states, “Please provide a statement addressing these criteria as they pertain to your specific circumstances.” </w:t>
      </w:r>
      <w:r w:rsidR="008743FC">
        <w:t xml:space="preserve">In response, </w:t>
      </w:r>
      <w:r w:rsidR="00981B94">
        <w:t>________________</w:t>
      </w:r>
      <w:r w:rsidR="008743FC">
        <w:t xml:space="preserve"> submitted a detailed affidavit. </w:t>
      </w:r>
      <w:r w:rsidR="00F83406">
        <w:t xml:space="preserve"> </w:t>
      </w:r>
      <w:r w:rsidR="008743FC">
        <w:t xml:space="preserve">She has now provided four statements that </w:t>
      </w:r>
      <w:r w:rsidR="00F83406">
        <w:t xml:space="preserve">unequivocally describe that she is not a threat to the country.  </w:t>
      </w:r>
      <w:r w:rsidR="00BF1B65" w:rsidRPr="000E5DE9">
        <w:t xml:space="preserve">However, the Service makes no acknowledgement of </w:t>
      </w:r>
      <w:r w:rsidR="00981B94">
        <w:t>________________</w:t>
      </w:r>
      <w:r w:rsidR="00BF1B65" w:rsidRPr="000E5DE9">
        <w:t xml:space="preserve">’s lack of criminal history in this country </w:t>
      </w:r>
      <w:r>
        <w:t xml:space="preserve">or elsewhere </w:t>
      </w:r>
      <w:r w:rsidR="00BF1B65" w:rsidRPr="000E5DE9">
        <w:t xml:space="preserve">and fails to discuss at all how she is a risk to the U.S.   </w:t>
      </w:r>
    </w:p>
    <w:p w14:paraId="01B84782" w14:textId="4D2845E6" w:rsidR="00BF1B65" w:rsidRPr="000E5DE9" w:rsidRDefault="00F83406" w:rsidP="00637050">
      <w:pPr>
        <w:pStyle w:val="ListParagraph"/>
        <w:spacing w:line="480" w:lineRule="auto"/>
        <w:ind w:left="0"/>
        <w:jc w:val="both"/>
      </w:pPr>
      <w:r>
        <w:tab/>
      </w:r>
      <w:r w:rsidR="00981B94">
        <w:t>________________</w:t>
      </w:r>
      <w:r w:rsidR="00BF1B65" w:rsidRPr="000E5DE9">
        <w:t xml:space="preserve"> is a wife and mother. </w:t>
      </w:r>
      <w:r>
        <w:t xml:space="preserve"> </w:t>
      </w:r>
      <w:r w:rsidR="00BF1B65" w:rsidRPr="000E5DE9">
        <w:t xml:space="preserve">She is also cares for children with special needs. </w:t>
      </w:r>
      <w:r>
        <w:t xml:space="preserve"> </w:t>
      </w:r>
      <w:r w:rsidR="00BF1B65" w:rsidRPr="000E5DE9">
        <w:t xml:space="preserve">In </w:t>
      </w:r>
      <w:r w:rsidR="00BF1B65" w:rsidRPr="000E5DE9">
        <w:rPr>
          <w:i/>
        </w:rPr>
        <w:t>Matter of V-M-H</w:t>
      </w:r>
      <w:r w:rsidR="00A84A1E">
        <w:rPr>
          <w:i/>
        </w:rPr>
        <w:t>-</w:t>
      </w:r>
      <w:r w:rsidR="00BF1B65" w:rsidRPr="000E5DE9">
        <w:rPr>
          <w:i/>
        </w:rPr>
        <w:t>T</w:t>
      </w:r>
      <w:r w:rsidR="00A84A1E">
        <w:rPr>
          <w:i/>
        </w:rPr>
        <w:t>-</w:t>
      </w:r>
      <w:r w:rsidR="00BF1B65" w:rsidRPr="000E5DE9">
        <w:t>, the Administrative Appeals Office (AAO) reversed t</w:t>
      </w:r>
      <w:r w:rsidR="00A84A1E">
        <w:t>he Service’s denial of an application for U adjustment of status</w:t>
      </w:r>
      <w:r w:rsidR="00BF1B65" w:rsidRPr="000E5DE9">
        <w:t xml:space="preserve"> where the applicant had multiple interactions with the police</w:t>
      </w:r>
      <w:r w:rsidR="00C310FF">
        <w:t xml:space="preserve">, multiple DUI convictions and a felony drug conviction </w:t>
      </w:r>
      <w:r w:rsidR="00BF1B65" w:rsidRPr="000E5DE9">
        <w:t>even while in U status.</w:t>
      </w:r>
      <w:r w:rsidR="00C310FF">
        <w:t xml:space="preserve"> </w:t>
      </w:r>
      <w:r>
        <w:t xml:space="preserve"> </w:t>
      </w:r>
      <w:r w:rsidR="00C310FF">
        <w:rPr>
          <w:i/>
        </w:rPr>
        <w:t xml:space="preserve">Matter of V-M-H-T- </w:t>
      </w:r>
      <w:r w:rsidR="00C310FF">
        <w:t>(AAO, September 28, 2016)</w:t>
      </w:r>
      <w:r w:rsidR="00293FE3">
        <w:t xml:space="preserve"> (</w:t>
      </w:r>
      <w:r w:rsidR="00293FE3">
        <w:rPr>
          <w:i/>
        </w:rPr>
        <w:t xml:space="preserve">see </w:t>
      </w:r>
      <w:r w:rsidR="00293FE3">
        <w:rPr>
          <w:b/>
        </w:rPr>
        <w:t>Exhibit</w:t>
      </w:r>
      <w:r w:rsidR="001001F1">
        <w:rPr>
          <w:b/>
        </w:rPr>
        <w:t xml:space="preserve"> 15</w:t>
      </w:r>
      <w:r w:rsidR="00293FE3">
        <w:t>)</w:t>
      </w:r>
      <w:r w:rsidR="00C310FF">
        <w:t>.</w:t>
      </w:r>
      <w:r w:rsidR="00BF1B65" w:rsidRPr="000E5DE9">
        <w:t xml:space="preserve"> </w:t>
      </w:r>
      <w:r>
        <w:t xml:space="preserve"> </w:t>
      </w:r>
      <w:r w:rsidR="00BF1B65" w:rsidRPr="000E5DE9">
        <w:t xml:space="preserve">In its decision, the AAO pointed to the applicant’s many positive equities in determining that the Service was wrong to deny the applicant adjustment of status. </w:t>
      </w:r>
      <w:r w:rsidR="00CC172A">
        <w:t xml:space="preserve"> </w:t>
      </w:r>
      <w:r w:rsidR="00BF1B65" w:rsidRPr="000E5DE9">
        <w:t xml:space="preserve">Likewise in </w:t>
      </w:r>
      <w:r w:rsidR="00293FE3">
        <w:rPr>
          <w:i/>
        </w:rPr>
        <w:t>Matter of C-M-Q-</w:t>
      </w:r>
      <w:r w:rsidR="00BF1B65" w:rsidRPr="000E5DE9">
        <w:t xml:space="preserve">, the AAO overturned the Service’s denial of a U adjustment of status where the applicant had a conviction for statutory rape and theft. </w:t>
      </w:r>
      <w:r w:rsidR="00CC172A">
        <w:t xml:space="preserve"> </w:t>
      </w:r>
      <w:r w:rsidR="00BF1B65" w:rsidRPr="000E5DE9">
        <w:t xml:space="preserve">Again, the AAO ruled that the applicant’s many positive equities, including his </w:t>
      </w:r>
      <w:r w:rsidR="00BF1B65" w:rsidRPr="000E5DE9">
        <w:lastRenderedPageBreak/>
        <w:t>length of residence in the U.S.</w:t>
      </w:r>
      <w:r w:rsidR="00120BA6">
        <w:t xml:space="preserve"> warranted a positive exercise of discretion.</w:t>
      </w:r>
      <w:r w:rsidR="00BF1B65" w:rsidRPr="000E5DE9">
        <w:t xml:space="preserve"> </w:t>
      </w:r>
      <w:r w:rsidR="00293FE3">
        <w:t xml:space="preserve"> </w:t>
      </w:r>
      <w:r w:rsidR="00293FE3">
        <w:rPr>
          <w:i/>
        </w:rPr>
        <w:t>Matter of C-M-Q-</w:t>
      </w:r>
      <w:r w:rsidR="00293FE3">
        <w:t xml:space="preserve"> (AAO, September 23, 2016) (</w:t>
      </w:r>
      <w:r w:rsidR="00293FE3">
        <w:rPr>
          <w:i/>
        </w:rPr>
        <w:t xml:space="preserve">see </w:t>
      </w:r>
      <w:r w:rsidR="007B0406">
        <w:rPr>
          <w:b/>
        </w:rPr>
        <w:t>Exhibit 15</w:t>
      </w:r>
      <w:r w:rsidR="00293FE3">
        <w:t xml:space="preserve">). </w:t>
      </w:r>
      <w:r w:rsidR="00CC172A">
        <w:t xml:space="preserve"> </w:t>
      </w:r>
      <w:r w:rsidR="00BF1B65" w:rsidRPr="000E5DE9">
        <w:t xml:space="preserve">Unlike the applicants in </w:t>
      </w:r>
      <w:r w:rsidR="00C310FF">
        <w:rPr>
          <w:i/>
        </w:rPr>
        <w:t>V-M-H-</w:t>
      </w:r>
      <w:r w:rsidR="00BF1B65" w:rsidRPr="000E5DE9">
        <w:rPr>
          <w:i/>
        </w:rPr>
        <w:t>T</w:t>
      </w:r>
      <w:r w:rsidR="00C310FF">
        <w:rPr>
          <w:i/>
        </w:rPr>
        <w:t>-</w:t>
      </w:r>
      <w:r w:rsidR="00BF1B65" w:rsidRPr="000E5DE9">
        <w:t xml:space="preserve">, and </w:t>
      </w:r>
      <w:r w:rsidR="00BF1B65" w:rsidRPr="000E5DE9">
        <w:rPr>
          <w:i/>
        </w:rPr>
        <w:t>C-M-Q-</w:t>
      </w:r>
      <w:r w:rsidR="00BF1B65" w:rsidRPr="000E5DE9">
        <w:t xml:space="preserve">, </w:t>
      </w:r>
      <w:r w:rsidR="00981B94">
        <w:t>________________</w:t>
      </w:r>
      <w:r w:rsidR="00BF1B65" w:rsidRPr="000E5DE9">
        <w:t xml:space="preserve"> has committed no crimes</w:t>
      </w:r>
      <w:r>
        <w:t xml:space="preserve"> or ever been convicted of committing a crime.</w:t>
      </w:r>
      <w:r w:rsidR="00BF1B65" w:rsidRPr="000E5DE9">
        <w:t xml:space="preserve"> She is not a risk to the country. The </w:t>
      </w:r>
      <w:r w:rsidR="00981B94">
        <w:t xml:space="preserve">alleged </w:t>
      </w:r>
      <w:r w:rsidR="00BF1B65" w:rsidRPr="000E5DE9">
        <w:t>fraud she was involved in happened years ago. She has articulated remorse for her actions and she has not been involved in any other fraudulent activity.</w:t>
      </w:r>
      <w:r w:rsidR="00D343FA" w:rsidRPr="00D343FA">
        <w:rPr>
          <w:b/>
          <w:i/>
        </w:rPr>
        <w:t xml:space="preserve"> </w:t>
      </w:r>
      <w:r>
        <w:rPr>
          <w:b/>
        </w:rPr>
        <w:t xml:space="preserve"> </w:t>
      </w:r>
      <w:r w:rsidR="00BF1B65" w:rsidRPr="000E5DE9">
        <w:t xml:space="preserve">Moreover, she has lived in the U.S. for almost 10 years and has a husband recovering from cancer. </w:t>
      </w:r>
      <w:r>
        <w:t xml:space="preserve"> </w:t>
      </w:r>
      <w:r w:rsidR="00BF1B65" w:rsidRPr="000E5DE9">
        <w:t>If persons with lengthy criminal histories, including those with conviction for rape</w:t>
      </w:r>
      <w:r w:rsidR="00C310FF">
        <w:t xml:space="preserve"> and DUI</w:t>
      </w:r>
      <w:r w:rsidR="00BF1B65" w:rsidRPr="000E5DE9">
        <w:t xml:space="preserve">, who are arguably risks to society, can be granted adjustment of status, surely, </w:t>
      </w:r>
      <w:r w:rsidR="00981B94">
        <w:t>________________</w:t>
      </w:r>
      <w:r w:rsidR="00BF1B65" w:rsidRPr="000E5DE9">
        <w:t xml:space="preserve"> who has no criminal past, whose fraudulent cond</w:t>
      </w:r>
      <w:r>
        <w:t xml:space="preserve">uct was over five years ago, </w:t>
      </w:r>
      <w:r w:rsidR="00BF1B65" w:rsidRPr="000E5DE9">
        <w:t>who is gainfully employed caring for disabled children</w:t>
      </w:r>
      <w:r w:rsidR="00F32230">
        <w:t>,</w:t>
      </w:r>
      <w:r>
        <w:t xml:space="preserve"> and who pays her taxes</w:t>
      </w:r>
      <w:r w:rsidR="00BF1B65" w:rsidRPr="000E5DE9">
        <w:t xml:space="preserve"> should merit a favorable grant of discretion.</w:t>
      </w:r>
    </w:p>
    <w:p w14:paraId="159C03BF" w14:textId="30FD2CB7" w:rsidR="00BF1B65" w:rsidRPr="000E5DE9" w:rsidRDefault="00BF1B65" w:rsidP="00637050">
      <w:pPr>
        <w:pStyle w:val="ListParagraph"/>
        <w:numPr>
          <w:ilvl w:val="0"/>
          <w:numId w:val="1"/>
        </w:numPr>
        <w:jc w:val="both"/>
      </w:pPr>
      <w:r w:rsidRPr="000E5DE9">
        <w:rPr>
          <w:caps/>
          <w:u w:val="single"/>
        </w:rPr>
        <w:t>The denial failed to properly WEIGH the evidence SUBMITTED WITH THE noid RESPONSEs</w:t>
      </w:r>
    </w:p>
    <w:p w14:paraId="1D486EBD" w14:textId="77777777" w:rsidR="00BF1B65" w:rsidRPr="000E5DE9" w:rsidRDefault="00BF1B65" w:rsidP="00637050">
      <w:pPr>
        <w:pStyle w:val="ListParagraph"/>
        <w:jc w:val="both"/>
      </w:pPr>
    </w:p>
    <w:p w14:paraId="7ECD038D" w14:textId="77777777" w:rsidR="00BF1B65" w:rsidRPr="000E5DE9" w:rsidRDefault="00BF1B65" w:rsidP="00637050">
      <w:pPr>
        <w:pStyle w:val="ListParagraph"/>
        <w:numPr>
          <w:ilvl w:val="1"/>
          <w:numId w:val="1"/>
        </w:numPr>
        <w:spacing w:line="480" w:lineRule="auto"/>
        <w:jc w:val="both"/>
      </w:pPr>
      <w:r w:rsidRPr="000E5DE9">
        <w:rPr>
          <w:u w:val="single"/>
        </w:rPr>
        <w:t>The denial gives too much weight to one single negative factor</w:t>
      </w:r>
      <w:r w:rsidRPr="000E5DE9">
        <w:t>.</w:t>
      </w:r>
    </w:p>
    <w:p w14:paraId="1A0E2F96" w14:textId="10021E4C" w:rsidR="00BF1B65" w:rsidRPr="000E5DE9" w:rsidRDefault="00BF1B65" w:rsidP="00637050">
      <w:pPr>
        <w:pStyle w:val="ListParagraph"/>
        <w:numPr>
          <w:ilvl w:val="2"/>
          <w:numId w:val="1"/>
        </w:numPr>
        <w:ind w:left="1987"/>
        <w:jc w:val="both"/>
      </w:pPr>
      <w:r w:rsidRPr="000E5DE9">
        <w:rPr>
          <w:b/>
          <w:u w:val="single"/>
        </w:rPr>
        <w:t xml:space="preserve">The denial gives too much weight to </w:t>
      </w:r>
      <w:r w:rsidR="00981B94">
        <w:rPr>
          <w:b/>
          <w:u w:val="single"/>
        </w:rPr>
        <w:t>________________</w:t>
      </w:r>
      <w:r w:rsidRPr="000E5DE9">
        <w:rPr>
          <w:b/>
          <w:u w:val="single"/>
        </w:rPr>
        <w:t>’s immigration</w:t>
      </w:r>
      <w:r w:rsidRPr="000E5DE9">
        <w:rPr>
          <w:u w:val="single"/>
        </w:rPr>
        <w:t xml:space="preserve"> </w:t>
      </w:r>
      <w:r w:rsidRPr="000E5DE9">
        <w:rPr>
          <w:b/>
          <w:u w:val="single"/>
        </w:rPr>
        <w:t>violation</w:t>
      </w:r>
      <w:r w:rsidRPr="000E5DE9">
        <w:rPr>
          <w:u w:val="single"/>
        </w:rPr>
        <w:t xml:space="preserve">.  </w:t>
      </w:r>
      <w:r w:rsidRPr="000E5DE9">
        <w:t xml:space="preserve"> </w:t>
      </w:r>
    </w:p>
    <w:p w14:paraId="2D444E9B" w14:textId="77777777" w:rsidR="00BF1B65" w:rsidRPr="000E5DE9" w:rsidRDefault="00BF1B65" w:rsidP="00637050">
      <w:pPr>
        <w:pStyle w:val="ListParagraph"/>
        <w:ind w:left="1987"/>
        <w:jc w:val="both"/>
      </w:pPr>
    </w:p>
    <w:p w14:paraId="3088643B" w14:textId="4CFE353D" w:rsidR="00BF1B65" w:rsidRPr="000E5DE9" w:rsidRDefault="00BF1B65" w:rsidP="00637050">
      <w:pPr>
        <w:pStyle w:val="ListParagraph"/>
        <w:spacing w:line="480" w:lineRule="auto"/>
        <w:ind w:left="0"/>
        <w:jc w:val="both"/>
        <w:rPr>
          <w:i/>
        </w:rPr>
      </w:pPr>
      <w:r w:rsidRPr="000E5DE9">
        <w:tab/>
      </w:r>
      <w:r w:rsidR="00981B94">
        <w:t>________________</w:t>
      </w:r>
      <w:r w:rsidRPr="000E5DE9">
        <w:t xml:space="preserve"> has never disputed that she married Mr. </w:t>
      </w:r>
      <w:r w:rsidRPr="00D717FB">
        <w:rPr>
          <w:highlight w:val="black"/>
        </w:rPr>
        <w:t>Tate</w:t>
      </w:r>
      <w:r w:rsidRPr="000E5DE9">
        <w:t xml:space="preserve">. </w:t>
      </w:r>
      <w:r w:rsidR="00F83406">
        <w:t xml:space="preserve"> </w:t>
      </w:r>
      <w:r w:rsidRPr="000E5DE9">
        <w:t>She admitted in the affidavit submitted with her I-918 petition that she was previously married to a U.S. citizen and that this spouse had filed an I-130 on her behalf but that her spouse had later withdrawn that petition</w:t>
      </w:r>
      <w:r w:rsidR="00293FE3">
        <w:t xml:space="preserve"> (</w:t>
      </w:r>
      <w:r w:rsidR="00293FE3">
        <w:rPr>
          <w:i/>
        </w:rPr>
        <w:t>see</w:t>
      </w:r>
      <w:r w:rsidR="00293FE3">
        <w:t xml:space="preserve"> </w:t>
      </w:r>
      <w:r w:rsidR="00981B94">
        <w:t>________________</w:t>
      </w:r>
      <w:r w:rsidR="00293FE3">
        <w:t>’s I-918 statement</w:t>
      </w:r>
      <w:r w:rsidR="00293FE3">
        <w:rPr>
          <w:i/>
        </w:rPr>
        <w:t xml:space="preserve"> </w:t>
      </w:r>
      <w:r w:rsidR="00293FE3">
        <w:rPr>
          <w:b/>
        </w:rPr>
        <w:t>Exhibit G</w:t>
      </w:r>
      <w:r w:rsidR="00293FE3">
        <w:t xml:space="preserve"> in original filing</w:t>
      </w:r>
      <w:r w:rsidR="001001F1">
        <w:t xml:space="preserve">, now at </w:t>
      </w:r>
      <w:r w:rsidR="001001F1">
        <w:rPr>
          <w:b/>
        </w:rPr>
        <w:t>Exhibit 4</w:t>
      </w:r>
      <w:r w:rsidR="001001F1">
        <w:t>)</w:t>
      </w:r>
      <w:r w:rsidR="00293FE3">
        <w:t xml:space="preserve">.  </w:t>
      </w:r>
      <w:r w:rsidRPr="000E5DE9">
        <w:t xml:space="preserve">The affidavit attached to her I-192 application gives more details of her interaction with Mr. </w:t>
      </w:r>
      <w:r w:rsidRPr="00D717FB">
        <w:rPr>
          <w:highlight w:val="black"/>
        </w:rPr>
        <w:t>Tate</w:t>
      </w:r>
      <w:r w:rsidR="00293FE3">
        <w:t xml:space="preserve"> (</w:t>
      </w:r>
      <w:r w:rsidR="00293FE3">
        <w:rPr>
          <w:i/>
        </w:rPr>
        <w:t xml:space="preserve">see </w:t>
      </w:r>
      <w:r w:rsidR="001001F1">
        <w:rPr>
          <w:b/>
        </w:rPr>
        <w:t>Exhibit 5</w:t>
      </w:r>
      <w:r w:rsidR="00293FE3">
        <w:t>)</w:t>
      </w:r>
      <w:r w:rsidRPr="000E5DE9">
        <w:t>.</w:t>
      </w:r>
      <w:r>
        <w:t xml:space="preserve"> </w:t>
      </w:r>
      <w:r w:rsidRPr="000E5DE9">
        <w:t xml:space="preserve">Specifically, </w:t>
      </w:r>
      <w:r w:rsidR="00981B94">
        <w:t>________________</w:t>
      </w:r>
      <w:r w:rsidRPr="000E5DE9">
        <w:t xml:space="preserve"> explains that when she was interviewed by an Immigration Officer she admitted that she and Mr. </w:t>
      </w:r>
      <w:r w:rsidRPr="00D717FB">
        <w:rPr>
          <w:highlight w:val="black"/>
        </w:rPr>
        <w:t>Tate</w:t>
      </w:r>
      <w:r w:rsidRPr="000E5DE9">
        <w:t xml:space="preserve"> did not live together and she withdrew her application for adjustment of status.</w:t>
      </w:r>
      <w:r w:rsidR="00293FE3">
        <w:t xml:space="preserve">  </w:t>
      </w:r>
      <w:r w:rsidR="00293FE3">
        <w:rPr>
          <w:i/>
        </w:rPr>
        <w:t>Id</w:t>
      </w:r>
      <w:r w:rsidR="00293FE3">
        <w:t>.</w:t>
      </w:r>
      <w:r w:rsidRPr="000E5DE9">
        <w:t xml:space="preserve"> </w:t>
      </w:r>
      <w:r w:rsidR="00293FE3">
        <w:t xml:space="preserve"> </w:t>
      </w:r>
      <w:r w:rsidRPr="000E5DE9">
        <w:t xml:space="preserve">She believed at that time that the matter </w:t>
      </w:r>
      <w:r w:rsidRPr="000E5DE9">
        <w:lastRenderedPageBreak/>
        <w:t>was closed especially since she received no decision from USCIS concluding that she had engaged in marriage fraud.</w:t>
      </w:r>
      <w:r w:rsidR="00293FE3">
        <w:t xml:space="preserve">  </w:t>
      </w:r>
      <w:r w:rsidR="00293FE3">
        <w:rPr>
          <w:i/>
        </w:rPr>
        <w:t xml:space="preserve">Id. </w:t>
      </w:r>
      <w:r w:rsidR="00293FE3">
        <w:t>(</w:t>
      </w:r>
      <w:r w:rsidR="00293FE3">
        <w:rPr>
          <w:i/>
        </w:rPr>
        <w:t xml:space="preserve">see also </w:t>
      </w:r>
      <w:r w:rsidR="00293FE3">
        <w:rPr>
          <w:b/>
        </w:rPr>
        <w:t>Exhibit</w:t>
      </w:r>
      <w:r w:rsidR="007B0406">
        <w:rPr>
          <w:b/>
        </w:rPr>
        <w:t xml:space="preserve"> 1</w:t>
      </w:r>
      <w:r w:rsidR="007B0406">
        <w:t>).</w:t>
      </w:r>
      <w:r w:rsidRPr="000E5DE9">
        <w:t xml:space="preserve">  In that statement she also explains that she was motivated to marry Mr. </w:t>
      </w:r>
      <w:r w:rsidRPr="00D717FB">
        <w:rPr>
          <w:highlight w:val="black"/>
        </w:rPr>
        <w:t>Tate</w:t>
      </w:r>
      <w:r w:rsidRPr="000E5DE9">
        <w:t xml:space="preserve"> because she was in an abusive relationship, on the verge of becoming homeless and her “bills were piling up.” To escape her abuser, she needed to work and have means to support herself and daughter, but it was impossible to find employment without having work authorization (</w:t>
      </w:r>
      <w:r w:rsidR="000D4B66">
        <w:rPr>
          <w:i/>
        </w:rPr>
        <w:t xml:space="preserve">see </w:t>
      </w:r>
      <w:r w:rsidR="000D4B66" w:rsidRPr="000D4B66">
        <w:rPr>
          <w:b/>
        </w:rPr>
        <w:t>Exhibit</w:t>
      </w:r>
      <w:r w:rsidR="000D4B66">
        <w:t xml:space="preserve"> </w:t>
      </w:r>
      <w:r w:rsidR="007B0406">
        <w:rPr>
          <w:b/>
        </w:rPr>
        <w:t>1</w:t>
      </w:r>
      <w:r w:rsidR="00293FE3">
        <w:t xml:space="preserve"> statement </w:t>
      </w:r>
      <w:r w:rsidR="007B0406">
        <w:t xml:space="preserve">with I-192, and </w:t>
      </w:r>
      <w:r w:rsidR="005A4335">
        <w:rPr>
          <w:b/>
        </w:rPr>
        <w:t>Exhibit 5</w:t>
      </w:r>
      <w:r w:rsidR="007B0406">
        <w:t>)</w:t>
      </w:r>
      <w:r w:rsidRPr="000E5DE9">
        <w:rPr>
          <w:i/>
        </w:rPr>
        <w:t xml:space="preserve">. </w:t>
      </w:r>
    </w:p>
    <w:p w14:paraId="7B79EFB1" w14:textId="738C0B7D" w:rsidR="00BF1B65" w:rsidRPr="000E5DE9" w:rsidRDefault="00BF1B65" w:rsidP="00637050">
      <w:pPr>
        <w:pStyle w:val="ListParagraph"/>
        <w:spacing w:line="480" w:lineRule="auto"/>
        <w:ind w:left="0" w:firstLine="720"/>
        <w:jc w:val="both"/>
      </w:pPr>
      <w:r w:rsidRPr="000E5DE9">
        <w:t xml:space="preserve">Even where an applicant commits marriage fraud and is placed in removal proceedings, she may obtain a waiver under INA §237(a)(1)(H) notwithstanding INA §204(c) if she is admissible. </w:t>
      </w:r>
      <w:r w:rsidR="00F83406">
        <w:t xml:space="preserve"> </w:t>
      </w:r>
      <w:r w:rsidR="00981B94">
        <w:t>________________</w:t>
      </w:r>
      <w:r w:rsidRPr="000E5DE9">
        <w:t xml:space="preserve"> has never hidden the facts surrounding her marriage to Mr. </w:t>
      </w:r>
      <w:r w:rsidRPr="00D717FB">
        <w:rPr>
          <w:highlight w:val="black"/>
        </w:rPr>
        <w:t>Tate</w:t>
      </w:r>
      <w:r w:rsidRPr="000E5DE9">
        <w:t xml:space="preserve"> and her admission is itself </w:t>
      </w:r>
      <w:r w:rsidR="007B0406">
        <w:t xml:space="preserve">is </w:t>
      </w:r>
      <w:r w:rsidRPr="000E5DE9">
        <w:t>an indication that she is honest and trustworthy.  She accepts responsibility for her prior actions and feels deep remorse</w:t>
      </w:r>
      <w:r w:rsidR="007B0406">
        <w:t xml:space="preserve"> (</w:t>
      </w:r>
      <w:r w:rsidR="007B0406">
        <w:rPr>
          <w:i/>
        </w:rPr>
        <w:t xml:space="preserve">see </w:t>
      </w:r>
      <w:r w:rsidR="006D0389">
        <w:rPr>
          <w:b/>
        </w:rPr>
        <w:t xml:space="preserve">Exhibit </w:t>
      </w:r>
      <w:r w:rsidR="005A4335">
        <w:rPr>
          <w:b/>
        </w:rPr>
        <w:t>5</w:t>
      </w:r>
      <w:r w:rsidR="007B0406">
        <w:t>)</w:t>
      </w:r>
      <w:r w:rsidRPr="000E5DE9">
        <w:t xml:space="preserve">. </w:t>
      </w:r>
      <w:r w:rsidR="007B0406">
        <w:t xml:space="preserve"> </w:t>
      </w:r>
      <w:r w:rsidRPr="000E5DE9">
        <w:t xml:space="preserve">She explicitly states, “I am extremely sorry and very upset at myself because now I have put my life and everything that </w:t>
      </w:r>
      <w:r w:rsidR="00981B94">
        <w:t>___________</w:t>
      </w:r>
      <w:r w:rsidRPr="000E5DE9">
        <w:t xml:space="preserve"> [</w:t>
      </w:r>
      <w:r w:rsidR="00981B94">
        <w:t>________________</w:t>
      </w:r>
      <w:r w:rsidRPr="000E5DE9">
        <w:t xml:space="preserve">’s current spouse] and I have built together in jeopardy. </w:t>
      </w:r>
      <w:r w:rsidR="00F83406">
        <w:t xml:space="preserve"> </w:t>
      </w:r>
      <w:r w:rsidRPr="000E5DE9">
        <w:t xml:space="preserve">I cannot even explain the depth of my regret for my early actions.” </w:t>
      </w:r>
      <w:r w:rsidR="007B0406">
        <w:rPr>
          <w:i/>
        </w:rPr>
        <w:t xml:space="preserve">Id.  </w:t>
      </w:r>
      <w:r w:rsidR="006D0389">
        <w:t>(</w:t>
      </w:r>
      <w:r w:rsidR="006D0389">
        <w:rPr>
          <w:i/>
        </w:rPr>
        <w:t xml:space="preserve">See also </w:t>
      </w:r>
      <w:r w:rsidR="006D0389" w:rsidRPr="006D0389">
        <w:rPr>
          <w:b/>
        </w:rPr>
        <w:t>Exhibit 1</w:t>
      </w:r>
      <w:r w:rsidR="006D0389">
        <w:t xml:space="preserve">).  </w:t>
      </w:r>
      <w:r w:rsidRPr="000E5DE9">
        <w:t xml:space="preserve">Her assertion about her involvement in the fraud does not preclude her “from ever presenting persuasive evidence of rehabilitation by other means.”  </w:t>
      </w:r>
      <w:r w:rsidRPr="000E5DE9">
        <w:rPr>
          <w:i/>
        </w:rPr>
        <w:t>Matter of Mendez Moralez</w:t>
      </w:r>
      <w:r w:rsidRPr="000E5DE9">
        <w:t>, at</w:t>
      </w:r>
      <w:r>
        <w:t xml:space="preserve"> </w:t>
      </w:r>
      <w:r w:rsidRPr="000E5DE9">
        <w:rPr>
          <w:rFonts w:eastAsiaTheme="minorHAnsi"/>
          <w:lang w:eastAsia="en-US"/>
        </w:rPr>
        <w:t>304</w:t>
      </w:r>
      <w:r w:rsidRPr="000E5DE9">
        <w:rPr>
          <w:rFonts w:ascii="Melior" w:eastAsiaTheme="minorHAnsi" w:hAnsi="Melior" w:cs="Melior"/>
          <w:sz w:val="18"/>
          <w:szCs w:val="18"/>
          <w:lang w:eastAsia="en-US"/>
        </w:rPr>
        <w:t xml:space="preserve">.  </w:t>
      </w:r>
      <w:r w:rsidR="007B0406">
        <w:rPr>
          <w:rFonts w:ascii="Melior" w:eastAsiaTheme="minorHAnsi" w:hAnsi="Melior" w:cs="Melior"/>
          <w:sz w:val="18"/>
          <w:szCs w:val="18"/>
          <w:lang w:eastAsia="en-US"/>
        </w:rPr>
        <w:t xml:space="preserve"> </w:t>
      </w:r>
      <w:r w:rsidRPr="000E5DE9">
        <w:rPr>
          <w:rFonts w:eastAsiaTheme="minorHAnsi"/>
          <w:lang w:eastAsia="en-US"/>
        </w:rPr>
        <w:t>Indeed, she has engaged in no other fraudulent activity and has a clean criminal record.</w:t>
      </w:r>
    </w:p>
    <w:p w14:paraId="6A847042" w14:textId="4FF7688B" w:rsidR="00BF1B65" w:rsidRPr="000E5DE9" w:rsidRDefault="00BF1B65" w:rsidP="00BC5A71">
      <w:pPr>
        <w:pStyle w:val="ListParagraph"/>
        <w:spacing w:line="480" w:lineRule="auto"/>
        <w:ind w:left="0" w:firstLine="720"/>
        <w:jc w:val="both"/>
      </w:pPr>
      <w:r w:rsidRPr="000E5DE9">
        <w:t xml:space="preserve"> As an applicant for U status who was battered, who suffered substantial harm and who provided assistance to law enforcement in prosecuting her attacker, </w:t>
      </w:r>
      <w:r w:rsidR="00981B94">
        <w:t>________________</w:t>
      </w:r>
      <w:r w:rsidRPr="000E5DE9">
        <w:t xml:space="preserve"> is admissible to the U.S.  As noted below, she submitted substantia</w:t>
      </w:r>
      <w:r w:rsidR="00493F47">
        <w:t xml:space="preserve">l evidence of positive </w:t>
      </w:r>
      <w:r w:rsidRPr="000E5DE9">
        <w:t>factors, including contributions to her community that outweigh the seriousness of her offense and permits</w:t>
      </w:r>
      <w:r>
        <w:t xml:space="preserve"> </w:t>
      </w:r>
      <w:r w:rsidRPr="000E5DE9">
        <w:t>a favorable grant of discretion for approval of a waiver of inadmissibility</w:t>
      </w:r>
      <w:r w:rsidR="007B0406">
        <w:t xml:space="preserve"> (</w:t>
      </w:r>
      <w:r w:rsidR="007B0406">
        <w:rPr>
          <w:i/>
        </w:rPr>
        <w:t>see</w:t>
      </w:r>
      <w:r w:rsidR="007B0406">
        <w:t xml:space="preserve"> </w:t>
      </w:r>
      <w:r w:rsidR="005A4335">
        <w:rPr>
          <w:b/>
        </w:rPr>
        <w:t>Exhibits 4</w:t>
      </w:r>
      <w:r w:rsidR="00714544">
        <w:rPr>
          <w:b/>
        </w:rPr>
        <w:t xml:space="preserve"> </w:t>
      </w:r>
      <w:r w:rsidR="0050640C">
        <w:rPr>
          <w:b/>
        </w:rPr>
        <w:t>–</w:t>
      </w:r>
      <w:r w:rsidR="005A4335">
        <w:rPr>
          <w:b/>
        </w:rPr>
        <w:t xml:space="preserve"> 14</w:t>
      </w:r>
      <w:r w:rsidR="0050640C">
        <w:t>;</w:t>
      </w:r>
      <w:r w:rsidR="006D0389">
        <w:t xml:space="preserve"> </w:t>
      </w:r>
      <w:r w:rsidR="00714544">
        <w:rPr>
          <w:b/>
        </w:rPr>
        <w:t>Exhibit</w:t>
      </w:r>
      <w:r w:rsidR="005A4335">
        <w:rPr>
          <w:b/>
        </w:rPr>
        <w:t xml:space="preserve"> </w:t>
      </w:r>
      <w:r w:rsidR="00F83406">
        <w:rPr>
          <w:b/>
        </w:rPr>
        <w:t>17</w:t>
      </w:r>
      <w:r w:rsidR="005A4335">
        <w:t xml:space="preserve">, </w:t>
      </w:r>
      <w:r w:rsidR="00480E97">
        <w:t xml:space="preserve">additional </w:t>
      </w:r>
      <w:r w:rsidR="005A4335">
        <w:t>country conditions information on Grenada</w:t>
      </w:r>
      <w:r w:rsidR="0050640C">
        <w:t xml:space="preserve">; and </w:t>
      </w:r>
      <w:r w:rsidR="0050640C">
        <w:rPr>
          <w:b/>
        </w:rPr>
        <w:t>Exhibit 18 -19</w:t>
      </w:r>
      <w:r w:rsidR="0050640C">
        <w:t xml:space="preserve">; </w:t>
      </w:r>
      <w:r w:rsidR="0050640C">
        <w:lastRenderedPageBreak/>
        <w:t>statements of support</w:t>
      </w:r>
      <w:r w:rsidR="007B0406">
        <w:t>)</w:t>
      </w:r>
      <w:r w:rsidRPr="000E5DE9">
        <w:t xml:space="preserve">. </w:t>
      </w:r>
      <w:r w:rsidR="007B0406">
        <w:t xml:space="preserve"> </w:t>
      </w:r>
      <w:r w:rsidRPr="000E5DE9">
        <w:t>The Service’s disregard of these facts is an impermissible abuse of discretion.</w:t>
      </w:r>
      <w:r w:rsidRPr="000E5DE9">
        <w:tab/>
      </w:r>
    </w:p>
    <w:p w14:paraId="75D38005" w14:textId="3AC4A4C3" w:rsidR="00BF1B65" w:rsidRPr="000E5DE9" w:rsidRDefault="00BF1B65" w:rsidP="00637050">
      <w:pPr>
        <w:pStyle w:val="ListParagraph"/>
        <w:numPr>
          <w:ilvl w:val="2"/>
          <w:numId w:val="1"/>
        </w:numPr>
        <w:jc w:val="both"/>
      </w:pPr>
      <w:r w:rsidRPr="00BF1B65">
        <w:rPr>
          <w:b/>
          <w:u w:val="single"/>
        </w:rPr>
        <w:t xml:space="preserve">The denial does not address </w:t>
      </w:r>
      <w:r w:rsidR="00981B94">
        <w:rPr>
          <w:b/>
          <w:u w:val="single"/>
        </w:rPr>
        <w:t>________________</w:t>
      </w:r>
      <w:r w:rsidRPr="00BF1B65">
        <w:rPr>
          <w:b/>
          <w:u w:val="single"/>
        </w:rPr>
        <w:t>’s need to remain in the U.S</w:t>
      </w:r>
      <w:r w:rsidRPr="00BF1B65">
        <w:rPr>
          <w:u w:val="single"/>
        </w:rPr>
        <w:t xml:space="preserve">. </w:t>
      </w:r>
    </w:p>
    <w:p w14:paraId="4DE33D2C" w14:textId="77777777" w:rsidR="00BF1B65" w:rsidRPr="000E5DE9" w:rsidRDefault="00BF1B65" w:rsidP="00637050">
      <w:pPr>
        <w:pStyle w:val="ListParagraph"/>
        <w:ind w:left="1987"/>
        <w:jc w:val="both"/>
        <w:rPr>
          <w:u w:val="single"/>
        </w:rPr>
      </w:pPr>
    </w:p>
    <w:p w14:paraId="21AE967B" w14:textId="7ECA9657" w:rsidR="00BF1B65" w:rsidRPr="000E5DE9" w:rsidRDefault="00BF1B65" w:rsidP="00637050">
      <w:pPr>
        <w:pStyle w:val="ListParagraph"/>
        <w:spacing w:line="480" w:lineRule="auto"/>
        <w:ind w:left="0"/>
        <w:jc w:val="both"/>
      </w:pPr>
      <w:r w:rsidRPr="000E5DE9">
        <w:tab/>
        <w:t xml:space="preserve">Nowhere in the denial does the Service acknowledge </w:t>
      </w:r>
      <w:r w:rsidR="00981B94">
        <w:t>________________</w:t>
      </w:r>
      <w:r w:rsidRPr="000E5DE9">
        <w:t xml:space="preserve">’s need to remain in the U.S.  At Page 6 of her sworn personal statement attached to </w:t>
      </w:r>
      <w:r w:rsidR="005A4335">
        <w:t xml:space="preserve">her previously submitted </w:t>
      </w:r>
      <w:r w:rsidRPr="000E5DE9">
        <w:t xml:space="preserve">Form I-192 </w:t>
      </w:r>
      <w:r w:rsidR="00981B94">
        <w:t>________________</w:t>
      </w:r>
      <w:r w:rsidRPr="000E5DE9">
        <w:t xml:space="preserve"> states:</w:t>
      </w:r>
    </w:p>
    <w:p w14:paraId="0034BF2C" w14:textId="64E9D83D" w:rsidR="00BC5A71" w:rsidRDefault="00BF1B65" w:rsidP="00BC5A71">
      <w:pPr>
        <w:pStyle w:val="ListParagraph"/>
        <w:ind w:left="1440"/>
      </w:pPr>
      <w:r w:rsidRPr="000E5DE9">
        <w:t xml:space="preserve">“In March 2014, I married </w:t>
      </w:r>
      <w:r w:rsidR="00981B94">
        <w:t>________________</w:t>
      </w:r>
      <w:r w:rsidRPr="000E5DE9">
        <w:t xml:space="preserve">, who I met in church. Our </w:t>
      </w:r>
    </w:p>
    <w:p w14:paraId="6709550F" w14:textId="7C7876AD" w:rsidR="00BC5A71" w:rsidRDefault="00BF1B65" w:rsidP="00BC5A71">
      <w:pPr>
        <w:pStyle w:val="ListParagraph"/>
        <w:ind w:left="1440"/>
      </w:pPr>
      <w:r w:rsidRPr="000E5DE9">
        <w:t xml:space="preserve">marriage is strong. . . Unfortunately, </w:t>
      </w:r>
      <w:r w:rsidR="00981B94">
        <w:t>___________</w:t>
      </w:r>
      <w:r w:rsidRPr="000E5DE9">
        <w:t xml:space="preserve"> was diagnosed with prostate </w:t>
      </w:r>
    </w:p>
    <w:p w14:paraId="667A5834" w14:textId="77777777" w:rsidR="00BC5A71" w:rsidRDefault="00BF1B65" w:rsidP="00BC5A71">
      <w:pPr>
        <w:pStyle w:val="ListParagraph"/>
        <w:ind w:left="1440"/>
      </w:pPr>
      <w:r w:rsidRPr="000E5DE9">
        <w:t xml:space="preserve">cancer and in August 2014 he had to have surgery. Recently, he also </w:t>
      </w:r>
    </w:p>
    <w:p w14:paraId="77F28AF5" w14:textId="77777777" w:rsidR="00BC5A71" w:rsidRDefault="00BF1B65" w:rsidP="00BC5A71">
      <w:pPr>
        <w:pStyle w:val="ListParagraph"/>
        <w:ind w:left="1440"/>
      </w:pPr>
      <w:r w:rsidRPr="000E5DE9">
        <w:t xml:space="preserve">had eye surgery.  Because of my husband’s poor health, he is dependent </w:t>
      </w:r>
    </w:p>
    <w:p w14:paraId="10429C24" w14:textId="77777777" w:rsidR="00BC5A71" w:rsidRDefault="00BF1B65" w:rsidP="00BC5A71">
      <w:pPr>
        <w:pStyle w:val="ListParagraph"/>
        <w:ind w:left="1440"/>
      </w:pPr>
      <w:r w:rsidRPr="000E5DE9">
        <w:t xml:space="preserve">on me to get him to and from his many doctor appointment and to help </w:t>
      </w:r>
    </w:p>
    <w:p w14:paraId="41CFA9D3" w14:textId="07B50236" w:rsidR="00BF1B65" w:rsidRPr="007B0406" w:rsidRDefault="00BF1B65" w:rsidP="00BC5A71">
      <w:pPr>
        <w:pStyle w:val="ListParagraph"/>
        <w:ind w:left="1440"/>
      </w:pPr>
      <w:r w:rsidRPr="000E5DE9">
        <w:t>him in his recovery.”</w:t>
      </w:r>
      <w:r w:rsidR="007B0406">
        <w:t xml:space="preserve"> (</w:t>
      </w:r>
      <w:r w:rsidR="00BC5A71">
        <w:rPr>
          <w:i/>
        </w:rPr>
        <w:t>S</w:t>
      </w:r>
      <w:r w:rsidR="007B0406">
        <w:rPr>
          <w:i/>
        </w:rPr>
        <w:t xml:space="preserve">ee </w:t>
      </w:r>
      <w:r w:rsidR="005A4335">
        <w:rPr>
          <w:b/>
        </w:rPr>
        <w:t>Exhibit 5</w:t>
      </w:r>
      <w:r w:rsidR="007B0406">
        <w:t>).</w:t>
      </w:r>
    </w:p>
    <w:p w14:paraId="56B2E5E2" w14:textId="77777777" w:rsidR="00BF1B65" w:rsidRPr="000E5DE9" w:rsidRDefault="00BF1B65" w:rsidP="00637050">
      <w:pPr>
        <w:pStyle w:val="ListParagraph"/>
        <w:jc w:val="both"/>
      </w:pPr>
    </w:p>
    <w:p w14:paraId="2829EDF6" w14:textId="759A8247" w:rsidR="00BF1B65" w:rsidRPr="000E5DE9" w:rsidRDefault="00BF1B65" w:rsidP="00637050">
      <w:pPr>
        <w:pStyle w:val="ListParagraph"/>
        <w:spacing w:line="480" w:lineRule="auto"/>
        <w:ind w:left="0" w:firstLine="720"/>
        <w:jc w:val="both"/>
      </w:pPr>
      <w:r w:rsidRPr="000E5DE9">
        <w:t xml:space="preserve">In a subsequent statement, she details that although her husband’s surgery was successful, he is still under medical care because he has </w:t>
      </w:r>
      <w:r w:rsidR="000D4B66">
        <w:t xml:space="preserve">not </w:t>
      </w:r>
      <w:r w:rsidRPr="000E5DE9">
        <w:t>physically bounced back and he has developed other ailments, such as high blood sugar, which require monitoring of his diet</w:t>
      </w:r>
      <w:r w:rsidR="007B0406">
        <w:t xml:space="preserve"> (</w:t>
      </w:r>
      <w:r w:rsidR="007B0406">
        <w:rPr>
          <w:i/>
        </w:rPr>
        <w:t xml:space="preserve">see </w:t>
      </w:r>
      <w:r w:rsidR="005A4335">
        <w:rPr>
          <w:b/>
        </w:rPr>
        <w:t>Exhibit 5</w:t>
      </w:r>
      <w:r w:rsidR="007B0406">
        <w:rPr>
          <w:b/>
        </w:rPr>
        <w:t xml:space="preserve"> </w:t>
      </w:r>
      <w:r w:rsidR="00981B94">
        <w:t>________________</w:t>
      </w:r>
      <w:r w:rsidR="007B0406">
        <w:t xml:space="preserve">’s </w:t>
      </w:r>
      <w:r w:rsidR="005A4335">
        <w:t xml:space="preserve">July 27, 2016 </w:t>
      </w:r>
      <w:r w:rsidR="007B0406">
        <w:t xml:space="preserve">affidavit in response to </w:t>
      </w:r>
      <w:r w:rsidR="00152325">
        <w:t>July 5, 2016 NOID</w:t>
      </w:r>
      <w:r w:rsidR="00714544">
        <w:t xml:space="preserve">; </w:t>
      </w:r>
      <w:r w:rsidR="00714544">
        <w:rPr>
          <w:i/>
        </w:rPr>
        <w:t xml:space="preserve">see also </w:t>
      </w:r>
      <w:r w:rsidR="00714544">
        <w:t xml:space="preserve">additional statement from </w:t>
      </w:r>
      <w:r w:rsidR="00981B94">
        <w:t>________________</w:t>
      </w:r>
      <w:r w:rsidR="00714544">
        <w:t xml:space="preserve">’s spouse, </w:t>
      </w:r>
      <w:r w:rsidR="00981B94">
        <w:t>________________</w:t>
      </w:r>
      <w:r w:rsidR="00714544">
        <w:t xml:space="preserve"> at </w:t>
      </w:r>
      <w:r w:rsidR="00714544">
        <w:rPr>
          <w:b/>
        </w:rPr>
        <w:t>Exhibit</w:t>
      </w:r>
      <w:r w:rsidR="006F11B6">
        <w:rPr>
          <w:b/>
        </w:rPr>
        <w:t xml:space="preserve"> 16</w:t>
      </w:r>
      <w:r w:rsidR="00152325">
        <w:t>)</w:t>
      </w:r>
      <w:r w:rsidRPr="000E5DE9">
        <w:t>. She also submitted medical evid</w:t>
      </w:r>
      <w:r w:rsidR="00D717FB">
        <w:t>ence of her husband’s condition</w:t>
      </w:r>
      <w:r w:rsidRPr="000E5DE9">
        <w:t xml:space="preserve"> including a letter from his doctor indicating that post surgery </w:t>
      </w:r>
      <w:r w:rsidR="00981B94">
        <w:t>________________</w:t>
      </w:r>
      <w:r w:rsidRPr="000E5DE9">
        <w:t>’s condition must be watched closely and advising against him seeking medical care outside the U.S.</w:t>
      </w:r>
      <w:r w:rsidR="00152325">
        <w:t xml:space="preserve"> (</w:t>
      </w:r>
      <w:r w:rsidR="00152325">
        <w:rPr>
          <w:i/>
        </w:rPr>
        <w:t>see</w:t>
      </w:r>
      <w:r w:rsidR="00152325">
        <w:t xml:space="preserve"> </w:t>
      </w:r>
      <w:r w:rsidR="00753B70">
        <w:rPr>
          <w:b/>
        </w:rPr>
        <w:t xml:space="preserve">Exhibit 9-10 </w:t>
      </w:r>
      <w:r w:rsidR="00753B70">
        <w:t xml:space="preserve">and </w:t>
      </w:r>
      <w:r w:rsidR="00753B70">
        <w:rPr>
          <w:b/>
        </w:rPr>
        <w:t>Exhibit 14</w:t>
      </w:r>
      <w:r w:rsidR="00152325">
        <w:t>).</w:t>
      </w:r>
      <w:r w:rsidRPr="000E5DE9">
        <w:t xml:space="preserve"> The doctor’s advice is prudent as in Grena</w:t>
      </w:r>
      <w:r w:rsidR="000D4B66">
        <w:t xml:space="preserve">da, </w:t>
      </w:r>
      <w:r w:rsidR="00981B94">
        <w:t>________________</w:t>
      </w:r>
      <w:r w:rsidR="000D4B66">
        <w:t xml:space="preserve">’s home country, </w:t>
      </w:r>
      <w:r w:rsidRPr="000E5DE9">
        <w:t>there is a 49% death rate for men diagnosed with prostate cancer (</w:t>
      </w:r>
      <w:r w:rsidRPr="000E5DE9">
        <w:rPr>
          <w:i/>
        </w:rPr>
        <w:t xml:space="preserve">see </w:t>
      </w:r>
      <w:r w:rsidR="00753B70">
        <w:rPr>
          <w:b/>
        </w:rPr>
        <w:t>Exhibit 14</w:t>
      </w:r>
      <w:r w:rsidRPr="000E5DE9">
        <w:t xml:space="preserve">, </w:t>
      </w:r>
      <w:r w:rsidRPr="000E5DE9">
        <w:rPr>
          <w:u w:val="single"/>
        </w:rPr>
        <w:t>Grenada</w:t>
      </w:r>
      <w:r w:rsidRPr="000E5DE9">
        <w:t xml:space="preserve"> in June 11, 2015 NOID response and</w:t>
      </w:r>
      <w:r w:rsidR="000D4B66">
        <w:t xml:space="preserve"> </w:t>
      </w:r>
      <w:r w:rsidR="00152325" w:rsidRPr="00152325">
        <w:rPr>
          <w:u w:val="single"/>
        </w:rPr>
        <w:t>Healthcare in Grenada</w:t>
      </w:r>
      <w:r w:rsidR="000D4B66">
        <w:t>, attached</w:t>
      </w:r>
      <w:r w:rsidR="00152325">
        <w:t xml:space="preserve"> at </w:t>
      </w:r>
      <w:r w:rsidR="00152325">
        <w:rPr>
          <w:b/>
        </w:rPr>
        <w:t>Exhibit</w:t>
      </w:r>
      <w:r w:rsidR="006F11B6">
        <w:rPr>
          <w:b/>
        </w:rPr>
        <w:t xml:space="preserve"> 17</w:t>
      </w:r>
      <w:r w:rsidRPr="000E5DE9">
        <w:t>).</w:t>
      </w:r>
    </w:p>
    <w:p w14:paraId="6B9ACE8E" w14:textId="47CC88E4" w:rsidR="00BF1B65" w:rsidRPr="000E5DE9" w:rsidRDefault="00BF1B65" w:rsidP="00637050">
      <w:pPr>
        <w:pStyle w:val="ListParagraph"/>
        <w:spacing w:line="480" w:lineRule="auto"/>
        <w:ind w:left="0"/>
        <w:jc w:val="both"/>
      </w:pPr>
      <w:r w:rsidRPr="000E5DE9">
        <w:tab/>
        <w:t xml:space="preserve">As the denial does not provide details about its conclusions, it is difficult to know if the adjudicator reviewed </w:t>
      </w:r>
      <w:r w:rsidR="00981B94">
        <w:t>________________</w:t>
      </w:r>
      <w:r w:rsidRPr="000E5DE9">
        <w:t xml:space="preserve">’s compelling reasons for remaining in the U.S. The </w:t>
      </w:r>
      <w:r w:rsidRPr="000E5DE9">
        <w:lastRenderedPageBreak/>
        <w:t xml:space="preserve">denial completely fails to provide any analysis of the probative value of </w:t>
      </w:r>
      <w:r w:rsidR="00981B94">
        <w:t>________________</w:t>
      </w:r>
      <w:r w:rsidRPr="000E5DE9">
        <w:t xml:space="preserve">’s statements and the medical evidence related to her husband’s health.  Given that the NOID asked </w:t>
      </w:r>
      <w:r w:rsidR="00981B94">
        <w:t>________________</w:t>
      </w:r>
      <w:r>
        <w:t xml:space="preserve"> </w:t>
      </w:r>
      <w:r w:rsidRPr="000E5DE9">
        <w:t xml:space="preserve">to prove that she met the factors outlined in </w:t>
      </w:r>
      <w:r w:rsidRPr="000E5DE9">
        <w:rPr>
          <w:i/>
        </w:rPr>
        <w:t>Matter of Hranka</w:t>
      </w:r>
      <w:r w:rsidRPr="000E5DE9">
        <w:t xml:space="preserve">, one of which is to provide evidence of her reasons for wishing to remain in the United States, the Service’s disregard of the evidence submitted is a violation of law. </w:t>
      </w:r>
    </w:p>
    <w:p w14:paraId="2CF315C6" w14:textId="77777777" w:rsidR="00BF1B65" w:rsidRPr="00A9704D" w:rsidRDefault="00BF1B65" w:rsidP="00637050">
      <w:pPr>
        <w:pStyle w:val="ListParagraph"/>
        <w:numPr>
          <w:ilvl w:val="1"/>
          <w:numId w:val="1"/>
        </w:numPr>
        <w:spacing w:line="480" w:lineRule="auto"/>
        <w:jc w:val="both"/>
      </w:pPr>
      <w:r w:rsidRPr="00BF1B65">
        <w:rPr>
          <w:u w:val="single"/>
        </w:rPr>
        <w:t>The denial gives no weight to positive factors</w:t>
      </w:r>
      <w:r w:rsidRPr="00A9704D">
        <w:t>.</w:t>
      </w:r>
    </w:p>
    <w:p w14:paraId="04970DE5" w14:textId="5F92B793" w:rsidR="00BF1B65" w:rsidRPr="000D4B66" w:rsidRDefault="00BF1B65" w:rsidP="00637050">
      <w:pPr>
        <w:pStyle w:val="ListParagraph"/>
        <w:spacing w:line="480" w:lineRule="auto"/>
        <w:ind w:left="0"/>
        <w:jc w:val="both"/>
      </w:pPr>
      <w:r w:rsidRPr="000E5DE9">
        <w:tab/>
      </w:r>
      <w:r w:rsidR="00981B94">
        <w:t>________________</w:t>
      </w:r>
      <w:r w:rsidRPr="000E5DE9">
        <w:t xml:space="preserve"> submitted extensive evidence of positive factors that outweigh the one negative aspect of her life in the U.S.  However, as previously noted, the denial does not discuss the content of any of the evidence.  It therefore appears that the adjudicating officer believes that the applicant’s prior </w:t>
      </w:r>
      <w:r w:rsidR="00F32230">
        <w:t xml:space="preserve">alleged </w:t>
      </w:r>
      <w:r w:rsidRPr="000E5DE9">
        <w:t>fraud conclusively bar</w:t>
      </w:r>
      <w:r w:rsidR="000D4B66">
        <w:t>s</w:t>
      </w:r>
      <w:r w:rsidRPr="000E5DE9">
        <w:t xml:space="preserve"> her from eligibility for an I-192 waiver.  This failure</w:t>
      </w:r>
      <w:r>
        <w:t xml:space="preserve"> </w:t>
      </w:r>
      <w:r w:rsidR="000D4B66">
        <w:t xml:space="preserve">to consider all </w:t>
      </w:r>
      <w:r w:rsidRPr="000E5DE9">
        <w:t>of the evidence submitted, and instead to consider only</w:t>
      </w:r>
      <w:r w:rsidR="004E0EA9">
        <w:t xml:space="preserve"> a </w:t>
      </w:r>
      <w:r w:rsidRPr="000E5DE9">
        <w:t xml:space="preserve"> negative factor, is an abuse of discretion.</w:t>
      </w:r>
      <w:r w:rsidR="000D4B66">
        <w:t xml:space="preserve"> </w:t>
      </w:r>
      <w:r w:rsidR="000D4B66">
        <w:rPr>
          <w:i/>
        </w:rPr>
        <w:t>Urbina-Osejo v. INS</w:t>
      </w:r>
      <w:r w:rsidR="000D4B66">
        <w:t>, 124 F.3d 1314 (9</w:t>
      </w:r>
      <w:r w:rsidR="000D4B66" w:rsidRPr="000D4B66">
        <w:rPr>
          <w:vertAlign w:val="superscript"/>
        </w:rPr>
        <w:t>th</w:t>
      </w:r>
      <w:r w:rsidR="000D4B66">
        <w:t xml:space="preserve"> Cir. 1997).</w:t>
      </w:r>
    </w:p>
    <w:p w14:paraId="31FCD02D" w14:textId="24044F4B" w:rsidR="00BF1B65" w:rsidRPr="000E5DE9" w:rsidRDefault="00BF1B65" w:rsidP="00637050">
      <w:pPr>
        <w:pStyle w:val="ListParagraph"/>
        <w:numPr>
          <w:ilvl w:val="0"/>
          <w:numId w:val="5"/>
        </w:numPr>
        <w:jc w:val="both"/>
        <w:rPr>
          <w:u w:val="single"/>
        </w:rPr>
      </w:pPr>
      <w:r w:rsidRPr="000E5DE9">
        <w:rPr>
          <w:b/>
          <w:u w:val="single"/>
        </w:rPr>
        <w:t>The denial summarily dismisses e</w:t>
      </w:r>
      <w:r w:rsidR="000D4B66">
        <w:rPr>
          <w:b/>
          <w:u w:val="single"/>
        </w:rPr>
        <w:t xml:space="preserve">vidence of </w:t>
      </w:r>
      <w:r w:rsidR="00981B94">
        <w:rPr>
          <w:b/>
          <w:u w:val="single"/>
        </w:rPr>
        <w:t>________________</w:t>
      </w:r>
      <w:r w:rsidR="000D4B66">
        <w:rPr>
          <w:b/>
          <w:u w:val="single"/>
        </w:rPr>
        <w:t>’s U.S. C</w:t>
      </w:r>
      <w:r w:rsidRPr="000E5DE9">
        <w:rPr>
          <w:b/>
          <w:u w:val="single"/>
        </w:rPr>
        <w:t>itizen Spouse</w:t>
      </w:r>
      <w:r w:rsidRPr="000E5DE9">
        <w:rPr>
          <w:u w:val="single"/>
        </w:rPr>
        <w:t>.</w:t>
      </w:r>
    </w:p>
    <w:p w14:paraId="4ACB1AD9" w14:textId="77777777" w:rsidR="00BF1B65" w:rsidRPr="000E5DE9" w:rsidRDefault="00BF1B65" w:rsidP="00637050">
      <w:pPr>
        <w:pStyle w:val="ListParagraph"/>
        <w:ind w:left="1987"/>
        <w:jc w:val="both"/>
        <w:rPr>
          <w:u w:val="single"/>
        </w:rPr>
      </w:pPr>
    </w:p>
    <w:p w14:paraId="6CD1E220" w14:textId="601F5723" w:rsidR="00BF1B65" w:rsidRPr="000E5DE9" w:rsidRDefault="00BF1B65" w:rsidP="00637050">
      <w:pPr>
        <w:pStyle w:val="ListParagraph"/>
        <w:spacing w:line="480" w:lineRule="auto"/>
        <w:ind w:left="0"/>
        <w:jc w:val="both"/>
      </w:pPr>
      <w:r w:rsidRPr="000E5DE9">
        <w:tab/>
        <w:t xml:space="preserve">In response to the NOIDs </w:t>
      </w:r>
      <w:r w:rsidR="00981B94">
        <w:t>________________</w:t>
      </w:r>
      <w:r w:rsidRPr="000E5DE9">
        <w:t xml:space="preserve"> submitted letters from her current spouse, </w:t>
      </w:r>
      <w:r w:rsidR="00981B94">
        <w:t>________________</w:t>
      </w:r>
      <w:r w:rsidR="00152325">
        <w:t xml:space="preserve"> (</w:t>
      </w:r>
      <w:r w:rsidR="00152325">
        <w:rPr>
          <w:i/>
        </w:rPr>
        <w:t xml:space="preserve">see </w:t>
      </w:r>
      <w:r w:rsidR="00753B70">
        <w:rPr>
          <w:b/>
        </w:rPr>
        <w:t>Exhibit 7</w:t>
      </w:r>
      <w:r w:rsidR="00152325" w:rsidRPr="001E6E78">
        <w:t>)</w:t>
      </w:r>
      <w:r w:rsidRPr="000E5DE9">
        <w:t xml:space="preserve">.  </w:t>
      </w:r>
      <w:r w:rsidR="00981B94">
        <w:t>________________</w:t>
      </w:r>
      <w:r w:rsidRPr="000E5DE9">
        <w:t xml:space="preserve"> details that he is extremely happy being married to </w:t>
      </w:r>
      <w:r w:rsidR="00981B94">
        <w:t>________________</w:t>
      </w:r>
      <w:r w:rsidRPr="000E5DE9">
        <w:t xml:space="preserve"> and that he is thankful for her presence because after his cancer diagnosis, “. . . she .  . . took part in taking care of me throughout my recovery after the surgery.” </w:t>
      </w:r>
      <w:r w:rsidR="00152325">
        <w:t xml:space="preserve"> </w:t>
      </w:r>
      <w:r w:rsidR="00714544">
        <w:rPr>
          <w:i/>
        </w:rPr>
        <w:t>Id</w:t>
      </w:r>
      <w:r w:rsidR="00152325">
        <w:rPr>
          <w:i/>
        </w:rPr>
        <w:t xml:space="preserve">.  </w:t>
      </w:r>
      <w:r w:rsidRPr="000E5DE9">
        <w:t>He clearly states that, “</w:t>
      </w:r>
      <w:r w:rsidR="00981B94">
        <w:t>___________</w:t>
      </w:r>
      <w:r w:rsidRPr="000E5DE9">
        <w:t xml:space="preserve"> is my love and I want her in my life </w:t>
      </w:r>
      <w:r w:rsidR="000D4B66">
        <w:t xml:space="preserve">forever.” </w:t>
      </w:r>
      <w:r w:rsidR="00152325">
        <w:t xml:space="preserve"> </w:t>
      </w:r>
      <w:r w:rsidR="00152325">
        <w:rPr>
          <w:i/>
        </w:rPr>
        <w:t xml:space="preserve">Id.  </w:t>
      </w:r>
      <w:r w:rsidRPr="000E5DE9">
        <w:t xml:space="preserve">In another statement, </w:t>
      </w:r>
      <w:r w:rsidR="00981B94">
        <w:t>________________</w:t>
      </w:r>
      <w:r w:rsidRPr="000E5DE9">
        <w:t xml:space="preserve"> further explains that after his first wife died he never thought that he’d marry again but after meeting </w:t>
      </w:r>
      <w:r w:rsidR="00981B94">
        <w:t>___________</w:t>
      </w:r>
      <w:r w:rsidRPr="000E5DE9">
        <w:t xml:space="preserve"> in church and being with her during Bible Study, that he “made the right choice in marrying </w:t>
      </w:r>
      <w:r w:rsidR="00981B94">
        <w:t>___________</w:t>
      </w:r>
      <w:r w:rsidRPr="000E5DE9">
        <w:t xml:space="preserve">.” </w:t>
      </w:r>
      <w:r w:rsidR="000D4B66">
        <w:t xml:space="preserve"> </w:t>
      </w:r>
      <w:r w:rsidR="00152325">
        <w:rPr>
          <w:i/>
        </w:rPr>
        <w:t xml:space="preserve">Id.  </w:t>
      </w:r>
      <w:r w:rsidR="00981B94">
        <w:t>________________</w:t>
      </w:r>
      <w:r w:rsidRPr="000E5DE9">
        <w:t xml:space="preserve"> knows </w:t>
      </w:r>
      <w:r w:rsidR="00981B94">
        <w:t>________________</w:t>
      </w:r>
      <w:r w:rsidRPr="000E5DE9">
        <w:t xml:space="preserve"> to be honest and he worries about his health should he have to go to Grenada with </w:t>
      </w:r>
      <w:r w:rsidR="006F11B6">
        <w:t xml:space="preserve">her </w:t>
      </w:r>
      <w:r w:rsidRPr="000E5DE9">
        <w:t xml:space="preserve">or how he would support her and himself if he remains </w:t>
      </w:r>
      <w:r w:rsidRPr="000E5DE9">
        <w:lastRenderedPageBreak/>
        <w:t xml:space="preserve">in the U.S. </w:t>
      </w:r>
      <w:r w:rsidR="00152325">
        <w:rPr>
          <w:i/>
        </w:rPr>
        <w:t xml:space="preserve">Id.  </w:t>
      </w:r>
      <w:r w:rsidR="00152325">
        <w:t>(</w:t>
      </w:r>
      <w:r w:rsidR="006F11B6">
        <w:rPr>
          <w:i/>
        </w:rPr>
        <w:t>See</w:t>
      </w:r>
      <w:r w:rsidR="00152325">
        <w:rPr>
          <w:i/>
        </w:rPr>
        <w:t xml:space="preserve"> also </w:t>
      </w:r>
      <w:r w:rsidR="00152325">
        <w:rPr>
          <w:b/>
        </w:rPr>
        <w:t>Exhibit</w:t>
      </w:r>
      <w:r w:rsidR="006F11B6">
        <w:rPr>
          <w:b/>
        </w:rPr>
        <w:t xml:space="preserve"> 16</w:t>
      </w:r>
      <w:r w:rsidR="00753B70">
        <w:t>, additional</w:t>
      </w:r>
      <w:r w:rsidR="00152325">
        <w:rPr>
          <w:b/>
          <w:i/>
        </w:rPr>
        <w:t xml:space="preserve"> </w:t>
      </w:r>
      <w:r w:rsidR="00152325" w:rsidRPr="00152325">
        <w:t>statement</w:t>
      </w:r>
      <w:r w:rsidR="00753B70">
        <w:t xml:space="preserve"> from </w:t>
      </w:r>
      <w:r w:rsidR="00981B94">
        <w:t>________________</w:t>
      </w:r>
      <w:r w:rsidR="00152325">
        <w:t>).</w:t>
      </w:r>
      <w:r w:rsidR="00181B2D">
        <w:rPr>
          <w:rStyle w:val="FootnoteReference"/>
        </w:rPr>
        <w:footnoteReference w:id="2"/>
      </w:r>
      <w:r w:rsidR="00152325">
        <w:t xml:space="preserve">  </w:t>
      </w:r>
      <w:r w:rsidRPr="00152325">
        <w:t>In</w:t>
      </w:r>
      <w:r w:rsidRPr="000E5DE9">
        <w:t xml:space="preserve"> addition to the letters submitted by her husband that describe her equities, </w:t>
      </w:r>
      <w:r w:rsidR="00981B94">
        <w:t>________________</w:t>
      </w:r>
      <w:r w:rsidRPr="000E5DE9">
        <w:t xml:space="preserve">’s own statements describe how her husband has </w:t>
      </w:r>
      <w:r w:rsidR="00181B2D">
        <w:t xml:space="preserve">had </w:t>
      </w:r>
      <w:r w:rsidRPr="000E5DE9">
        <w:t xml:space="preserve">a tremendously positive </w:t>
      </w:r>
      <w:r w:rsidR="00181B2D">
        <w:t>affect</w:t>
      </w:r>
      <w:r w:rsidR="00181B2D" w:rsidRPr="000E5DE9">
        <w:t xml:space="preserve"> </w:t>
      </w:r>
      <w:r w:rsidRPr="000E5DE9">
        <w:t xml:space="preserve">on her daughter, </w:t>
      </w:r>
      <w:r w:rsidR="00981B94">
        <w:t>___________</w:t>
      </w:r>
      <w:r w:rsidRPr="000E5DE9">
        <w:t>, who previously ran away from home and exhibited behavioral problems</w:t>
      </w:r>
      <w:r w:rsidR="00152325">
        <w:t xml:space="preserve"> (</w:t>
      </w:r>
      <w:r w:rsidR="00152325">
        <w:rPr>
          <w:i/>
        </w:rPr>
        <w:t xml:space="preserve">see </w:t>
      </w:r>
      <w:r w:rsidR="00152325">
        <w:rPr>
          <w:b/>
        </w:rPr>
        <w:t xml:space="preserve">Exhibit </w:t>
      </w:r>
      <w:r w:rsidR="00753B70">
        <w:rPr>
          <w:b/>
        </w:rPr>
        <w:t xml:space="preserve">1 </w:t>
      </w:r>
      <w:r w:rsidR="00753B70">
        <w:t xml:space="preserve">and </w:t>
      </w:r>
      <w:r w:rsidR="00753B70">
        <w:rPr>
          <w:b/>
        </w:rPr>
        <w:t>5</w:t>
      </w:r>
      <w:r w:rsidR="00152325">
        <w:t>)</w:t>
      </w:r>
      <w:r w:rsidRPr="000E5DE9">
        <w:t xml:space="preserve">.  The Service’s decision of denying </w:t>
      </w:r>
      <w:r w:rsidR="00981B94">
        <w:t>________________</w:t>
      </w:r>
      <w:r w:rsidRPr="000E5DE9">
        <w:t xml:space="preserve"> a waiver of inadmissibility utterly fails to discu</w:t>
      </w:r>
      <w:r w:rsidR="00714544">
        <w:t xml:space="preserve">ss any of this evidence of </w:t>
      </w:r>
      <w:r w:rsidR="00981B94">
        <w:t>________________</w:t>
      </w:r>
      <w:r w:rsidR="00714544">
        <w:t>’</w:t>
      </w:r>
      <w:r w:rsidRPr="000E5DE9">
        <w:t xml:space="preserve">s compelling reasons to remain in the United States and </w:t>
      </w:r>
      <w:r w:rsidR="000D4B66">
        <w:t xml:space="preserve">why her </w:t>
      </w:r>
      <w:r w:rsidR="00152325">
        <w:t xml:space="preserve">ties to the U.S. community were </w:t>
      </w:r>
      <w:r w:rsidRPr="000E5DE9">
        <w:t>insufficient.</w:t>
      </w:r>
    </w:p>
    <w:p w14:paraId="4ADCEA06" w14:textId="70FBE0FF" w:rsidR="00BF1B65" w:rsidRPr="00181B2D" w:rsidRDefault="00BF1B65" w:rsidP="00637050">
      <w:pPr>
        <w:suppressAutoHyphens w:val="0"/>
        <w:autoSpaceDE w:val="0"/>
        <w:autoSpaceDN w:val="0"/>
        <w:adjustRightInd w:val="0"/>
        <w:spacing w:line="480" w:lineRule="auto"/>
        <w:jc w:val="both"/>
        <w:rPr>
          <w:i/>
        </w:rPr>
      </w:pPr>
      <w:r w:rsidRPr="000E5DE9">
        <w:tab/>
      </w:r>
      <w:r w:rsidR="004E0EA9">
        <w:t>I</w:t>
      </w:r>
      <w:r w:rsidRPr="000E5DE9">
        <w:t xml:space="preserve">n </w:t>
      </w:r>
      <w:r w:rsidRPr="000D4B66">
        <w:rPr>
          <w:i/>
        </w:rPr>
        <w:t>Matter of Hranka</w:t>
      </w:r>
      <w:r w:rsidR="00152325">
        <w:t xml:space="preserve">, </w:t>
      </w:r>
      <w:r w:rsidR="004E0EA9">
        <w:t>t</w:t>
      </w:r>
      <w:r w:rsidR="004E0EA9">
        <w:t>he</w:t>
      </w:r>
      <w:r w:rsidR="004E0EA9" w:rsidRPr="000E5DE9">
        <w:t xml:space="preserve"> applicant</w:t>
      </w:r>
      <w:r w:rsidR="004E0EA9">
        <w:t>,</w:t>
      </w:r>
      <w:r w:rsidR="004E0EA9" w:rsidRPr="000E5DE9">
        <w:t xml:space="preserve"> </w:t>
      </w:r>
      <w:r w:rsidR="00152325">
        <w:t>who</w:t>
      </w:r>
      <w:r w:rsidRPr="000E5DE9">
        <w:t xml:space="preserve"> had no</w:t>
      </w:r>
      <w:r w:rsidR="007F61E6">
        <w:t xml:space="preserve"> U.S. spouse, </w:t>
      </w:r>
      <w:r w:rsidRPr="000E5DE9">
        <w:t xml:space="preserve">wished to enter the United States for social activities.  The </w:t>
      </w:r>
      <w:r w:rsidR="006F11B6">
        <w:t>BIA</w:t>
      </w:r>
      <w:r w:rsidRPr="000E5DE9">
        <w:t xml:space="preserve"> considered this reason sufficient for the applicant’s eligibility for a favorable discretionary determination.  The need to care for a sick spouse cannot be considered less weighty. </w:t>
      </w:r>
      <w:r w:rsidR="007F61E6">
        <w:t xml:space="preserve"> </w:t>
      </w:r>
      <w:r w:rsidRPr="000E5DE9">
        <w:t xml:space="preserve">In </w:t>
      </w:r>
      <w:r w:rsidRPr="000E5DE9">
        <w:rPr>
          <w:i/>
        </w:rPr>
        <w:t>Matter of Mendez Moralez</w:t>
      </w:r>
      <w:r w:rsidRPr="000E5DE9">
        <w:t>,</w:t>
      </w:r>
      <w:r>
        <w:t xml:space="preserve"> </w:t>
      </w:r>
      <w:r w:rsidRPr="000E5DE9">
        <w:t xml:space="preserve">at 302, the BIA noted, “The underlying significance of the adverse and favorable factors is also to be taken into account. </w:t>
      </w:r>
      <w:r w:rsidR="007F61E6">
        <w:t xml:space="preserve"> </w:t>
      </w:r>
      <w:r w:rsidRPr="000E5DE9">
        <w:t>For example, if the alien has relatives in the United States, the quality of their relationship must be considered in determining the weig</w:t>
      </w:r>
      <w:r w:rsidR="00637050">
        <w:t xml:space="preserve">ht to be awarded this equity.” </w:t>
      </w:r>
      <w:r w:rsidR="00714544">
        <w:t xml:space="preserve"> </w:t>
      </w:r>
      <w:r w:rsidR="00714544">
        <w:rPr>
          <w:i/>
        </w:rPr>
        <w:t xml:space="preserve">Id.  </w:t>
      </w:r>
      <w:r w:rsidR="007F61E6">
        <w:t xml:space="preserve"> </w:t>
      </w:r>
      <w:r w:rsidRPr="000E5DE9">
        <w:t>It is indisputable that a spousal relationship should be accorded the greatest possible weight.</w:t>
      </w:r>
      <w:r w:rsidR="00181B2D">
        <w:t xml:space="preserve"> </w:t>
      </w:r>
      <w:r w:rsidR="006F11B6">
        <w:t xml:space="preserve"> </w:t>
      </w:r>
      <w:r w:rsidR="00181B2D">
        <w:rPr>
          <w:i/>
        </w:rPr>
        <w:t>See Salcido-Salcido</w:t>
      </w:r>
      <w:r w:rsidR="00181B2D">
        <w:t xml:space="preserve"> </w:t>
      </w:r>
      <w:r w:rsidR="00181B2D">
        <w:rPr>
          <w:i/>
        </w:rPr>
        <w:t>v. INS</w:t>
      </w:r>
      <w:r w:rsidR="00181B2D">
        <w:t>, 138 F.3d 1292 (9</w:t>
      </w:r>
      <w:r w:rsidR="00181B2D" w:rsidRPr="00181B2D">
        <w:rPr>
          <w:vertAlign w:val="superscript"/>
        </w:rPr>
        <w:t>th</w:t>
      </w:r>
      <w:r w:rsidR="00181B2D">
        <w:t xml:space="preserve"> Cir. 1998) (separation from family may be “the most important single fact</w:t>
      </w:r>
      <w:r w:rsidR="0050640C">
        <w:t xml:space="preserve">or” when adjudicating waivers); </w:t>
      </w:r>
      <w:r w:rsidR="0050640C">
        <w:rPr>
          <w:i/>
        </w:rPr>
        <w:t>see also Duchesne v. Sugarman</w:t>
      </w:r>
      <w:r w:rsidR="0050640C">
        <w:t>, 566 F3d. 817 (2</w:t>
      </w:r>
      <w:r w:rsidR="0050640C" w:rsidRPr="0050640C">
        <w:rPr>
          <w:vertAlign w:val="superscript"/>
        </w:rPr>
        <w:t>nd</w:t>
      </w:r>
      <w:r w:rsidR="0050640C">
        <w:t xml:space="preserve"> Cir. 1977) (“We are concerned with the most essential and basic aspect of familial privacy . . . the right of the family to remain together without the coercive interference of the awesome power of the state.</w:t>
      </w:r>
      <w:r w:rsidR="0083413A">
        <w:t>”)</w:t>
      </w:r>
      <w:r w:rsidR="00181B2D">
        <w:t xml:space="preserve"> </w:t>
      </w:r>
    </w:p>
    <w:p w14:paraId="180AC086" w14:textId="77777777" w:rsidR="00BF1B65" w:rsidRPr="00BF1B65" w:rsidRDefault="00BF1B65" w:rsidP="00637050">
      <w:pPr>
        <w:pStyle w:val="ListParagraph"/>
        <w:numPr>
          <w:ilvl w:val="0"/>
          <w:numId w:val="5"/>
        </w:numPr>
        <w:jc w:val="both"/>
        <w:rPr>
          <w:u w:val="single"/>
        </w:rPr>
      </w:pPr>
      <w:r w:rsidRPr="00BF1B65">
        <w:rPr>
          <w:b/>
          <w:u w:val="single"/>
        </w:rPr>
        <w:t>The denial summarily dismisses other supporting evidence of positive equities</w:t>
      </w:r>
      <w:r w:rsidRPr="00BF1B65">
        <w:rPr>
          <w:u w:val="single"/>
        </w:rPr>
        <w:t>.</w:t>
      </w:r>
    </w:p>
    <w:p w14:paraId="6F888E12" w14:textId="77777777" w:rsidR="00BF1B65" w:rsidRPr="000E5DE9" w:rsidRDefault="00BF1B65" w:rsidP="00637050">
      <w:pPr>
        <w:pStyle w:val="ListParagraph"/>
        <w:ind w:left="1987"/>
        <w:jc w:val="both"/>
        <w:rPr>
          <w:u w:val="single"/>
        </w:rPr>
      </w:pPr>
    </w:p>
    <w:p w14:paraId="64BF4DFC" w14:textId="29D0ED70" w:rsidR="00BF1B65" w:rsidRDefault="00BF1B65" w:rsidP="00637050">
      <w:pPr>
        <w:pStyle w:val="ListParagraph"/>
        <w:spacing w:line="480" w:lineRule="auto"/>
        <w:ind w:left="0"/>
        <w:jc w:val="both"/>
      </w:pPr>
      <w:r w:rsidRPr="000E5DE9">
        <w:tab/>
        <w:t xml:space="preserve"> As additional evidence of her positive equities, </w:t>
      </w:r>
      <w:r w:rsidR="00981B94">
        <w:t>________________</w:t>
      </w:r>
      <w:r w:rsidRPr="000E5DE9">
        <w:t xml:space="preserve"> submitted a letter from her Church</w:t>
      </w:r>
      <w:r>
        <w:t xml:space="preserve"> and</w:t>
      </w:r>
      <w:r w:rsidRPr="000E5DE9">
        <w:t xml:space="preserve"> a letter from her landlord</w:t>
      </w:r>
      <w:r w:rsidR="007F61E6">
        <w:t xml:space="preserve"> (</w:t>
      </w:r>
      <w:r w:rsidR="007F61E6">
        <w:rPr>
          <w:i/>
        </w:rPr>
        <w:t xml:space="preserve">see </w:t>
      </w:r>
      <w:r w:rsidR="00753B70">
        <w:rPr>
          <w:b/>
        </w:rPr>
        <w:t>Exhibit 7 and 11</w:t>
      </w:r>
      <w:r w:rsidR="007F61E6">
        <w:t>).</w:t>
      </w:r>
      <w:r w:rsidRPr="000E5DE9">
        <w:t xml:space="preserve"> </w:t>
      </w:r>
      <w:r w:rsidR="007F61E6">
        <w:t xml:space="preserve"> </w:t>
      </w:r>
      <w:r w:rsidRPr="000E5DE9">
        <w:t xml:space="preserve">Her pastor confirms that </w:t>
      </w:r>
      <w:r w:rsidRPr="000E5DE9">
        <w:lastRenderedPageBreak/>
        <w:t xml:space="preserve">he has known </w:t>
      </w:r>
      <w:r w:rsidR="00981B94">
        <w:t>________________</w:t>
      </w:r>
      <w:r w:rsidRPr="00C70D06">
        <w:t xml:space="preserve"> for ten years and that she is a devoted member of the church who serves in the church ministry (</w:t>
      </w:r>
      <w:r w:rsidR="007F61E6">
        <w:rPr>
          <w:i/>
        </w:rPr>
        <w:t xml:space="preserve">see </w:t>
      </w:r>
      <w:r w:rsidR="00C70D06">
        <w:rPr>
          <w:b/>
        </w:rPr>
        <w:t xml:space="preserve">Exhibit </w:t>
      </w:r>
      <w:r w:rsidR="00753B70">
        <w:rPr>
          <w:b/>
        </w:rPr>
        <w:t>11</w:t>
      </w:r>
      <w:r w:rsidR="007F61E6">
        <w:rPr>
          <w:b/>
        </w:rPr>
        <w:t xml:space="preserve"> </w:t>
      </w:r>
      <w:r w:rsidR="007F61E6">
        <w:t>a</w:t>
      </w:r>
      <w:r w:rsidR="00C70D06">
        <w:t xml:space="preserve">nd </w:t>
      </w:r>
      <w:r w:rsidR="00C70D06">
        <w:rPr>
          <w:b/>
        </w:rPr>
        <w:t xml:space="preserve">Exhibit </w:t>
      </w:r>
      <w:r w:rsidR="00480E97">
        <w:rPr>
          <w:b/>
        </w:rPr>
        <w:t>18</w:t>
      </w:r>
      <w:r w:rsidRPr="000E5DE9">
        <w:t xml:space="preserve">).  Similarly, </w:t>
      </w:r>
      <w:r w:rsidR="00981B94">
        <w:t>________________</w:t>
      </w:r>
      <w:r w:rsidRPr="000E5DE9">
        <w:t>’s prior landlord knows her to be a model tenant who is a good mother to her children</w:t>
      </w:r>
      <w:r w:rsidR="007F61E6">
        <w:t xml:space="preserve"> (</w:t>
      </w:r>
      <w:r w:rsidR="007F61E6">
        <w:rPr>
          <w:i/>
        </w:rPr>
        <w:t xml:space="preserve">see </w:t>
      </w:r>
      <w:r w:rsidR="00753B70">
        <w:rPr>
          <w:b/>
        </w:rPr>
        <w:t>Exhibit 8</w:t>
      </w:r>
      <w:r w:rsidR="001E6E78">
        <w:t>.</w:t>
      </w:r>
      <w:r w:rsidR="00BC5A71">
        <w:rPr>
          <w:b/>
        </w:rPr>
        <w:t xml:space="preserve"> </w:t>
      </w:r>
      <w:r w:rsidR="00BC5A71" w:rsidRPr="00BC5A71">
        <w:rPr>
          <w:i/>
        </w:rPr>
        <w:t>See also</w:t>
      </w:r>
      <w:r w:rsidR="00BC5A71" w:rsidRPr="00BC5A71">
        <w:rPr>
          <w:b/>
        </w:rPr>
        <w:t xml:space="preserve"> Exhibits</w:t>
      </w:r>
      <w:r w:rsidR="006F11B6">
        <w:rPr>
          <w:b/>
        </w:rPr>
        <w:t xml:space="preserve"> 19</w:t>
      </w:r>
      <w:r w:rsidR="00753B70" w:rsidRPr="001E6E78">
        <w:t>,</w:t>
      </w:r>
      <w:r w:rsidR="00753B70">
        <w:rPr>
          <w:b/>
        </w:rPr>
        <w:t xml:space="preserve"> </w:t>
      </w:r>
      <w:r w:rsidR="00753B70" w:rsidRPr="00753B70">
        <w:t xml:space="preserve">other supporting statements on </w:t>
      </w:r>
      <w:r w:rsidR="00981B94">
        <w:t>________________</w:t>
      </w:r>
      <w:r w:rsidR="00753B70" w:rsidRPr="00753B70">
        <w:t>’s behalf attesting to her good character</w:t>
      </w:r>
      <w:r w:rsidR="007F61E6">
        <w:t>)</w:t>
      </w:r>
      <w:r w:rsidRPr="000E5DE9">
        <w:t xml:space="preserve">. </w:t>
      </w:r>
      <w:r w:rsidR="007F61E6">
        <w:t xml:space="preserve"> </w:t>
      </w:r>
      <w:r w:rsidRPr="000E5DE9">
        <w:t xml:space="preserve">In her own statement, </w:t>
      </w:r>
      <w:r w:rsidR="00981B94">
        <w:t>________________</w:t>
      </w:r>
      <w:r w:rsidRPr="000E5DE9">
        <w:t xml:space="preserve"> discusses her participation in church life, including being involved in preparing for weekly services and singing in the choir</w:t>
      </w:r>
      <w:r w:rsidR="007F61E6">
        <w:t xml:space="preserve"> (</w:t>
      </w:r>
      <w:r w:rsidR="007F61E6">
        <w:rPr>
          <w:i/>
        </w:rPr>
        <w:t xml:space="preserve">see </w:t>
      </w:r>
      <w:r w:rsidR="00753B70">
        <w:rPr>
          <w:b/>
        </w:rPr>
        <w:t xml:space="preserve">Exhibit 1 </w:t>
      </w:r>
      <w:r w:rsidR="00753B70">
        <w:t xml:space="preserve">and </w:t>
      </w:r>
      <w:r w:rsidR="00753B70">
        <w:rPr>
          <w:b/>
        </w:rPr>
        <w:t>5</w:t>
      </w:r>
      <w:r w:rsidR="007F61E6" w:rsidRPr="007F61E6">
        <w:t>)</w:t>
      </w:r>
      <w:r w:rsidRPr="000E5DE9">
        <w:t xml:space="preserve">. Moreover, for over a year, </w:t>
      </w:r>
      <w:r w:rsidR="00981B94">
        <w:t>________________</w:t>
      </w:r>
      <w:r w:rsidRPr="000E5DE9">
        <w:t xml:space="preserve"> has been the caretaker for a disabled child.  </w:t>
      </w:r>
      <w:r w:rsidR="007F61E6">
        <w:rPr>
          <w:i/>
        </w:rPr>
        <w:t xml:space="preserve">Id.  </w:t>
      </w:r>
      <w:r w:rsidRPr="000E5DE9">
        <w:t>In this role, she has received several certificates of completion for ongoing training on how to work with children with special needs</w:t>
      </w:r>
      <w:r w:rsidR="007F61E6">
        <w:t xml:space="preserve"> (</w:t>
      </w:r>
      <w:r w:rsidR="007F61E6">
        <w:rPr>
          <w:i/>
        </w:rPr>
        <w:t xml:space="preserve">see </w:t>
      </w:r>
      <w:r w:rsidR="007F61E6" w:rsidRPr="007F61E6">
        <w:rPr>
          <w:b/>
        </w:rPr>
        <w:t>Exhibit 1</w:t>
      </w:r>
      <w:r w:rsidR="00753B70">
        <w:rPr>
          <w:b/>
        </w:rPr>
        <w:t>2</w:t>
      </w:r>
      <w:r w:rsidR="007F61E6">
        <w:rPr>
          <w:i/>
        </w:rPr>
        <w:t>)</w:t>
      </w:r>
      <w:r w:rsidRPr="000E5DE9">
        <w:t xml:space="preserve">. </w:t>
      </w:r>
      <w:r w:rsidR="006F11B6">
        <w:t xml:space="preserve"> </w:t>
      </w:r>
      <w:r w:rsidRPr="000E5DE9">
        <w:t xml:space="preserve">Each of these pieces of evidence </w:t>
      </w:r>
      <w:r w:rsidR="00BC5A71" w:rsidRPr="000E5DE9">
        <w:t>corroborates</w:t>
      </w:r>
      <w:r w:rsidRPr="000E5DE9">
        <w:t xml:space="preserve"> </w:t>
      </w:r>
      <w:r w:rsidR="00981B94">
        <w:t>________________</w:t>
      </w:r>
      <w:r w:rsidRPr="000E5DE9">
        <w:t xml:space="preserve">’s positive equities. </w:t>
      </w:r>
      <w:r w:rsidR="007F61E6">
        <w:t xml:space="preserve"> </w:t>
      </w:r>
      <w:r w:rsidRPr="000E5DE9">
        <w:t xml:space="preserve">The Service’s denial, however, does not address any of this information and why such evidence does not overcome the one negative factor in </w:t>
      </w:r>
      <w:r w:rsidR="00981B94">
        <w:t>________________</w:t>
      </w:r>
      <w:r w:rsidRPr="000E5DE9">
        <w:t xml:space="preserve">’s past. </w:t>
      </w:r>
    </w:p>
    <w:p w14:paraId="11DE660D" w14:textId="424FF794" w:rsidR="008E3506" w:rsidRDefault="008E3506" w:rsidP="008E3506">
      <w:pPr>
        <w:pStyle w:val="ListParagraph"/>
        <w:numPr>
          <w:ilvl w:val="0"/>
          <w:numId w:val="1"/>
        </w:numPr>
        <w:jc w:val="both"/>
        <w:rPr>
          <w:u w:val="single"/>
        </w:rPr>
      </w:pPr>
      <w:r>
        <w:rPr>
          <w:u w:val="single"/>
        </w:rPr>
        <w:t xml:space="preserve">THE SERVICE’S </w:t>
      </w:r>
      <w:r w:rsidR="00181B2D">
        <w:rPr>
          <w:u w:val="single"/>
        </w:rPr>
        <w:t xml:space="preserve">CONCLUSION </w:t>
      </w:r>
      <w:r>
        <w:rPr>
          <w:u w:val="single"/>
        </w:rPr>
        <w:t xml:space="preserve">THAT </w:t>
      </w:r>
      <w:r w:rsidR="00981B94">
        <w:rPr>
          <w:u w:val="single"/>
        </w:rPr>
        <w:t>________________</w:t>
      </w:r>
      <w:r>
        <w:rPr>
          <w:u w:val="single"/>
        </w:rPr>
        <w:t xml:space="preserve"> IS INELIGLE FOR U STATUS BECAUSE OF MARRIAGE FRAUD MISAPPLIES THE LAW</w:t>
      </w:r>
    </w:p>
    <w:p w14:paraId="595DC781" w14:textId="77777777" w:rsidR="008E3506" w:rsidRDefault="008E3506" w:rsidP="008E3506">
      <w:pPr>
        <w:pStyle w:val="ListParagraph"/>
        <w:jc w:val="both"/>
        <w:rPr>
          <w:u w:val="single"/>
        </w:rPr>
      </w:pPr>
    </w:p>
    <w:p w14:paraId="3749F0C8" w14:textId="0A77110D" w:rsidR="00AD76A5" w:rsidRDefault="00981B94" w:rsidP="00AD76A5">
      <w:pPr>
        <w:spacing w:line="480" w:lineRule="auto"/>
        <w:ind w:firstLine="720"/>
        <w:jc w:val="both"/>
      </w:pPr>
      <w:r>
        <w:t>________________</w:t>
      </w:r>
      <w:r w:rsidR="008E3506">
        <w:t xml:space="preserve"> is not inadmissible for marriage fraud. The marriage fraud prohibition </w:t>
      </w:r>
      <w:r w:rsidR="004E0EA9">
        <w:t xml:space="preserve">at </w:t>
      </w:r>
      <w:r w:rsidR="008E3506">
        <w:t>§</w:t>
      </w:r>
      <w:r w:rsidR="008E3506" w:rsidRPr="00662553">
        <w:t xml:space="preserve">204(c) </w:t>
      </w:r>
      <w:r w:rsidR="008E3506">
        <w:t xml:space="preserve">is </w:t>
      </w:r>
      <w:r w:rsidR="008E3506" w:rsidRPr="00662553">
        <w:t xml:space="preserve">a non-waivable bar to approval of </w:t>
      </w:r>
      <w:r w:rsidR="008E3506" w:rsidRPr="004B145B">
        <w:rPr>
          <w:i/>
        </w:rPr>
        <w:t>immigrant petitions</w:t>
      </w:r>
      <w:r w:rsidR="008E3506" w:rsidRPr="00662553">
        <w:t xml:space="preserve"> filed under INA </w:t>
      </w:r>
      <w:r w:rsidR="008E3506">
        <w:t>§</w:t>
      </w:r>
      <w:r w:rsidR="008E3506" w:rsidRPr="00662553">
        <w:t xml:space="preserve">204.  </w:t>
      </w:r>
      <w:r w:rsidR="00AD76A5">
        <w:t xml:space="preserve">The </w:t>
      </w:r>
      <w:r w:rsidR="00F32230">
        <w:t>BIA</w:t>
      </w:r>
      <w:r w:rsidR="00AD76A5">
        <w:t xml:space="preserve"> and the courts have repeatedly held that INA §204(c) </w:t>
      </w:r>
      <w:r w:rsidR="00AD76A5" w:rsidRPr="00AD76A5">
        <w:rPr>
          <w:u w:val="single"/>
        </w:rPr>
        <w:t>only</w:t>
      </w:r>
      <w:r w:rsidR="00AD76A5">
        <w:t xml:space="preserve"> applies to immigrant visa petitions.  In </w:t>
      </w:r>
      <w:r w:rsidR="00AD76A5">
        <w:rPr>
          <w:i/>
        </w:rPr>
        <w:t>Matter of Tawfik</w:t>
      </w:r>
      <w:r w:rsidR="00AD76A5">
        <w:t>,</w:t>
      </w:r>
      <w:r w:rsidR="00AD76A5">
        <w:rPr>
          <w:i/>
        </w:rPr>
        <w:t xml:space="preserve"> </w:t>
      </w:r>
      <w:r w:rsidR="00AD76A5">
        <w:t xml:space="preserve">the BIA ruled that “Section 204(c) of the Act, 8 U.S.C. § 1154(c) (1988), prohibits the approval of a visa petition filed on behalf of an alien who has attempted or conspired to enter into a marriage for the purpose of evading the immigration laws. Accordingly, the district director must deny any subsequent visa petition </w:t>
      </w:r>
      <w:r w:rsidR="00AD76A5" w:rsidRPr="00AD76A5">
        <w:rPr>
          <w:i/>
        </w:rPr>
        <w:t>for immigrant classification</w:t>
      </w:r>
      <w:r w:rsidR="00AD76A5">
        <w:t xml:space="preserve"> filed on behalf of such alien, regardless of whether the alien received a benefit through the attempt or conspiracy.” 20 I &amp; N Dec. 166 (BIA 1990). Similarly, the federal courts </w:t>
      </w:r>
      <w:r w:rsidR="00AD76A5">
        <w:lastRenderedPageBreak/>
        <w:t xml:space="preserve">have stated that INA §204(c) bars approval of I-140 and I-130 </w:t>
      </w:r>
      <w:r w:rsidR="00AD76A5" w:rsidRPr="00AD76A5">
        <w:rPr>
          <w:i/>
        </w:rPr>
        <w:t>immigrant</w:t>
      </w:r>
      <w:r w:rsidR="00AD76A5">
        <w:t xml:space="preserve"> petitions, which are filed pursuant to INA §204.  </w:t>
      </w:r>
      <w:r w:rsidR="00AD76A5">
        <w:rPr>
          <w:i/>
        </w:rPr>
        <w:t>See Oddo v. Reno</w:t>
      </w:r>
      <w:r w:rsidR="00AD76A5">
        <w:t xml:space="preserve">, 17 F. Supp.2d 529 (E.D. Va 1998); </w:t>
      </w:r>
      <w:r w:rsidR="00AD76A5">
        <w:rPr>
          <w:i/>
        </w:rPr>
        <w:t>Ghaly v INS.</w:t>
      </w:r>
      <w:r w:rsidR="00AD76A5">
        <w:t>, 48 F.3d 1426 (7</w:t>
      </w:r>
      <w:r w:rsidR="00AD76A5" w:rsidRPr="00902DAA">
        <w:rPr>
          <w:vertAlign w:val="superscript"/>
        </w:rPr>
        <w:t>th</w:t>
      </w:r>
      <w:r w:rsidR="00AD76A5">
        <w:t xml:space="preserve"> Cir. 1995).</w:t>
      </w:r>
    </w:p>
    <w:p w14:paraId="2AA6FE73" w14:textId="0B5213CC" w:rsidR="00AD76A5" w:rsidRPr="00AD76A5" w:rsidRDefault="00AD76A5" w:rsidP="00AD76A5">
      <w:pPr>
        <w:spacing w:line="480" w:lineRule="auto"/>
        <w:ind w:firstLine="720"/>
        <w:jc w:val="both"/>
      </w:pPr>
      <w:r w:rsidRPr="00902DAA">
        <w:t xml:space="preserve">The </w:t>
      </w:r>
      <w:r>
        <w:t>AAO</w:t>
      </w:r>
      <w:r w:rsidRPr="00D352D5">
        <w:t xml:space="preserve"> has also ruled that</w:t>
      </w:r>
      <w:r w:rsidRPr="005D2E67">
        <w:t xml:space="preserve"> </w:t>
      </w:r>
      <w:r>
        <w:t xml:space="preserve">applicants for nonimmigrant visas are </w:t>
      </w:r>
      <w:r w:rsidRPr="00CD4695">
        <w:rPr>
          <w:b/>
        </w:rPr>
        <w:t>not</w:t>
      </w:r>
      <w:r>
        <w:t xml:space="preserve"> subject to the prohibition outlined in §204(c). </w:t>
      </w:r>
      <w:r w:rsidR="00AE25CB">
        <w:t xml:space="preserve"> </w:t>
      </w:r>
      <w:r>
        <w:t>In a decision dated October 18, 2011, the AAO refused to uphold the denial of a K-1 nonimmigrant visa petition, where the petitioner claimed that she had married the beneficiary solely for immigration purposes (</w:t>
      </w:r>
      <w:r>
        <w:rPr>
          <w:i/>
        </w:rPr>
        <w:t xml:space="preserve">see </w:t>
      </w:r>
      <w:r>
        <w:t xml:space="preserve">AAO Decision of October 18, 2011 at </w:t>
      </w:r>
      <w:r>
        <w:rPr>
          <w:b/>
        </w:rPr>
        <w:t>Exhibit 15</w:t>
      </w:r>
      <w:r>
        <w:t>).</w:t>
      </w:r>
    </w:p>
    <w:p w14:paraId="0B24E903" w14:textId="1424A742" w:rsidR="008E3506" w:rsidRDefault="00981B94" w:rsidP="008E3506">
      <w:pPr>
        <w:spacing w:line="480" w:lineRule="auto"/>
        <w:ind w:firstLine="720"/>
        <w:jc w:val="both"/>
      </w:pPr>
      <w:r>
        <w:t>________________</w:t>
      </w:r>
      <w:r w:rsidR="008E3506">
        <w:t xml:space="preserve"> has submitted Form I-918, a</w:t>
      </w:r>
      <w:r w:rsidR="00AD76A5">
        <w:t xml:space="preserve"> nonimmigrant petition</w:t>
      </w:r>
      <w:r w:rsidR="008E3506" w:rsidRPr="00662553">
        <w:t xml:space="preserve"> </w:t>
      </w:r>
      <w:r w:rsidR="00AD76A5">
        <w:t xml:space="preserve">pursuant to </w:t>
      </w:r>
      <w:r w:rsidR="008E3506">
        <w:t xml:space="preserve">INA §214. The </w:t>
      </w:r>
      <w:r w:rsidR="00AD76A5">
        <w:t>proscription outlined at</w:t>
      </w:r>
      <w:r w:rsidR="008E3506">
        <w:t xml:space="preserve"> INA §204(c) barring approval </w:t>
      </w:r>
      <w:r w:rsidR="00AD76A5">
        <w:t xml:space="preserve">of </w:t>
      </w:r>
      <w:r w:rsidR="00AD76A5">
        <w:rPr>
          <w:b/>
        </w:rPr>
        <w:t xml:space="preserve">immigrant </w:t>
      </w:r>
      <w:r w:rsidR="00AD76A5">
        <w:t xml:space="preserve">visa petitions is inapplicable to </w:t>
      </w:r>
      <w:r>
        <w:t>________________</w:t>
      </w:r>
      <w:r w:rsidR="00AD76A5">
        <w:t xml:space="preserve">’s case since she has </w:t>
      </w:r>
      <w:r w:rsidR="00AD76A5" w:rsidRPr="00662553">
        <w:t xml:space="preserve">filed a nonimmigrant </w:t>
      </w:r>
      <w:r w:rsidR="00AD76A5">
        <w:t xml:space="preserve">visa </w:t>
      </w:r>
      <w:r w:rsidR="00AD76A5" w:rsidRPr="00662553">
        <w:t>petition</w:t>
      </w:r>
      <w:r w:rsidR="00AD76A5">
        <w:t xml:space="preserve">.  INA §204(c), therefore, cannot be a basis to deny </w:t>
      </w:r>
      <w:r>
        <w:t>________________</w:t>
      </w:r>
      <w:r w:rsidR="008E3506">
        <w:t xml:space="preserve"> U</w:t>
      </w:r>
      <w:r w:rsidR="00AD76A5">
        <w:t xml:space="preserve"> status.</w:t>
      </w:r>
    </w:p>
    <w:p w14:paraId="374E382D" w14:textId="77777777" w:rsidR="008E3506" w:rsidRDefault="008E3506" w:rsidP="008E3506">
      <w:pPr>
        <w:pStyle w:val="ListParagraph"/>
        <w:jc w:val="both"/>
        <w:rPr>
          <w:u w:val="single"/>
        </w:rPr>
      </w:pPr>
    </w:p>
    <w:p w14:paraId="5D89F76D" w14:textId="77777777" w:rsidR="007F61E6" w:rsidRDefault="00BF1B65" w:rsidP="007F61E6">
      <w:pPr>
        <w:pStyle w:val="ListParagraph"/>
        <w:numPr>
          <w:ilvl w:val="0"/>
          <w:numId w:val="1"/>
        </w:numPr>
        <w:jc w:val="both"/>
        <w:rPr>
          <w:u w:val="single"/>
        </w:rPr>
      </w:pPr>
      <w:r w:rsidRPr="00BF1B65">
        <w:rPr>
          <w:u w:val="single"/>
        </w:rPr>
        <w:t>THE SERVICE’S DENIAL IS CONTRARY TO THE INTENT OF CONGRESS TO LIBERALLY PROVIDE WAIVERS OF</w:t>
      </w:r>
      <w:r w:rsidR="007F61E6">
        <w:rPr>
          <w:u w:val="single"/>
        </w:rPr>
        <w:t xml:space="preserve"> INADMISSIBLITY TO U APPLICANTS</w:t>
      </w:r>
    </w:p>
    <w:p w14:paraId="6BB2D6C1" w14:textId="77777777" w:rsidR="007F61E6" w:rsidRDefault="007F61E6" w:rsidP="007F61E6">
      <w:pPr>
        <w:pStyle w:val="ListParagraph"/>
        <w:jc w:val="both"/>
        <w:rPr>
          <w:u w:val="single"/>
        </w:rPr>
      </w:pPr>
    </w:p>
    <w:p w14:paraId="46E5A9DE" w14:textId="77777777" w:rsidR="007F61E6" w:rsidRDefault="007F61E6" w:rsidP="007F61E6">
      <w:pPr>
        <w:pStyle w:val="ListParagraph"/>
        <w:jc w:val="both"/>
        <w:rPr>
          <w:u w:val="single"/>
        </w:rPr>
      </w:pPr>
    </w:p>
    <w:p w14:paraId="08EBC348" w14:textId="725A8C67" w:rsidR="00393E85" w:rsidRPr="007F61E6" w:rsidRDefault="007F61E6" w:rsidP="007F61E6">
      <w:pPr>
        <w:pStyle w:val="ListParagraph"/>
        <w:spacing w:line="480" w:lineRule="auto"/>
        <w:ind w:left="0"/>
        <w:jc w:val="both"/>
        <w:rPr>
          <w:u w:val="single"/>
        </w:rPr>
      </w:pPr>
      <w:r>
        <w:rPr>
          <w:color w:val="000000"/>
          <w:lang w:eastAsia="en-US"/>
        </w:rPr>
        <w:tab/>
      </w:r>
      <w:r w:rsidR="00393E85" w:rsidRPr="007F61E6">
        <w:rPr>
          <w:color w:val="000000"/>
          <w:lang w:eastAsia="en-US"/>
        </w:rPr>
        <w:t xml:space="preserve">Pursuant to INA §212(d)(14), an applicant for U Nonimmigrant Status may request a waiver of all grounds of inadmissibility except </w:t>
      </w:r>
      <w:r w:rsidR="004E0EA9">
        <w:rPr>
          <w:color w:val="000000"/>
          <w:lang w:eastAsia="en-US"/>
        </w:rPr>
        <w:t xml:space="preserve">the inadmissibility factors outlined in </w:t>
      </w:r>
      <w:r w:rsidR="00393E85" w:rsidRPr="007F61E6">
        <w:rPr>
          <w:color w:val="000000"/>
          <w:lang w:eastAsia="en-US"/>
        </w:rPr>
        <w:t>INA §212(a)(3)(E)</w:t>
      </w:r>
      <w:r w:rsidR="00393E85" w:rsidRPr="007F61E6">
        <w:rPr>
          <w:color w:val="000000"/>
          <w:spacing w:val="2"/>
          <w:lang w:eastAsia="en-US"/>
        </w:rPr>
        <w:t xml:space="preserve"> that r</w:t>
      </w:r>
      <w:r w:rsidR="00393E85" w:rsidRPr="007F61E6">
        <w:rPr>
          <w:color w:val="000000"/>
          <w:spacing w:val="-1"/>
          <w:lang w:eastAsia="en-US"/>
        </w:rPr>
        <w:t>ef</w:t>
      </w:r>
      <w:r w:rsidR="00393E85" w:rsidRPr="007F61E6">
        <w:rPr>
          <w:color w:val="000000"/>
          <w:spacing w:val="1"/>
          <w:lang w:eastAsia="en-US"/>
        </w:rPr>
        <w:t>e</w:t>
      </w:r>
      <w:r w:rsidR="00393E85" w:rsidRPr="007F61E6">
        <w:rPr>
          <w:color w:val="000000"/>
          <w:spacing w:val="-1"/>
          <w:lang w:eastAsia="en-US"/>
        </w:rPr>
        <w:t>r</w:t>
      </w:r>
      <w:r w:rsidR="00393E85" w:rsidRPr="007F61E6">
        <w:rPr>
          <w:color w:val="000000"/>
          <w:lang w:eastAsia="en-US"/>
        </w:rPr>
        <w:t>s</w:t>
      </w:r>
      <w:r w:rsidR="00393E85" w:rsidRPr="007F61E6">
        <w:rPr>
          <w:color w:val="000000"/>
          <w:spacing w:val="3"/>
          <w:lang w:eastAsia="en-US"/>
        </w:rPr>
        <w:t xml:space="preserve"> </w:t>
      </w:r>
      <w:r w:rsidR="004E0EA9">
        <w:rPr>
          <w:color w:val="000000"/>
          <w:lang w:eastAsia="en-US"/>
        </w:rPr>
        <w:t>to participation</w:t>
      </w:r>
      <w:r w:rsidR="00393E85" w:rsidRPr="007F61E6">
        <w:rPr>
          <w:color w:val="000000"/>
          <w:lang w:eastAsia="en-US"/>
        </w:rPr>
        <w:t xml:space="preserve"> </w:t>
      </w:r>
      <w:r w:rsidR="004E0EA9">
        <w:rPr>
          <w:color w:val="000000"/>
          <w:lang w:eastAsia="en-US"/>
        </w:rPr>
        <w:t>“</w:t>
      </w:r>
      <w:r w:rsidR="00393E85" w:rsidRPr="007F61E6">
        <w:rPr>
          <w:color w:val="000000"/>
          <w:lang w:eastAsia="en-US"/>
        </w:rPr>
        <w:t>in N</w:t>
      </w:r>
      <w:r w:rsidR="00393E85" w:rsidRPr="007F61E6">
        <w:rPr>
          <w:color w:val="000000"/>
          <w:spacing w:val="-1"/>
          <w:lang w:eastAsia="en-US"/>
        </w:rPr>
        <w:t>a</w:t>
      </w:r>
      <w:r w:rsidR="00393E85" w:rsidRPr="007F61E6">
        <w:rPr>
          <w:color w:val="000000"/>
          <w:spacing w:val="1"/>
          <w:lang w:eastAsia="en-US"/>
        </w:rPr>
        <w:t>z</w:t>
      </w:r>
      <w:r w:rsidR="00393E85" w:rsidRPr="007F61E6">
        <w:rPr>
          <w:color w:val="000000"/>
          <w:lang w:eastAsia="en-US"/>
        </w:rPr>
        <w:t>i p</w:t>
      </w:r>
      <w:r w:rsidR="00393E85" w:rsidRPr="007F61E6">
        <w:rPr>
          <w:color w:val="000000"/>
          <w:spacing w:val="-1"/>
          <w:lang w:eastAsia="en-US"/>
        </w:rPr>
        <w:t>er</w:t>
      </w:r>
      <w:r w:rsidR="00393E85" w:rsidRPr="007F61E6">
        <w:rPr>
          <w:color w:val="000000"/>
          <w:lang w:eastAsia="en-US"/>
        </w:rPr>
        <w:t>s</w:t>
      </w:r>
      <w:r w:rsidR="00393E85" w:rsidRPr="007F61E6">
        <w:rPr>
          <w:color w:val="000000"/>
          <w:spacing w:val="-1"/>
          <w:lang w:eastAsia="en-US"/>
        </w:rPr>
        <w:t>ec</w:t>
      </w:r>
      <w:r w:rsidR="00393E85" w:rsidRPr="007F61E6">
        <w:rPr>
          <w:color w:val="000000"/>
          <w:lang w:eastAsia="en-US"/>
        </w:rPr>
        <w:t>ution,</w:t>
      </w:r>
      <w:r w:rsidR="00393E85" w:rsidRPr="007F61E6">
        <w:rPr>
          <w:color w:val="000000"/>
          <w:spacing w:val="2"/>
          <w:lang w:eastAsia="en-US"/>
        </w:rPr>
        <w:t xml:space="preserve"> </w:t>
      </w:r>
      <w:r w:rsidR="00393E85" w:rsidRPr="007F61E6">
        <w:rPr>
          <w:color w:val="000000"/>
          <w:spacing w:val="-2"/>
          <w:lang w:eastAsia="en-US"/>
        </w:rPr>
        <w:t>g</w:t>
      </w:r>
      <w:r w:rsidR="00393E85" w:rsidRPr="007F61E6">
        <w:rPr>
          <w:color w:val="000000"/>
          <w:spacing w:val="-1"/>
          <w:lang w:eastAsia="en-US"/>
        </w:rPr>
        <w:t>e</w:t>
      </w:r>
      <w:r w:rsidR="00393E85" w:rsidRPr="007F61E6">
        <w:rPr>
          <w:color w:val="000000"/>
          <w:lang w:eastAsia="en-US"/>
        </w:rPr>
        <w:t>n</w:t>
      </w:r>
      <w:r w:rsidR="00393E85" w:rsidRPr="007F61E6">
        <w:rPr>
          <w:color w:val="000000"/>
          <w:spacing w:val="2"/>
          <w:lang w:eastAsia="en-US"/>
        </w:rPr>
        <w:t>o</w:t>
      </w:r>
      <w:r w:rsidR="00393E85" w:rsidRPr="007F61E6">
        <w:rPr>
          <w:color w:val="000000"/>
          <w:spacing w:val="-1"/>
          <w:lang w:eastAsia="en-US"/>
        </w:rPr>
        <w:t>c</w:t>
      </w:r>
      <w:r w:rsidR="00393E85" w:rsidRPr="007F61E6">
        <w:rPr>
          <w:color w:val="000000"/>
          <w:lang w:eastAsia="en-US"/>
        </w:rPr>
        <w:t>id</w:t>
      </w:r>
      <w:r w:rsidR="00393E85" w:rsidRPr="007F61E6">
        <w:rPr>
          <w:color w:val="000000"/>
          <w:spacing w:val="-1"/>
          <w:lang w:eastAsia="en-US"/>
        </w:rPr>
        <w:t>e</w:t>
      </w:r>
      <w:r w:rsidR="00393E85" w:rsidRPr="007F61E6">
        <w:rPr>
          <w:color w:val="000000"/>
          <w:lang w:eastAsia="en-US"/>
        </w:rPr>
        <w:t>, or</w:t>
      </w:r>
      <w:r w:rsidR="00393E85" w:rsidRPr="007F61E6">
        <w:rPr>
          <w:color w:val="000000"/>
          <w:spacing w:val="2"/>
          <w:lang w:eastAsia="en-US"/>
        </w:rPr>
        <w:t xml:space="preserve"> </w:t>
      </w:r>
      <w:r w:rsidR="00393E85" w:rsidRPr="007F61E6">
        <w:rPr>
          <w:color w:val="000000"/>
          <w:lang w:eastAsia="en-US"/>
        </w:rPr>
        <w:t>the</w:t>
      </w:r>
      <w:r w:rsidR="00393E85" w:rsidRPr="007F61E6">
        <w:rPr>
          <w:color w:val="000000"/>
          <w:spacing w:val="-1"/>
          <w:lang w:eastAsia="en-US"/>
        </w:rPr>
        <w:t xml:space="preserve"> c</w:t>
      </w:r>
      <w:r w:rsidR="00393E85" w:rsidRPr="007F61E6">
        <w:rPr>
          <w:color w:val="000000"/>
          <w:lang w:eastAsia="en-US"/>
        </w:rPr>
        <w:t xml:space="preserve">ommission of </w:t>
      </w:r>
      <w:r w:rsidR="00393E85" w:rsidRPr="007F61E6">
        <w:rPr>
          <w:color w:val="000000"/>
          <w:spacing w:val="-1"/>
          <w:lang w:eastAsia="en-US"/>
        </w:rPr>
        <w:t>a</w:t>
      </w:r>
      <w:r w:rsidR="00393E85" w:rsidRPr="007F61E6">
        <w:rPr>
          <w:color w:val="000000"/>
          <w:spacing w:val="2"/>
          <w:lang w:eastAsia="en-US"/>
        </w:rPr>
        <w:t>n</w:t>
      </w:r>
      <w:r w:rsidR="00393E85" w:rsidRPr="007F61E6">
        <w:rPr>
          <w:color w:val="000000"/>
          <w:lang w:eastAsia="en-US"/>
        </w:rPr>
        <w:t>y</w:t>
      </w:r>
      <w:r w:rsidR="00393E85" w:rsidRPr="007F61E6">
        <w:rPr>
          <w:color w:val="000000"/>
          <w:spacing w:val="-2"/>
          <w:lang w:eastAsia="en-US"/>
        </w:rPr>
        <w:t xml:space="preserve"> </w:t>
      </w:r>
      <w:r w:rsidR="00393E85" w:rsidRPr="007F61E6">
        <w:rPr>
          <w:color w:val="000000"/>
          <w:spacing w:val="-1"/>
          <w:lang w:eastAsia="en-US"/>
        </w:rPr>
        <w:t>ac</w:t>
      </w:r>
      <w:r w:rsidR="00393E85" w:rsidRPr="007F61E6">
        <w:rPr>
          <w:color w:val="000000"/>
          <w:lang w:eastAsia="en-US"/>
        </w:rPr>
        <w:t>t of</w:t>
      </w:r>
      <w:r w:rsidR="00393E85" w:rsidRPr="007F61E6">
        <w:rPr>
          <w:color w:val="000000"/>
          <w:spacing w:val="-1"/>
          <w:lang w:eastAsia="en-US"/>
        </w:rPr>
        <w:t xml:space="preserve"> </w:t>
      </w:r>
      <w:r w:rsidR="00393E85" w:rsidRPr="007F61E6">
        <w:rPr>
          <w:color w:val="000000"/>
          <w:lang w:eastAsia="en-US"/>
        </w:rPr>
        <w:t>to</w:t>
      </w:r>
      <w:r w:rsidR="00393E85" w:rsidRPr="007F61E6">
        <w:rPr>
          <w:color w:val="000000"/>
          <w:spacing w:val="-1"/>
          <w:lang w:eastAsia="en-US"/>
        </w:rPr>
        <w:t>r</w:t>
      </w:r>
      <w:r w:rsidR="00393E85" w:rsidRPr="007F61E6">
        <w:rPr>
          <w:color w:val="000000"/>
          <w:lang w:eastAsia="en-US"/>
        </w:rPr>
        <w:t>tu</w:t>
      </w:r>
      <w:r w:rsidR="00393E85" w:rsidRPr="007F61E6">
        <w:rPr>
          <w:color w:val="000000"/>
          <w:spacing w:val="2"/>
          <w:lang w:eastAsia="en-US"/>
        </w:rPr>
        <w:t>r</w:t>
      </w:r>
      <w:r w:rsidR="00393E85" w:rsidRPr="007F61E6">
        <w:rPr>
          <w:color w:val="000000"/>
          <w:lang w:eastAsia="en-US"/>
        </w:rPr>
        <w:t>e</w:t>
      </w:r>
      <w:r w:rsidR="00393E85" w:rsidRPr="007F61E6">
        <w:rPr>
          <w:color w:val="000000"/>
          <w:spacing w:val="-1"/>
          <w:lang w:eastAsia="en-US"/>
        </w:rPr>
        <w:t xml:space="preserve"> </w:t>
      </w:r>
      <w:r w:rsidR="00393E85" w:rsidRPr="007F61E6">
        <w:rPr>
          <w:color w:val="000000"/>
          <w:lang w:eastAsia="en-US"/>
        </w:rPr>
        <w:t>or</w:t>
      </w:r>
      <w:r w:rsidR="00393E85" w:rsidRPr="007F61E6">
        <w:rPr>
          <w:color w:val="000000"/>
          <w:spacing w:val="2"/>
          <w:lang w:eastAsia="en-US"/>
        </w:rPr>
        <w:t xml:space="preserve"> </w:t>
      </w:r>
      <w:r w:rsidR="00393E85" w:rsidRPr="007F61E6">
        <w:rPr>
          <w:color w:val="000000"/>
          <w:spacing w:val="-1"/>
          <w:lang w:eastAsia="en-US"/>
        </w:rPr>
        <w:t>e</w:t>
      </w:r>
      <w:r w:rsidR="00393E85" w:rsidRPr="007F61E6">
        <w:rPr>
          <w:color w:val="000000"/>
          <w:spacing w:val="2"/>
          <w:lang w:eastAsia="en-US"/>
        </w:rPr>
        <w:t>x</w:t>
      </w:r>
      <w:r w:rsidR="00393E85" w:rsidRPr="007F61E6">
        <w:rPr>
          <w:color w:val="000000"/>
          <w:lang w:eastAsia="en-US"/>
        </w:rPr>
        <w:t>t</w:t>
      </w:r>
      <w:r w:rsidR="00393E85" w:rsidRPr="007F61E6">
        <w:rPr>
          <w:color w:val="000000"/>
          <w:spacing w:val="-1"/>
          <w:lang w:eastAsia="en-US"/>
        </w:rPr>
        <w:t>ra</w:t>
      </w:r>
      <w:r w:rsidR="00393E85" w:rsidRPr="007F61E6">
        <w:rPr>
          <w:color w:val="000000"/>
          <w:lang w:eastAsia="en-US"/>
        </w:rPr>
        <w:t>judi</w:t>
      </w:r>
      <w:r w:rsidR="00393E85" w:rsidRPr="007F61E6">
        <w:rPr>
          <w:color w:val="000000"/>
          <w:spacing w:val="-1"/>
          <w:lang w:eastAsia="en-US"/>
        </w:rPr>
        <w:t>c</w:t>
      </w:r>
      <w:r w:rsidR="00393E85" w:rsidRPr="007F61E6">
        <w:rPr>
          <w:color w:val="000000"/>
          <w:lang w:eastAsia="en-US"/>
        </w:rPr>
        <w:t>i</w:t>
      </w:r>
      <w:r w:rsidR="00393E85" w:rsidRPr="007F61E6">
        <w:rPr>
          <w:color w:val="000000"/>
          <w:spacing w:val="-1"/>
          <w:lang w:eastAsia="en-US"/>
        </w:rPr>
        <w:t>a</w:t>
      </w:r>
      <w:r w:rsidR="00393E85" w:rsidRPr="007F61E6">
        <w:rPr>
          <w:color w:val="000000"/>
          <w:lang w:eastAsia="en-US"/>
        </w:rPr>
        <w:t>l killin</w:t>
      </w:r>
      <w:r w:rsidR="00393E85" w:rsidRPr="007F61E6">
        <w:rPr>
          <w:color w:val="000000"/>
          <w:spacing w:val="-2"/>
          <w:lang w:eastAsia="en-US"/>
        </w:rPr>
        <w:t>g</w:t>
      </w:r>
      <w:r w:rsidR="00393E85" w:rsidRPr="007F61E6">
        <w:rPr>
          <w:color w:val="000000"/>
          <w:lang w:eastAsia="en-US"/>
        </w:rPr>
        <w:t xml:space="preserve">.” Furthermore, the statute provides that a waiver may be granted if it is in the “public and national interest.”  Black’s Law Dictionary defines “public interest” as “the welfare of the public as compared to the welfare of a private individual or company. </w:t>
      </w:r>
      <w:r>
        <w:rPr>
          <w:color w:val="000000"/>
          <w:lang w:eastAsia="en-US"/>
        </w:rPr>
        <w:t xml:space="preserve"> </w:t>
      </w:r>
      <w:r w:rsidR="00393E85" w:rsidRPr="007F61E6">
        <w:rPr>
          <w:color w:val="000000"/>
          <w:lang w:eastAsia="en-US"/>
        </w:rPr>
        <w:t xml:space="preserve">All of society has a stake in this interest and the government recognizes the promotion of and protection of the general public.” </w:t>
      </w:r>
    </w:p>
    <w:p w14:paraId="65CA2834" w14:textId="16C95058" w:rsidR="00393E85" w:rsidRDefault="00393E85" w:rsidP="007F61E6">
      <w:pPr>
        <w:suppressAutoHyphens w:val="0"/>
        <w:autoSpaceDE w:val="0"/>
        <w:autoSpaceDN w:val="0"/>
        <w:adjustRightInd w:val="0"/>
        <w:spacing w:line="480" w:lineRule="auto"/>
        <w:ind w:firstLine="720"/>
        <w:jc w:val="both"/>
        <w:rPr>
          <w:color w:val="000000"/>
          <w:lang w:eastAsia="en-US"/>
        </w:rPr>
      </w:pPr>
      <w:r w:rsidRPr="00393E85">
        <w:rPr>
          <w:iCs/>
          <w:color w:val="000000"/>
          <w:position w:val="1"/>
          <w:lang w:eastAsia="en-US"/>
        </w:rPr>
        <w:lastRenderedPageBreak/>
        <w:t>U</w:t>
      </w:r>
      <w:r w:rsidR="00CC3721">
        <w:rPr>
          <w:iCs/>
          <w:color w:val="000000"/>
          <w:spacing w:val="-1"/>
          <w:position w:val="1"/>
          <w:lang w:eastAsia="en-US"/>
        </w:rPr>
        <w:t xml:space="preserve"> </w:t>
      </w:r>
      <w:r w:rsidRPr="00393E85">
        <w:rPr>
          <w:iCs/>
          <w:color w:val="000000"/>
          <w:position w:val="1"/>
          <w:lang w:eastAsia="en-US"/>
        </w:rPr>
        <w:t xml:space="preserve">nonimmigrant </w:t>
      </w:r>
      <w:r w:rsidRPr="00393E85">
        <w:rPr>
          <w:iCs/>
          <w:color w:val="000000"/>
          <w:spacing w:val="-1"/>
          <w:position w:val="1"/>
          <w:lang w:eastAsia="en-US"/>
        </w:rPr>
        <w:t>c</w:t>
      </w:r>
      <w:r w:rsidRPr="00393E85">
        <w:rPr>
          <w:iCs/>
          <w:color w:val="000000"/>
          <w:position w:val="1"/>
          <w:lang w:eastAsia="en-US"/>
        </w:rPr>
        <w:t>as</w:t>
      </w:r>
      <w:r w:rsidRPr="00393E85">
        <w:rPr>
          <w:iCs/>
          <w:color w:val="000000"/>
          <w:spacing w:val="-1"/>
          <w:position w:val="1"/>
          <w:lang w:eastAsia="en-US"/>
        </w:rPr>
        <w:t>e</w:t>
      </w:r>
      <w:r w:rsidRPr="00393E85">
        <w:rPr>
          <w:iCs/>
          <w:color w:val="000000"/>
          <w:position w:val="1"/>
          <w:lang w:eastAsia="en-US"/>
        </w:rPr>
        <w:t xml:space="preserve">s </w:t>
      </w:r>
      <w:r w:rsidRPr="00393E85">
        <w:rPr>
          <w:iCs/>
          <w:color w:val="000000"/>
          <w:spacing w:val="2"/>
          <w:position w:val="1"/>
          <w:lang w:eastAsia="en-US"/>
        </w:rPr>
        <w:t>p</w:t>
      </w:r>
      <w:r w:rsidRPr="00393E85">
        <w:rPr>
          <w:iCs/>
          <w:color w:val="000000"/>
          <w:position w:val="1"/>
          <w:lang w:eastAsia="en-US"/>
        </w:rPr>
        <w:t>r</w:t>
      </w:r>
      <w:r w:rsidRPr="00393E85">
        <w:rPr>
          <w:iCs/>
          <w:color w:val="000000"/>
          <w:spacing w:val="-1"/>
          <w:position w:val="1"/>
          <w:lang w:eastAsia="en-US"/>
        </w:rPr>
        <w:t>e</w:t>
      </w:r>
      <w:r w:rsidRPr="00393E85">
        <w:rPr>
          <w:iCs/>
          <w:color w:val="000000"/>
          <w:position w:val="1"/>
          <w:lang w:eastAsia="en-US"/>
        </w:rPr>
        <w:t>s</w:t>
      </w:r>
      <w:r w:rsidRPr="00393E85">
        <w:rPr>
          <w:iCs/>
          <w:color w:val="000000"/>
          <w:spacing w:val="-1"/>
          <w:position w:val="1"/>
          <w:lang w:eastAsia="en-US"/>
        </w:rPr>
        <w:t>e</w:t>
      </w:r>
      <w:r w:rsidRPr="00393E85">
        <w:rPr>
          <w:iCs/>
          <w:color w:val="000000"/>
          <w:position w:val="1"/>
          <w:lang w:eastAsia="en-US"/>
        </w:rPr>
        <w:t xml:space="preserve">nt </w:t>
      </w:r>
      <w:r w:rsidRPr="00393E85">
        <w:rPr>
          <w:iCs/>
          <w:color w:val="000000"/>
          <w:spacing w:val="-1"/>
          <w:position w:val="1"/>
          <w:lang w:eastAsia="en-US"/>
        </w:rPr>
        <w:t>c</w:t>
      </w:r>
      <w:r w:rsidRPr="00393E85">
        <w:rPr>
          <w:iCs/>
          <w:color w:val="000000"/>
          <w:position w:val="1"/>
          <w:lang w:eastAsia="en-US"/>
        </w:rPr>
        <w:t>omp</w:t>
      </w:r>
      <w:r w:rsidRPr="00393E85">
        <w:rPr>
          <w:iCs/>
          <w:color w:val="000000"/>
          <w:spacing w:val="-1"/>
          <w:position w:val="1"/>
          <w:lang w:eastAsia="en-US"/>
        </w:rPr>
        <w:t>e</w:t>
      </w:r>
      <w:r w:rsidRPr="00393E85">
        <w:rPr>
          <w:iCs/>
          <w:color w:val="000000"/>
          <w:position w:val="1"/>
          <w:lang w:eastAsia="en-US"/>
        </w:rPr>
        <w:t>lling huma</w:t>
      </w:r>
      <w:r w:rsidRPr="00393E85">
        <w:rPr>
          <w:iCs/>
          <w:color w:val="000000"/>
          <w:spacing w:val="2"/>
          <w:position w:val="1"/>
          <w:lang w:eastAsia="en-US"/>
        </w:rPr>
        <w:t>n</w:t>
      </w:r>
      <w:r w:rsidRPr="00393E85">
        <w:rPr>
          <w:iCs/>
          <w:color w:val="000000"/>
          <w:position w:val="1"/>
          <w:lang w:eastAsia="en-US"/>
        </w:rPr>
        <w:t xml:space="preserve">itarian </w:t>
      </w:r>
      <w:r w:rsidRPr="00393E85">
        <w:rPr>
          <w:iCs/>
          <w:color w:val="000000"/>
          <w:spacing w:val="-1"/>
          <w:position w:val="1"/>
          <w:lang w:eastAsia="en-US"/>
        </w:rPr>
        <w:t>c</w:t>
      </w:r>
      <w:r w:rsidRPr="00393E85">
        <w:rPr>
          <w:iCs/>
          <w:color w:val="000000"/>
          <w:position w:val="1"/>
          <w:lang w:eastAsia="en-US"/>
        </w:rPr>
        <w:t>on</w:t>
      </w:r>
      <w:r w:rsidRPr="00393E85">
        <w:rPr>
          <w:iCs/>
          <w:color w:val="000000"/>
          <w:spacing w:val="-1"/>
          <w:position w:val="1"/>
          <w:lang w:eastAsia="en-US"/>
        </w:rPr>
        <w:t>ce</w:t>
      </w:r>
      <w:r w:rsidRPr="00393E85">
        <w:rPr>
          <w:iCs/>
          <w:color w:val="000000"/>
          <w:position w:val="1"/>
          <w:lang w:eastAsia="en-US"/>
        </w:rPr>
        <w:t>rns that should be</w:t>
      </w:r>
      <w:r w:rsidRPr="00393E85">
        <w:rPr>
          <w:iCs/>
          <w:color w:val="000000"/>
          <w:spacing w:val="-1"/>
          <w:position w:val="1"/>
          <w:lang w:eastAsia="en-US"/>
        </w:rPr>
        <w:t xml:space="preserve"> c</w:t>
      </w:r>
      <w:r w:rsidRPr="00393E85">
        <w:rPr>
          <w:iCs/>
          <w:color w:val="000000"/>
          <w:position w:val="1"/>
          <w:lang w:eastAsia="en-US"/>
        </w:rPr>
        <w:t>onsid</w:t>
      </w:r>
      <w:r w:rsidRPr="00393E85">
        <w:rPr>
          <w:iCs/>
          <w:color w:val="000000"/>
          <w:spacing w:val="-1"/>
          <w:position w:val="1"/>
          <w:lang w:eastAsia="en-US"/>
        </w:rPr>
        <w:t>e</w:t>
      </w:r>
      <w:r w:rsidRPr="00393E85">
        <w:rPr>
          <w:iCs/>
          <w:color w:val="000000"/>
          <w:position w:val="1"/>
          <w:lang w:eastAsia="en-US"/>
        </w:rPr>
        <w:t>r</w:t>
      </w:r>
      <w:r w:rsidRPr="00393E85">
        <w:rPr>
          <w:iCs/>
          <w:color w:val="000000"/>
          <w:spacing w:val="-1"/>
          <w:position w:val="1"/>
          <w:lang w:eastAsia="en-US"/>
        </w:rPr>
        <w:t>e</w:t>
      </w:r>
      <w:r w:rsidRPr="00393E85">
        <w:rPr>
          <w:iCs/>
          <w:color w:val="000000"/>
          <w:position w:val="1"/>
          <w:lang w:eastAsia="en-US"/>
        </w:rPr>
        <w:t xml:space="preserve">d </w:t>
      </w:r>
      <w:r w:rsidRPr="00393E85">
        <w:rPr>
          <w:iCs/>
          <w:color w:val="000000"/>
          <w:spacing w:val="1"/>
          <w:lang w:eastAsia="en-US"/>
        </w:rPr>
        <w:t>w</w:t>
      </w:r>
      <w:r w:rsidRPr="00393E85">
        <w:rPr>
          <w:iCs/>
          <w:color w:val="000000"/>
          <w:lang w:eastAsia="en-US"/>
        </w:rPr>
        <w:t>h</w:t>
      </w:r>
      <w:r w:rsidRPr="00393E85">
        <w:rPr>
          <w:iCs/>
          <w:color w:val="000000"/>
          <w:spacing w:val="-1"/>
          <w:lang w:eastAsia="en-US"/>
        </w:rPr>
        <w:t>e</w:t>
      </w:r>
      <w:r w:rsidRPr="00393E85">
        <w:rPr>
          <w:iCs/>
          <w:color w:val="000000"/>
          <w:lang w:eastAsia="en-US"/>
        </w:rPr>
        <w:t>n adjudi</w:t>
      </w:r>
      <w:r w:rsidRPr="00393E85">
        <w:rPr>
          <w:iCs/>
          <w:color w:val="000000"/>
          <w:spacing w:val="-1"/>
          <w:lang w:eastAsia="en-US"/>
        </w:rPr>
        <w:t>c</w:t>
      </w:r>
      <w:r w:rsidRPr="00393E85">
        <w:rPr>
          <w:iCs/>
          <w:color w:val="000000"/>
          <w:lang w:eastAsia="en-US"/>
        </w:rPr>
        <w:t xml:space="preserve">ating </w:t>
      </w:r>
      <w:r w:rsidRPr="00393E85">
        <w:rPr>
          <w:iCs/>
          <w:color w:val="000000"/>
          <w:spacing w:val="-1"/>
          <w:lang w:eastAsia="en-US"/>
        </w:rPr>
        <w:t>I</w:t>
      </w:r>
      <w:r w:rsidRPr="00393E85">
        <w:rPr>
          <w:iCs/>
          <w:color w:val="000000"/>
          <w:spacing w:val="1"/>
          <w:lang w:eastAsia="en-US"/>
        </w:rPr>
        <w:t>N</w:t>
      </w:r>
      <w:r w:rsidRPr="00393E85">
        <w:rPr>
          <w:iCs/>
          <w:color w:val="000000"/>
          <w:lang w:eastAsia="en-US"/>
        </w:rPr>
        <w:t xml:space="preserve">A </w:t>
      </w:r>
      <w:r>
        <w:rPr>
          <w:color w:val="000000"/>
          <w:lang w:eastAsia="en-US"/>
        </w:rPr>
        <w:t>§</w:t>
      </w:r>
      <w:r w:rsidRPr="00393E85">
        <w:rPr>
          <w:iCs/>
          <w:color w:val="000000"/>
          <w:lang w:eastAsia="en-US"/>
        </w:rPr>
        <w:t>212</w:t>
      </w:r>
      <w:r w:rsidRPr="00393E85">
        <w:rPr>
          <w:iCs/>
          <w:color w:val="000000"/>
          <w:spacing w:val="-3"/>
          <w:lang w:eastAsia="en-US"/>
        </w:rPr>
        <w:t>(</w:t>
      </w:r>
      <w:r w:rsidRPr="00393E85">
        <w:rPr>
          <w:iCs/>
          <w:color w:val="000000"/>
          <w:spacing w:val="2"/>
          <w:lang w:eastAsia="en-US"/>
        </w:rPr>
        <w:t>d</w:t>
      </w:r>
      <w:r w:rsidRPr="00393E85">
        <w:rPr>
          <w:iCs/>
          <w:color w:val="000000"/>
          <w:spacing w:val="-1"/>
          <w:lang w:eastAsia="en-US"/>
        </w:rPr>
        <w:t>)(</w:t>
      </w:r>
      <w:r w:rsidRPr="00393E85">
        <w:rPr>
          <w:iCs/>
          <w:color w:val="000000"/>
          <w:lang w:eastAsia="en-US"/>
        </w:rPr>
        <w:t>1</w:t>
      </w:r>
      <w:r w:rsidRPr="00393E85">
        <w:rPr>
          <w:iCs/>
          <w:color w:val="000000"/>
          <w:spacing w:val="2"/>
          <w:lang w:eastAsia="en-US"/>
        </w:rPr>
        <w:t>4</w:t>
      </w:r>
      <w:r w:rsidRPr="00393E85">
        <w:rPr>
          <w:iCs/>
          <w:color w:val="000000"/>
          <w:lang w:eastAsia="en-US"/>
        </w:rPr>
        <w:t>)</w:t>
      </w:r>
      <w:r w:rsidRPr="00393E85">
        <w:rPr>
          <w:iCs/>
          <w:color w:val="000000"/>
          <w:spacing w:val="-3"/>
          <w:lang w:eastAsia="en-US"/>
        </w:rPr>
        <w:t xml:space="preserve"> </w:t>
      </w:r>
      <w:r w:rsidRPr="00393E85">
        <w:rPr>
          <w:iCs/>
          <w:color w:val="000000"/>
          <w:spacing w:val="1"/>
          <w:lang w:eastAsia="en-US"/>
        </w:rPr>
        <w:t>w</w:t>
      </w:r>
      <w:r w:rsidRPr="00393E85">
        <w:rPr>
          <w:iCs/>
          <w:color w:val="000000"/>
          <w:lang w:eastAsia="en-US"/>
        </w:rPr>
        <w:t>ai</w:t>
      </w:r>
      <w:r w:rsidRPr="00393E85">
        <w:rPr>
          <w:iCs/>
          <w:color w:val="000000"/>
          <w:spacing w:val="1"/>
          <w:lang w:eastAsia="en-US"/>
        </w:rPr>
        <w:t>v</w:t>
      </w:r>
      <w:r w:rsidRPr="00393E85">
        <w:rPr>
          <w:iCs/>
          <w:color w:val="000000"/>
          <w:spacing w:val="-1"/>
          <w:lang w:eastAsia="en-US"/>
        </w:rPr>
        <w:t>e</w:t>
      </w:r>
      <w:r w:rsidRPr="00393E85">
        <w:rPr>
          <w:iCs/>
          <w:color w:val="000000"/>
          <w:lang w:eastAsia="en-US"/>
        </w:rPr>
        <w:t xml:space="preserve">rs.  As per the founding intent of the U visa program as set forth in the </w:t>
      </w:r>
      <w:r w:rsidRPr="00393E85">
        <w:rPr>
          <w:color w:val="000000"/>
          <w:lang w:eastAsia="en-US"/>
        </w:rPr>
        <w:t xml:space="preserve">Victims of Trafficking and Violence Protection Act of 2000, “Providing temporary legal status to aliens who have been severely victimized by criminal activity also comports with the humanitarian interests of the United States.”  Therefore, the continued fulfillment of Congressional intent requires that the Service adjudicate I-192 waivers of inadmissibility taking into consideration the humanitarian factors according to the broad INA </w:t>
      </w:r>
    </w:p>
    <w:p w14:paraId="7AFB6BC8" w14:textId="4D1BD632" w:rsidR="00393E85" w:rsidRPr="00393E85" w:rsidRDefault="00393E85" w:rsidP="00637050">
      <w:pPr>
        <w:suppressAutoHyphens w:val="0"/>
        <w:autoSpaceDE w:val="0"/>
        <w:autoSpaceDN w:val="0"/>
        <w:adjustRightInd w:val="0"/>
        <w:spacing w:line="480" w:lineRule="auto"/>
        <w:jc w:val="both"/>
        <w:rPr>
          <w:color w:val="000000"/>
          <w:lang w:eastAsia="en-US"/>
        </w:rPr>
      </w:pPr>
      <w:r>
        <w:rPr>
          <w:color w:val="000000"/>
          <w:lang w:eastAsia="en-US"/>
        </w:rPr>
        <w:t>§</w:t>
      </w:r>
      <w:r w:rsidRPr="00393E85">
        <w:rPr>
          <w:color w:val="000000"/>
          <w:lang w:eastAsia="en-US"/>
        </w:rPr>
        <w:t xml:space="preserve">212(d)(14) standard, and failure to do so </w:t>
      </w:r>
      <w:r w:rsidR="004E0EA9" w:rsidRPr="00393E85">
        <w:rPr>
          <w:color w:val="000000"/>
          <w:lang w:eastAsia="en-US"/>
        </w:rPr>
        <w:t>frustrate</w:t>
      </w:r>
      <w:r w:rsidRPr="00393E85">
        <w:rPr>
          <w:color w:val="000000"/>
          <w:lang w:eastAsia="en-US"/>
        </w:rPr>
        <w:t xml:space="preserve"> the intent of the U Nonimmigrant Status Petitions, making it less likely for victims of the certified crimes to trust and cooperate with law enforcement investigations and prosecutions.   </w:t>
      </w:r>
    </w:p>
    <w:p w14:paraId="5B117AE9" w14:textId="6CBDEC96" w:rsidR="00393E85" w:rsidRPr="00393E85" w:rsidRDefault="00393E85" w:rsidP="00637050">
      <w:pPr>
        <w:spacing w:line="480" w:lineRule="auto"/>
        <w:ind w:firstLine="720"/>
        <w:jc w:val="both"/>
        <w:rPr>
          <w:color w:val="000000"/>
        </w:rPr>
      </w:pPr>
      <w:r w:rsidRPr="00393E85">
        <w:rPr>
          <w:color w:val="000000"/>
        </w:rPr>
        <w:t xml:space="preserve">In this case, the Service’s denial of </w:t>
      </w:r>
      <w:r w:rsidR="00981B94">
        <w:rPr>
          <w:color w:val="000000"/>
        </w:rPr>
        <w:t>________________</w:t>
      </w:r>
      <w:r w:rsidRPr="00393E85">
        <w:rPr>
          <w:color w:val="000000"/>
        </w:rPr>
        <w:t xml:space="preserve">’s case is contrary to the intention of Congress to liberally provide waivers of inadmissibility to U applicants.  </w:t>
      </w:r>
      <w:r w:rsidR="00981B94">
        <w:rPr>
          <w:color w:val="000000"/>
        </w:rPr>
        <w:t>________________</w:t>
      </w:r>
      <w:r w:rsidRPr="00393E85">
        <w:rPr>
          <w:color w:val="000000"/>
        </w:rPr>
        <w:t xml:space="preserve"> has proven that she has been severely victimized and she </w:t>
      </w:r>
      <w:r w:rsidRPr="00393E85">
        <w:t>acted in the welfare of the public by reporting domestic violence crimes committed against her by her former intimate partner</w:t>
      </w:r>
      <w:r w:rsidR="004E0EA9">
        <w:t xml:space="preserve"> X</w:t>
      </w:r>
      <w:r w:rsidRPr="00393E85">
        <w:t>.  As per statistics reported by the National Coalition Against Domestic Violence, domestic violence is a national epidemic.</w:t>
      </w:r>
      <w:r w:rsidRPr="00393E85">
        <w:rPr>
          <w:vertAlign w:val="superscript"/>
        </w:rPr>
        <w:t xml:space="preserve"> </w:t>
      </w:r>
      <w:r w:rsidRPr="00393E85">
        <w:rPr>
          <w:vertAlign w:val="superscript"/>
        </w:rPr>
        <w:footnoteReference w:id="3"/>
      </w:r>
      <w:r w:rsidRPr="00393E85">
        <w:t xml:space="preserve">  For example, 1 in 3 women and 1 in 4 men have been victims of physical violence by an intimate partner within their lifetime, and on </w:t>
      </w:r>
      <w:r w:rsidRPr="00393E85">
        <w:rPr>
          <w:bdr w:val="none" w:sz="0" w:space="0" w:color="auto" w:frame="1"/>
        </w:rPr>
        <w:t>average, nearly 20 people per minute are physically abused by an intimate</w:t>
      </w:r>
      <w:r>
        <w:rPr>
          <w:bdr w:val="none" w:sz="0" w:space="0" w:color="auto" w:frame="1"/>
        </w:rPr>
        <w:t xml:space="preserve"> partner in the United States. </w:t>
      </w:r>
      <w:r w:rsidR="007F61E6">
        <w:rPr>
          <w:bdr w:val="none" w:sz="0" w:space="0" w:color="auto" w:frame="1"/>
        </w:rPr>
        <w:t xml:space="preserve"> </w:t>
      </w:r>
      <w:r w:rsidRPr="00393E85">
        <w:rPr>
          <w:i/>
          <w:bdr w:val="none" w:sz="0" w:space="0" w:color="auto" w:frame="1"/>
        </w:rPr>
        <w:t>Id</w:t>
      </w:r>
      <w:r>
        <w:rPr>
          <w:bdr w:val="none" w:sz="0" w:space="0" w:color="auto" w:frame="1"/>
        </w:rPr>
        <w:t xml:space="preserve">. </w:t>
      </w:r>
      <w:r w:rsidRPr="00393E85">
        <w:rPr>
          <w:bdr w:val="none" w:sz="0" w:space="0" w:color="auto" w:frame="1"/>
        </w:rPr>
        <w:t xml:space="preserve">Survivors such as </w:t>
      </w:r>
      <w:r w:rsidR="00981B94">
        <w:rPr>
          <w:bdr w:val="none" w:sz="0" w:space="0" w:color="auto" w:frame="1"/>
        </w:rPr>
        <w:t>________________</w:t>
      </w:r>
      <w:r w:rsidRPr="00393E85">
        <w:rPr>
          <w:bdr w:val="none" w:sz="0" w:space="0" w:color="auto" w:frame="1"/>
        </w:rPr>
        <w:t xml:space="preserve"> have assisted in combating this epidemic by reporting the crimes, </w:t>
      </w:r>
      <w:r w:rsidR="00CC3721">
        <w:rPr>
          <w:bdr w:val="none" w:sz="0" w:space="0" w:color="auto" w:frame="1"/>
        </w:rPr>
        <w:t xml:space="preserve">despite </w:t>
      </w:r>
      <w:r w:rsidRPr="00393E85">
        <w:rPr>
          <w:bdr w:val="none" w:sz="0" w:space="0" w:color="auto" w:frame="1"/>
        </w:rPr>
        <w:t>fears of retribution by the a</w:t>
      </w:r>
      <w:r>
        <w:rPr>
          <w:bdr w:val="none" w:sz="0" w:space="0" w:color="auto" w:frame="1"/>
        </w:rPr>
        <w:t xml:space="preserve">buser, and continuing trauma. </w:t>
      </w:r>
      <w:r w:rsidRPr="00393E85">
        <w:t xml:space="preserve">Our society has a </w:t>
      </w:r>
      <w:r w:rsidRPr="00393E85">
        <w:rPr>
          <w:color w:val="000000"/>
        </w:rPr>
        <w:t xml:space="preserve">stake in ensuring that the occurrence of domestic violence is reduced with the ultimate goal of eradication, since the human and economic toll is well documented. </w:t>
      </w:r>
      <w:r w:rsidR="007F61E6">
        <w:rPr>
          <w:color w:val="000000"/>
        </w:rPr>
        <w:t xml:space="preserve"> </w:t>
      </w:r>
      <w:r w:rsidRPr="00393E85">
        <w:rPr>
          <w:i/>
          <w:color w:val="000000"/>
        </w:rPr>
        <w:t>Id</w:t>
      </w:r>
      <w:r w:rsidRPr="00393E85">
        <w:rPr>
          <w:color w:val="000000"/>
        </w:rPr>
        <w:t xml:space="preserve">. </w:t>
      </w:r>
    </w:p>
    <w:p w14:paraId="089BAA0C" w14:textId="5241FBFB" w:rsidR="00393E85" w:rsidRDefault="00CC3721" w:rsidP="00D946BC">
      <w:pPr>
        <w:tabs>
          <w:tab w:val="left" w:pos="720"/>
          <w:tab w:val="num" w:pos="1440"/>
        </w:tabs>
        <w:suppressAutoHyphens w:val="0"/>
        <w:spacing w:line="480" w:lineRule="auto"/>
        <w:jc w:val="both"/>
        <w:rPr>
          <w:lang w:eastAsia="en-US"/>
        </w:rPr>
      </w:pPr>
      <w:r>
        <w:rPr>
          <w:lang w:eastAsia="en-US"/>
        </w:rPr>
        <w:lastRenderedPageBreak/>
        <w:tab/>
      </w:r>
      <w:r w:rsidR="00D946BC">
        <w:rPr>
          <w:lang w:eastAsia="en-US"/>
        </w:rPr>
        <w:t>H</w:t>
      </w:r>
      <w:r w:rsidR="00393E85" w:rsidRPr="00393E85">
        <w:rPr>
          <w:lang w:eastAsia="en-US"/>
        </w:rPr>
        <w:t xml:space="preserve">umanitarian factors strongly support the granting of the INA </w:t>
      </w:r>
      <w:r w:rsidR="00393E85">
        <w:rPr>
          <w:lang w:eastAsia="en-US"/>
        </w:rPr>
        <w:t>§</w:t>
      </w:r>
      <w:r w:rsidR="00393E85" w:rsidRPr="00393E85">
        <w:rPr>
          <w:lang w:eastAsia="en-US"/>
        </w:rPr>
        <w:t xml:space="preserve">212(d)(14) waiver to </w:t>
      </w:r>
      <w:r w:rsidR="00981B94">
        <w:rPr>
          <w:lang w:eastAsia="en-US"/>
        </w:rPr>
        <w:t>________________</w:t>
      </w:r>
      <w:r w:rsidR="00393E85" w:rsidRPr="00393E85">
        <w:rPr>
          <w:lang w:eastAsia="en-US"/>
        </w:rPr>
        <w:t xml:space="preserve">.  As set forth in her affidavit in support of her waiver on Form I-192, </w:t>
      </w:r>
      <w:r w:rsidR="00981B94">
        <w:rPr>
          <w:lang w:eastAsia="en-US"/>
        </w:rPr>
        <w:t>________________</w:t>
      </w:r>
      <w:r w:rsidR="00393E85" w:rsidRPr="00393E85">
        <w:rPr>
          <w:lang w:eastAsia="en-US"/>
        </w:rPr>
        <w:t xml:space="preserve"> has faced a lifetime of violence, and has emerged as a survivor who has stabilized her life</w:t>
      </w:r>
      <w:r w:rsidR="007F61E6">
        <w:rPr>
          <w:lang w:eastAsia="en-US"/>
        </w:rPr>
        <w:t xml:space="preserve"> (</w:t>
      </w:r>
      <w:r w:rsidR="007F61E6">
        <w:rPr>
          <w:b/>
          <w:lang w:eastAsia="en-US"/>
        </w:rPr>
        <w:t>Exhibit 4</w:t>
      </w:r>
      <w:r w:rsidR="007F61E6">
        <w:rPr>
          <w:lang w:eastAsia="en-US"/>
        </w:rPr>
        <w:t>)</w:t>
      </w:r>
      <w:r w:rsidR="00393E85" w:rsidRPr="00393E85">
        <w:rPr>
          <w:lang w:eastAsia="en-US"/>
        </w:rPr>
        <w:t xml:space="preserve">.  From the young age of 15, when she was still living in Grenada, </w:t>
      </w:r>
      <w:r w:rsidR="00981B94">
        <w:rPr>
          <w:lang w:eastAsia="en-US"/>
        </w:rPr>
        <w:t>________________</w:t>
      </w:r>
      <w:r w:rsidR="00393E85" w:rsidRPr="00393E85">
        <w:rPr>
          <w:lang w:eastAsia="en-US"/>
        </w:rPr>
        <w:t xml:space="preserve"> was raped, and her first child </w:t>
      </w:r>
      <w:r w:rsidR="00393E85" w:rsidRPr="00D717FB">
        <w:rPr>
          <w:highlight w:val="black"/>
          <w:lang w:eastAsia="en-US"/>
        </w:rPr>
        <w:t>Shirley-Ann</w:t>
      </w:r>
      <w:r w:rsidR="00393E85" w:rsidRPr="00393E85">
        <w:rPr>
          <w:lang w:eastAsia="en-US"/>
        </w:rPr>
        <w:t xml:space="preserve"> was conceived as a result of the rape.  </w:t>
      </w:r>
      <w:r w:rsidR="007F61E6">
        <w:rPr>
          <w:i/>
          <w:lang w:eastAsia="en-US"/>
        </w:rPr>
        <w:t xml:space="preserve">Id.  </w:t>
      </w:r>
      <w:r w:rsidR="00393E85" w:rsidRPr="00393E85">
        <w:rPr>
          <w:lang w:eastAsia="en-US"/>
        </w:rPr>
        <w:t>When she was 22</w:t>
      </w:r>
      <w:r w:rsidR="00393E85" w:rsidRPr="00393E85">
        <w:rPr>
          <w:b/>
          <w:lang w:eastAsia="en-US"/>
        </w:rPr>
        <w:t xml:space="preserve"> </w:t>
      </w:r>
      <w:r w:rsidR="00393E85" w:rsidRPr="00393E85">
        <w:rPr>
          <w:lang w:eastAsia="en-US"/>
        </w:rPr>
        <w:t>years old, she married</w:t>
      </w:r>
      <w:r w:rsidR="004E0EA9">
        <w:rPr>
          <w:lang w:eastAsia="en-US"/>
        </w:rPr>
        <w:t xml:space="preserve"> ________</w:t>
      </w:r>
      <w:r w:rsidR="00393E85" w:rsidRPr="00393E85">
        <w:rPr>
          <w:lang w:eastAsia="en-US"/>
        </w:rPr>
        <w:t xml:space="preserve">, who raped </w:t>
      </w:r>
      <w:r w:rsidR="00393E85" w:rsidRPr="00D717FB">
        <w:rPr>
          <w:highlight w:val="black"/>
          <w:lang w:eastAsia="en-US"/>
        </w:rPr>
        <w:t>Shirley-Ann</w:t>
      </w:r>
      <w:r w:rsidR="00393E85" w:rsidRPr="00393E85">
        <w:rPr>
          <w:lang w:eastAsia="en-US"/>
        </w:rPr>
        <w:t>.</w:t>
      </w:r>
      <w:r w:rsidR="007F61E6">
        <w:rPr>
          <w:lang w:eastAsia="en-US"/>
        </w:rPr>
        <w:t xml:space="preserve">  </w:t>
      </w:r>
      <w:r w:rsidR="007F61E6">
        <w:rPr>
          <w:i/>
          <w:lang w:eastAsia="en-US"/>
        </w:rPr>
        <w:t>Id.</w:t>
      </w:r>
      <w:r w:rsidR="00393E85" w:rsidRPr="00393E85">
        <w:rPr>
          <w:lang w:eastAsia="en-US"/>
        </w:rPr>
        <w:t xml:space="preserve">  In the U.S., she did not escape the violence but suffered abuse from her former intimate partner</w:t>
      </w:r>
      <w:r w:rsidR="004E0EA9">
        <w:rPr>
          <w:lang w:eastAsia="en-US"/>
        </w:rPr>
        <w:t xml:space="preserve"> X</w:t>
      </w:r>
      <w:bookmarkStart w:id="0" w:name="_GoBack"/>
      <w:bookmarkEnd w:id="0"/>
      <w:r w:rsidR="00393E85" w:rsidRPr="00393E85">
        <w:rPr>
          <w:lang w:eastAsia="en-US"/>
        </w:rPr>
        <w:t xml:space="preserve">.  </w:t>
      </w:r>
      <w:r w:rsidR="007F61E6">
        <w:rPr>
          <w:i/>
          <w:lang w:eastAsia="en-US"/>
        </w:rPr>
        <w:t xml:space="preserve">Id. </w:t>
      </w:r>
      <w:r w:rsidR="00AE25CB">
        <w:rPr>
          <w:i/>
          <w:lang w:eastAsia="en-US"/>
        </w:rPr>
        <w:t xml:space="preserve"> </w:t>
      </w:r>
      <w:r w:rsidR="007F61E6">
        <w:rPr>
          <w:i/>
          <w:lang w:eastAsia="en-US"/>
        </w:rPr>
        <w:t xml:space="preserve"> </w:t>
      </w:r>
      <w:r w:rsidR="00981B94">
        <w:rPr>
          <w:lang w:eastAsia="en-US"/>
        </w:rPr>
        <w:t>________________</w:t>
      </w:r>
      <w:r w:rsidR="00393E85" w:rsidRPr="00393E85">
        <w:rPr>
          <w:lang w:eastAsia="en-US"/>
        </w:rPr>
        <w:t xml:space="preserve"> has been severely victimized in both her home country and the U.S., and has cooperated with law enforcement in reporting the domestic violence crimes committed against her in the U.S. </w:t>
      </w:r>
      <w:r>
        <w:rPr>
          <w:lang w:eastAsia="en-US"/>
        </w:rPr>
        <w:t xml:space="preserve"> </w:t>
      </w:r>
      <w:r w:rsidR="00981B94">
        <w:rPr>
          <w:lang w:eastAsia="en-US"/>
        </w:rPr>
        <w:t>________________</w:t>
      </w:r>
      <w:r>
        <w:rPr>
          <w:lang w:eastAsia="en-US"/>
        </w:rPr>
        <w:t xml:space="preserve"> has committed </w:t>
      </w:r>
      <w:r w:rsidRPr="00CC3721">
        <w:rPr>
          <w:u w:val="single"/>
          <w:lang w:eastAsia="en-US"/>
        </w:rPr>
        <w:t>one</w:t>
      </w:r>
      <w:r>
        <w:rPr>
          <w:lang w:eastAsia="en-US"/>
        </w:rPr>
        <w:t xml:space="preserve"> sole infraction.  She has not smuggled anyone into the country, she has not sold or dealt drugs, she has not re-entered the country after being removed, she has not harmed or</w:t>
      </w:r>
      <w:r w:rsidR="00D343FA">
        <w:rPr>
          <w:lang w:eastAsia="en-US"/>
        </w:rPr>
        <w:t xml:space="preserve"> targeted anyone for abuse, </w:t>
      </w:r>
      <w:r>
        <w:rPr>
          <w:lang w:eastAsia="en-US"/>
        </w:rPr>
        <w:t>she is not a terrorist</w:t>
      </w:r>
      <w:r w:rsidR="00D343FA">
        <w:rPr>
          <w:lang w:eastAsia="en-US"/>
        </w:rPr>
        <w:t xml:space="preserve"> and she has no criminal record</w:t>
      </w:r>
      <w:r>
        <w:rPr>
          <w:lang w:eastAsia="en-US"/>
        </w:rPr>
        <w:t xml:space="preserve">.  </w:t>
      </w:r>
      <w:r w:rsidRPr="004E1CF3">
        <w:rPr>
          <w:lang w:eastAsia="en-US"/>
        </w:rPr>
        <w:t xml:space="preserve">By setting the bar so high for waiver approval, </w:t>
      </w:r>
      <w:r>
        <w:rPr>
          <w:lang w:eastAsia="en-US"/>
        </w:rPr>
        <w:t>US</w:t>
      </w:r>
      <w:r w:rsidRPr="004E1CF3">
        <w:rPr>
          <w:lang w:eastAsia="en-US"/>
        </w:rPr>
        <w:t xml:space="preserve">CIS is going against the intent of Congress to provide relief to a bona fide crime victim where the U waiver provisions allow for waiving of all inadmissible conduct except for </w:t>
      </w:r>
      <w:r>
        <w:rPr>
          <w:lang w:eastAsia="en-US"/>
        </w:rPr>
        <w:t xml:space="preserve">those found at </w:t>
      </w:r>
      <w:r w:rsidRPr="00393E85">
        <w:rPr>
          <w:color w:val="000000"/>
          <w:lang w:eastAsia="en-US"/>
        </w:rPr>
        <w:t>INA §212(a)(3)(E)</w:t>
      </w:r>
      <w:r>
        <w:rPr>
          <w:color w:val="000000"/>
          <w:lang w:eastAsia="en-US"/>
        </w:rPr>
        <w:t xml:space="preserve">. </w:t>
      </w:r>
      <w:r w:rsidR="00D343FA">
        <w:rPr>
          <w:color w:val="000000"/>
          <w:lang w:eastAsia="en-US"/>
        </w:rPr>
        <w:t xml:space="preserve"> </w:t>
      </w:r>
      <w:r w:rsidRPr="004E1CF3">
        <w:rPr>
          <w:lang w:eastAsia="en-US"/>
        </w:rPr>
        <w:t>If fraud and similar conduct can never be waived, then no crime survivor who has previously engaged in such conduct wil</w:t>
      </w:r>
      <w:r>
        <w:rPr>
          <w:lang w:eastAsia="en-US"/>
        </w:rPr>
        <w:t>l ever be eligible for U status and the Service has made</w:t>
      </w:r>
      <w:r w:rsidR="00393E85">
        <w:rPr>
          <w:lang w:eastAsia="en-US"/>
        </w:rPr>
        <w:t xml:space="preserve"> a mockery of the U visa p</w:t>
      </w:r>
      <w:r w:rsidR="00F32230">
        <w:rPr>
          <w:lang w:eastAsia="en-US"/>
        </w:rPr>
        <w:t xml:space="preserve">rogram and its waiver policy.  </w:t>
      </w:r>
      <w:r w:rsidR="00393E85" w:rsidRPr="00393E85">
        <w:rPr>
          <w:lang w:eastAsia="en-US"/>
        </w:rPr>
        <w:t>The Serv</w:t>
      </w:r>
      <w:r w:rsidR="00393E85">
        <w:rPr>
          <w:lang w:eastAsia="en-US"/>
        </w:rPr>
        <w:t xml:space="preserve">ice should have considered the </w:t>
      </w:r>
      <w:r w:rsidR="00393E85" w:rsidRPr="00393E85">
        <w:rPr>
          <w:lang w:eastAsia="en-US"/>
        </w:rPr>
        <w:t xml:space="preserve">humanitarian intent behind the U Visa program, and should have granted </w:t>
      </w:r>
      <w:r w:rsidR="00981B94">
        <w:rPr>
          <w:lang w:eastAsia="en-US"/>
        </w:rPr>
        <w:t>________________</w:t>
      </w:r>
      <w:r w:rsidR="00D343FA">
        <w:rPr>
          <w:lang w:eastAsia="en-US"/>
        </w:rPr>
        <w:t xml:space="preserve"> </w:t>
      </w:r>
      <w:r w:rsidR="00393E85" w:rsidRPr="00393E85">
        <w:rPr>
          <w:lang w:eastAsia="en-US"/>
        </w:rPr>
        <w:t xml:space="preserve">U </w:t>
      </w:r>
      <w:r w:rsidR="00D343FA">
        <w:rPr>
          <w:lang w:eastAsia="en-US"/>
        </w:rPr>
        <w:t>status</w:t>
      </w:r>
      <w:r w:rsidR="00393E85" w:rsidRPr="00393E85">
        <w:rPr>
          <w:lang w:eastAsia="en-US"/>
        </w:rPr>
        <w:t xml:space="preserve">.  </w:t>
      </w:r>
    </w:p>
    <w:p w14:paraId="7706D7E2" w14:textId="68A4735D" w:rsidR="00637050" w:rsidRPr="00637050" w:rsidRDefault="00637050" w:rsidP="00CC3721">
      <w:pPr>
        <w:pStyle w:val="ListParagraph"/>
        <w:numPr>
          <w:ilvl w:val="0"/>
          <w:numId w:val="1"/>
        </w:numPr>
        <w:tabs>
          <w:tab w:val="left" w:pos="720"/>
          <w:tab w:val="num" w:pos="1440"/>
        </w:tabs>
        <w:suppressAutoHyphens w:val="0"/>
        <w:spacing w:line="480" w:lineRule="auto"/>
        <w:jc w:val="both"/>
        <w:rPr>
          <w:u w:val="single"/>
          <w:lang w:eastAsia="en-US"/>
        </w:rPr>
      </w:pPr>
      <w:r w:rsidRPr="00637050">
        <w:rPr>
          <w:u w:val="single"/>
          <w:lang w:eastAsia="en-US"/>
        </w:rPr>
        <w:t>CONCLUSION</w:t>
      </w:r>
    </w:p>
    <w:p w14:paraId="6FD5C2D6" w14:textId="403B546A" w:rsidR="00D946BC" w:rsidRPr="000E5DE9" w:rsidRDefault="00BF1B65" w:rsidP="00D946BC">
      <w:pPr>
        <w:widowControl w:val="0"/>
        <w:autoSpaceDE w:val="0"/>
        <w:autoSpaceDN w:val="0"/>
        <w:adjustRightInd w:val="0"/>
        <w:spacing w:line="480" w:lineRule="auto"/>
        <w:ind w:firstLine="720"/>
        <w:jc w:val="both"/>
      </w:pPr>
      <w:r w:rsidRPr="000E5DE9">
        <w:t xml:space="preserve">The evidence previously submitted with </w:t>
      </w:r>
      <w:r w:rsidR="00981B94">
        <w:t>________________</w:t>
      </w:r>
      <w:r w:rsidR="00A030EE">
        <w:t>’</w:t>
      </w:r>
      <w:r w:rsidRPr="000E5DE9">
        <w:t xml:space="preserve">s I-918 and I-192 applications, supplemented with the additional evidence included with this Motion, supports a </w:t>
      </w:r>
      <w:r w:rsidRPr="000E5DE9">
        <w:lastRenderedPageBreak/>
        <w:t>finding that discretion</w:t>
      </w:r>
      <w:r w:rsidR="00AE25CB">
        <w:t xml:space="preserve"> should be exercised in </w:t>
      </w:r>
      <w:r w:rsidR="00981B94">
        <w:t>________________</w:t>
      </w:r>
      <w:r w:rsidR="00AE25CB">
        <w:t>’s favor.</w:t>
      </w:r>
      <w:r w:rsidR="00A030EE">
        <w:t xml:space="preserve">  </w:t>
      </w:r>
      <w:r w:rsidR="00AE25CB">
        <w:t xml:space="preserve">8 C.F.R. §245.24(d)(11).  </w:t>
      </w:r>
      <w:r w:rsidR="00D946BC" w:rsidRPr="000E5DE9">
        <w:t xml:space="preserve">When weighing the </w:t>
      </w:r>
      <w:r w:rsidR="00D946BC">
        <w:t>sole adverse factor</w:t>
      </w:r>
      <w:r w:rsidR="00D946BC" w:rsidRPr="000E5DE9">
        <w:t xml:space="preserve"> against the favorable ones in this case</w:t>
      </w:r>
      <w:r w:rsidR="00AE25CB">
        <w:t xml:space="preserve"> (long residence</w:t>
      </w:r>
      <w:r w:rsidR="00D946BC" w:rsidRPr="000E5DE9">
        <w:t>,</w:t>
      </w:r>
      <w:r w:rsidR="00AE25CB">
        <w:t xml:space="preserve"> close family ties, stable employment and payment of taxes)</w:t>
      </w:r>
      <w:r w:rsidR="00D946BC" w:rsidRPr="000E5DE9">
        <w:t xml:space="preserve"> and </w:t>
      </w:r>
      <w:r w:rsidR="00AE25CB">
        <w:t xml:space="preserve">when considering the evidence </w:t>
      </w:r>
      <w:r w:rsidR="00D946BC" w:rsidRPr="000E5DE9">
        <w:t>in its totality</w:t>
      </w:r>
      <w:r w:rsidR="00AE25CB">
        <w:t xml:space="preserve">, a U grant is warranted for humanitarian reasons, for family unity and in the public interest.  </w:t>
      </w:r>
      <w:r w:rsidR="00AE25CB">
        <w:rPr>
          <w:i/>
        </w:rPr>
        <w:t>Matter of O-J-O</w:t>
      </w:r>
      <w:r w:rsidR="00AE25CB">
        <w:t xml:space="preserve">, I&amp;N Dec. 381 (BIA 1996) and </w:t>
      </w:r>
      <w:r w:rsidR="00AE25CB">
        <w:rPr>
          <w:i/>
        </w:rPr>
        <w:t>Matter of Ige</w:t>
      </w:r>
      <w:r w:rsidR="00AE25CB">
        <w:t>, 20 I&amp;N Dec. 880 (BIA 1994). Thus,</w:t>
      </w:r>
      <w:r w:rsidR="00D946BC" w:rsidRPr="000E5DE9">
        <w:t xml:space="preserve"> there can be no other conclusion than that a favorable exercise of discretion is appropriate in </w:t>
      </w:r>
      <w:r w:rsidR="00981B94">
        <w:t>________________</w:t>
      </w:r>
      <w:r w:rsidR="00D946BC" w:rsidRPr="000E5DE9">
        <w:t>’s case.</w:t>
      </w:r>
    </w:p>
    <w:p w14:paraId="651B60FB" w14:textId="1E05FF49" w:rsidR="00BF1B65" w:rsidRPr="000E5DE9" w:rsidRDefault="00A030EE" w:rsidP="00D946BC">
      <w:pPr>
        <w:pStyle w:val="ListParagraph"/>
        <w:spacing w:line="480" w:lineRule="auto"/>
        <w:ind w:left="0" w:firstLine="720"/>
        <w:jc w:val="both"/>
      </w:pPr>
      <w:r>
        <w:t xml:space="preserve">Based on the above, </w:t>
      </w:r>
      <w:r w:rsidR="00981B94">
        <w:t>________________</w:t>
      </w:r>
      <w:r w:rsidR="00BF1B65" w:rsidRPr="000E5DE9">
        <w:t xml:space="preserve"> respectfully requests that her application for U Nonimmigrant Status be approved.  </w:t>
      </w:r>
    </w:p>
    <w:p w14:paraId="66647777" w14:textId="61DF1F78" w:rsidR="00BF1B65" w:rsidRPr="000E5DE9" w:rsidRDefault="00BF1B65" w:rsidP="00CC3721">
      <w:pPr>
        <w:spacing w:line="480" w:lineRule="auto"/>
        <w:jc w:val="both"/>
      </w:pPr>
      <w:r w:rsidRPr="000E5DE9">
        <w:tab/>
      </w:r>
      <w:r w:rsidRPr="000E5DE9">
        <w:tab/>
      </w:r>
      <w:r w:rsidRPr="000E5DE9">
        <w:tab/>
      </w:r>
      <w:r w:rsidRPr="000E5DE9">
        <w:tab/>
        <w:t xml:space="preserve">Respectfully submitted, November </w:t>
      </w:r>
      <w:r w:rsidR="00D343FA">
        <w:t>3</w:t>
      </w:r>
      <w:r w:rsidRPr="000E5DE9">
        <w:t>, 2016</w:t>
      </w:r>
    </w:p>
    <w:p w14:paraId="30A49C2C" w14:textId="77777777" w:rsidR="00C462A5" w:rsidRDefault="00C462A5" w:rsidP="00CC3721">
      <w:pPr>
        <w:pStyle w:val="Default"/>
        <w:jc w:val="both"/>
        <w:rPr>
          <w:color w:val="auto"/>
        </w:rPr>
      </w:pPr>
    </w:p>
    <w:p w14:paraId="36081B94" w14:textId="77777777" w:rsidR="00C462A5" w:rsidRDefault="00C462A5" w:rsidP="00CC3721">
      <w:pPr>
        <w:pStyle w:val="Default"/>
        <w:jc w:val="both"/>
        <w:rPr>
          <w:color w:val="auto"/>
        </w:rPr>
      </w:pPr>
    </w:p>
    <w:p w14:paraId="410F0B5F" w14:textId="77777777" w:rsidR="00BF1B65" w:rsidRPr="000E5DE9" w:rsidRDefault="00BF1B65" w:rsidP="00CC3721">
      <w:pPr>
        <w:pStyle w:val="Default"/>
        <w:jc w:val="both"/>
        <w:rPr>
          <w:color w:val="auto"/>
        </w:rPr>
      </w:pPr>
      <w:r w:rsidRPr="000E5DE9">
        <w:rPr>
          <w:color w:val="auto"/>
        </w:rPr>
        <w:t>M. AUDREY CARR, ESQ.</w:t>
      </w:r>
    </w:p>
    <w:p w14:paraId="7934180C" w14:textId="77777777" w:rsidR="00BF1B65" w:rsidRPr="000E5DE9" w:rsidRDefault="00BF1B65" w:rsidP="00CC3721">
      <w:pPr>
        <w:pStyle w:val="Default"/>
        <w:jc w:val="both"/>
        <w:rPr>
          <w:color w:val="auto"/>
        </w:rPr>
      </w:pPr>
      <w:r w:rsidRPr="000E5DE9">
        <w:rPr>
          <w:color w:val="auto"/>
        </w:rPr>
        <w:t>Director of Immigration</w:t>
      </w:r>
    </w:p>
    <w:p w14:paraId="5E8B6AB6" w14:textId="77777777" w:rsidR="00BF1B65" w:rsidRPr="000E5DE9" w:rsidRDefault="004E0EA9" w:rsidP="00CC3721">
      <w:pPr>
        <w:pStyle w:val="Default"/>
        <w:jc w:val="both"/>
        <w:rPr>
          <w:color w:val="auto"/>
        </w:rPr>
      </w:pPr>
      <w:hyperlink r:id="rId9" w:history="1">
        <w:r w:rsidR="00BF1B65" w:rsidRPr="000E5DE9">
          <w:rPr>
            <w:rStyle w:val="Hyperlink"/>
            <w:color w:val="auto"/>
          </w:rPr>
          <w:t>acarr@lsnyc.org</w:t>
        </w:r>
      </w:hyperlink>
    </w:p>
    <w:p w14:paraId="2589A6C1" w14:textId="77777777" w:rsidR="00BF1B65" w:rsidRPr="000E5DE9" w:rsidRDefault="00BF1B65" w:rsidP="00CC3721">
      <w:pPr>
        <w:pStyle w:val="Default"/>
        <w:jc w:val="both"/>
        <w:rPr>
          <w:color w:val="auto"/>
        </w:rPr>
      </w:pPr>
      <w:r w:rsidRPr="000E5DE9">
        <w:rPr>
          <w:color w:val="auto"/>
        </w:rPr>
        <w:t>Tel: 646-442-3612</w:t>
      </w:r>
    </w:p>
    <w:p w14:paraId="2CCEFD66" w14:textId="77777777" w:rsidR="00BF1B65" w:rsidRPr="000E5DE9" w:rsidRDefault="00BF1B65" w:rsidP="00CC3721">
      <w:pPr>
        <w:pStyle w:val="Default"/>
        <w:jc w:val="both"/>
        <w:rPr>
          <w:color w:val="auto"/>
        </w:rPr>
      </w:pPr>
    </w:p>
    <w:p w14:paraId="1BDC103E" w14:textId="77777777" w:rsidR="00BF1B65" w:rsidRPr="000E5DE9" w:rsidRDefault="00BF1B65" w:rsidP="00CC3721">
      <w:pPr>
        <w:pStyle w:val="Default"/>
        <w:jc w:val="both"/>
        <w:rPr>
          <w:color w:val="auto"/>
        </w:rPr>
      </w:pPr>
    </w:p>
    <w:p w14:paraId="7F30F254" w14:textId="42388A56" w:rsidR="00BF1B65" w:rsidRPr="000E5DE9" w:rsidRDefault="00BF1B65" w:rsidP="00CC3721">
      <w:pPr>
        <w:pStyle w:val="Default"/>
        <w:jc w:val="both"/>
        <w:rPr>
          <w:color w:val="auto"/>
        </w:rPr>
      </w:pPr>
      <w:r w:rsidRPr="000E5DE9">
        <w:rPr>
          <w:color w:val="auto"/>
        </w:rPr>
        <w:t>ERMELA SINGH, ESQ.</w:t>
      </w:r>
    </w:p>
    <w:p w14:paraId="13CD8AD6" w14:textId="77777777" w:rsidR="00BF1B65" w:rsidRPr="000E5DE9" w:rsidRDefault="00BF1B65" w:rsidP="00CC3721">
      <w:pPr>
        <w:pStyle w:val="Default"/>
        <w:jc w:val="both"/>
        <w:rPr>
          <w:color w:val="auto"/>
        </w:rPr>
      </w:pPr>
      <w:r w:rsidRPr="000E5DE9">
        <w:rPr>
          <w:color w:val="auto"/>
        </w:rPr>
        <w:t>Staff Attorney, Brooklyn Legal Services</w:t>
      </w:r>
    </w:p>
    <w:p w14:paraId="4F53F335" w14:textId="77777777" w:rsidR="00BF1B65" w:rsidRPr="000E5DE9" w:rsidRDefault="004E0EA9" w:rsidP="00CC3721">
      <w:pPr>
        <w:pStyle w:val="Default"/>
        <w:jc w:val="both"/>
        <w:rPr>
          <w:color w:val="auto"/>
        </w:rPr>
      </w:pPr>
      <w:hyperlink r:id="rId10" w:history="1">
        <w:r w:rsidR="00BF1B65" w:rsidRPr="000E5DE9">
          <w:rPr>
            <w:rStyle w:val="Hyperlink"/>
            <w:color w:val="auto"/>
          </w:rPr>
          <w:t>esingh@lsnyc.org</w:t>
        </w:r>
      </w:hyperlink>
    </w:p>
    <w:p w14:paraId="62A60C52" w14:textId="77777777" w:rsidR="00BF1B65" w:rsidRDefault="00BF1B65" w:rsidP="00CC3721">
      <w:pPr>
        <w:pStyle w:val="Default"/>
        <w:jc w:val="both"/>
        <w:rPr>
          <w:color w:val="auto"/>
        </w:rPr>
      </w:pPr>
      <w:r w:rsidRPr="000E5DE9">
        <w:rPr>
          <w:color w:val="auto"/>
        </w:rPr>
        <w:t>Tel: 718-237-5554</w:t>
      </w:r>
    </w:p>
    <w:p w14:paraId="7016BD34" w14:textId="77777777" w:rsidR="00C462A5" w:rsidRDefault="00C462A5" w:rsidP="00CC3721">
      <w:pPr>
        <w:pStyle w:val="Default"/>
        <w:jc w:val="both"/>
        <w:rPr>
          <w:color w:val="auto"/>
        </w:rPr>
      </w:pPr>
    </w:p>
    <w:p w14:paraId="336555D3" w14:textId="77777777" w:rsidR="00C462A5" w:rsidRPr="000E5DE9" w:rsidRDefault="00C462A5" w:rsidP="00CC3721">
      <w:pPr>
        <w:pStyle w:val="Default"/>
        <w:jc w:val="both"/>
        <w:rPr>
          <w:color w:val="auto"/>
        </w:rPr>
      </w:pPr>
    </w:p>
    <w:p w14:paraId="17339E5A" w14:textId="77777777" w:rsidR="00BF1B65" w:rsidRPr="000E5DE9" w:rsidRDefault="00BF1B65" w:rsidP="00CC3721">
      <w:pPr>
        <w:spacing w:line="480" w:lineRule="auto"/>
        <w:jc w:val="both"/>
      </w:pPr>
    </w:p>
    <w:p w14:paraId="324EA023" w14:textId="77777777" w:rsidR="00BF1B65" w:rsidRPr="000E5DE9" w:rsidRDefault="00BF1B65" w:rsidP="00CC3721">
      <w:pPr>
        <w:jc w:val="both"/>
      </w:pPr>
      <w:r w:rsidRPr="000E5DE9">
        <w:tab/>
      </w:r>
      <w:r w:rsidRPr="000E5DE9">
        <w:tab/>
      </w:r>
      <w:r w:rsidRPr="000E5DE9">
        <w:tab/>
      </w:r>
      <w:r w:rsidRPr="000E5DE9">
        <w:tab/>
        <w:t>____________________________________</w:t>
      </w:r>
    </w:p>
    <w:p w14:paraId="0D623676" w14:textId="77777777" w:rsidR="00BF1B65" w:rsidRPr="000E5DE9" w:rsidRDefault="00BF1B65" w:rsidP="00CC3721">
      <w:pPr>
        <w:jc w:val="both"/>
      </w:pPr>
      <w:r w:rsidRPr="000E5DE9">
        <w:tab/>
      </w:r>
      <w:r w:rsidRPr="000E5DE9">
        <w:tab/>
      </w:r>
      <w:r w:rsidRPr="000E5DE9">
        <w:tab/>
      </w:r>
      <w:r w:rsidRPr="000E5DE9">
        <w:tab/>
        <w:t>M. Audrey Carr</w:t>
      </w:r>
      <w:r>
        <w:t xml:space="preserve"> and Ermela Singh</w:t>
      </w:r>
    </w:p>
    <w:p w14:paraId="0BCFF4E2" w14:textId="01C5DFA5" w:rsidR="00BF1B65" w:rsidRPr="000E5DE9" w:rsidRDefault="00BF1B65" w:rsidP="00CC3721">
      <w:pPr>
        <w:jc w:val="both"/>
      </w:pPr>
      <w:r w:rsidRPr="000E5DE9">
        <w:tab/>
      </w:r>
      <w:r w:rsidRPr="000E5DE9">
        <w:tab/>
      </w:r>
      <w:r w:rsidRPr="000E5DE9">
        <w:tab/>
      </w:r>
      <w:r w:rsidRPr="000E5DE9">
        <w:tab/>
        <w:t>Attorney</w:t>
      </w:r>
      <w:r>
        <w:t>s</w:t>
      </w:r>
      <w:r w:rsidRPr="000E5DE9">
        <w:t xml:space="preserve"> for </w:t>
      </w:r>
      <w:r w:rsidR="00981B94">
        <w:t>________________</w:t>
      </w:r>
    </w:p>
    <w:p w14:paraId="43F2356D" w14:textId="77777777" w:rsidR="00BF1B65" w:rsidRPr="000E5DE9" w:rsidRDefault="00BF1B65" w:rsidP="00BF1B65"/>
    <w:p w14:paraId="3DF880B2" w14:textId="77777777" w:rsidR="00BF1B65" w:rsidRPr="000E5DE9" w:rsidRDefault="00BF1B65" w:rsidP="00BF1B65"/>
    <w:p w14:paraId="76274715" w14:textId="77777777" w:rsidR="00BF1B65" w:rsidRPr="000E5DE9" w:rsidRDefault="00BF1B65" w:rsidP="00BF1B65"/>
    <w:p w14:paraId="57DA01C0" w14:textId="77777777" w:rsidR="00981B94" w:rsidRDefault="00981B94" w:rsidP="00BF1B65"/>
    <w:sectPr w:rsidR="00981B9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D4DCE" w14:textId="77777777" w:rsidR="00981B94" w:rsidRDefault="00981B94" w:rsidP="00BF1B65">
      <w:r>
        <w:separator/>
      </w:r>
    </w:p>
  </w:endnote>
  <w:endnote w:type="continuationSeparator" w:id="0">
    <w:p w14:paraId="333FD061" w14:textId="77777777" w:rsidR="00981B94" w:rsidRDefault="00981B94" w:rsidP="00BF1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342734"/>
      <w:docPartObj>
        <w:docPartGallery w:val="Page Numbers (Bottom of Page)"/>
        <w:docPartUnique/>
      </w:docPartObj>
    </w:sdtPr>
    <w:sdtEndPr>
      <w:rPr>
        <w:noProof/>
      </w:rPr>
    </w:sdtEndPr>
    <w:sdtContent>
      <w:p w14:paraId="310D768E" w14:textId="015015DB" w:rsidR="00981B94" w:rsidRDefault="00981B94">
        <w:pPr>
          <w:pStyle w:val="Footer"/>
          <w:jc w:val="center"/>
        </w:pPr>
        <w:r>
          <w:fldChar w:fldCharType="begin"/>
        </w:r>
        <w:r>
          <w:instrText xml:space="preserve"> PAGE   \* MERGEFORMAT </w:instrText>
        </w:r>
        <w:r>
          <w:fldChar w:fldCharType="separate"/>
        </w:r>
        <w:r w:rsidR="004E0EA9">
          <w:rPr>
            <w:noProof/>
          </w:rPr>
          <w:t>15</w:t>
        </w:r>
        <w:r>
          <w:rPr>
            <w:noProof/>
          </w:rPr>
          <w:fldChar w:fldCharType="end"/>
        </w:r>
      </w:p>
    </w:sdtContent>
  </w:sdt>
  <w:p w14:paraId="5D909A48" w14:textId="77777777" w:rsidR="00981B94" w:rsidRDefault="00981B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EB94F" w14:textId="77777777" w:rsidR="00981B94" w:rsidRDefault="00981B94" w:rsidP="00BF1B65">
      <w:r>
        <w:separator/>
      </w:r>
    </w:p>
  </w:footnote>
  <w:footnote w:type="continuationSeparator" w:id="0">
    <w:p w14:paraId="351CC273" w14:textId="77777777" w:rsidR="00981B94" w:rsidRDefault="00981B94" w:rsidP="00BF1B65">
      <w:r>
        <w:continuationSeparator/>
      </w:r>
    </w:p>
  </w:footnote>
  <w:footnote w:id="1">
    <w:p w14:paraId="26A48E95" w14:textId="76590E39" w:rsidR="00981B94" w:rsidRDefault="00981B94" w:rsidP="00BF1B65">
      <w:pPr>
        <w:pStyle w:val="FootnoteText"/>
      </w:pPr>
      <w:r>
        <w:rPr>
          <w:rStyle w:val="FootnoteReference"/>
        </w:rPr>
        <w:footnoteRef/>
      </w:r>
      <w:r>
        <w:t xml:space="preserve"> The derivative’s denial dated September 12, 2016, as well as the denial on October 3, 2016 makes reference to the principal’s case being denied on September 1, 2016. Counsel received no denial with a September 1, 2016 date. The sole denials received </w:t>
      </w:r>
      <w:r w:rsidR="00493F47">
        <w:t>by counsel are</w:t>
      </w:r>
      <w:r>
        <w:t xml:space="preserve"> the September 12, 2016 denial for the derivative and the October 3, 2016 denial for the principal.</w:t>
      </w:r>
    </w:p>
  </w:footnote>
  <w:footnote w:id="2">
    <w:p w14:paraId="1B8606C0" w14:textId="20E6CEB2" w:rsidR="00981B94" w:rsidRPr="00181B2D" w:rsidRDefault="00981B94">
      <w:pPr>
        <w:pStyle w:val="FootnoteText"/>
      </w:pPr>
      <w:r>
        <w:rPr>
          <w:rStyle w:val="FootnoteReference"/>
        </w:rPr>
        <w:footnoteRef/>
      </w:r>
      <w:r>
        <w:t xml:space="preserve"> </w:t>
      </w:r>
      <w:r>
        <w:rPr>
          <w:i/>
        </w:rPr>
        <w:t>See Urban v. INS</w:t>
      </w:r>
      <w:r>
        <w:t>, 123 F.3d 644 (7</w:t>
      </w:r>
      <w:r w:rsidRPr="00181B2D">
        <w:rPr>
          <w:vertAlign w:val="superscript"/>
        </w:rPr>
        <w:t>th</w:t>
      </w:r>
      <w:r>
        <w:t xml:space="preserve"> Cir. 1997) (Economic hardship can be considered when determining hardship in waiver cases where there is complete inability to find work).</w:t>
      </w:r>
    </w:p>
  </w:footnote>
  <w:footnote w:id="3">
    <w:p w14:paraId="3B3557D6" w14:textId="77777777" w:rsidR="00981B94" w:rsidRDefault="00981B94" w:rsidP="00393E85">
      <w:pPr>
        <w:pStyle w:val="FootnoteText"/>
      </w:pPr>
      <w:r>
        <w:rPr>
          <w:rStyle w:val="FootnoteReference"/>
        </w:rPr>
        <w:footnoteRef/>
      </w:r>
      <w:r>
        <w:t xml:space="preserve"> http://www.ncadv.org/learn-more/statistics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A5598"/>
    <w:multiLevelType w:val="hybridMultilevel"/>
    <w:tmpl w:val="82D0F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C726D5"/>
    <w:multiLevelType w:val="hybridMultilevel"/>
    <w:tmpl w:val="D8BA0E2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46F02BCD"/>
    <w:multiLevelType w:val="hybridMultilevel"/>
    <w:tmpl w:val="C02CDD4A"/>
    <w:lvl w:ilvl="0" w:tplc="CB4A5F3A">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DD6AE71E">
      <w:start w:val="1"/>
      <w:numFmt w:val="decimal"/>
      <w:lvlText w:val="%3."/>
      <w:lvlJc w:val="left"/>
      <w:pPr>
        <w:ind w:left="1980" w:hanging="360"/>
      </w:pPr>
      <w:rPr>
        <w:rFonts w:ascii="Times New Roman" w:eastAsia="Times New Roman" w:hAnsi="Times New Roman" w:cs="Times New Roman"/>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AA53EE7"/>
    <w:multiLevelType w:val="hybridMultilevel"/>
    <w:tmpl w:val="ED6CF5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58A283F"/>
    <w:multiLevelType w:val="hybridMultilevel"/>
    <w:tmpl w:val="839C964A"/>
    <w:lvl w:ilvl="0" w:tplc="DD6AE71E">
      <w:start w:val="1"/>
      <w:numFmt w:val="decimal"/>
      <w:lvlText w:val="%1."/>
      <w:lvlJc w:val="left"/>
      <w:pPr>
        <w:ind w:left="198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93323E"/>
    <w:multiLevelType w:val="hybridMultilevel"/>
    <w:tmpl w:val="4C1AD9F2"/>
    <w:lvl w:ilvl="0" w:tplc="DD6AE71E">
      <w:start w:val="1"/>
      <w:numFmt w:val="decimal"/>
      <w:lvlText w:val="%1."/>
      <w:lvlJc w:val="left"/>
      <w:pPr>
        <w:ind w:left="270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DB565B5"/>
    <w:multiLevelType w:val="hybridMultilevel"/>
    <w:tmpl w:val="4AB42ED2"/>
    <w:lvl w:ilvl="0" w:tplc="DD6AE71E">
      <w:start w:val="1"/>
      <w:numFmt w:val="decimal"/>
      <w:lvlText w:val="%1."/>
      <w:lvlJc w:val="left"/>
      <w:pPr>
        <w:ind w:left="234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EA542E1"/>
    <w:multiLevelType w:val="multilevel"/>
    <w:tmpl w:val="35A6AB6E"/>
    <w:name w:val="zlitpref5"/>
    <w:lvl w:ilvl="0">
      <w:start w:val="1"/>
      <w:numFmt w:val="decimal"/>
      <w:pStyle w:val="zlitPref51"/>
      <w:lvlText w:val="%1."/>
      <w:lvlJc w:val="left"/>
      <w:pPr>
        <w:tabs>
          <w:tab w:val="num" w:pos="1260"/>
        </w:tabs>
        <w:ind w:firstLine="720"/>
      </w:pPr>
      <w:rPr>
        <w:rFonts w:cs="Times New Roman"/>
        <w:color w:val="000000" w:themeColor="text1"/>
      </w:rPr>
    </w:lvl>
    <w:lvl w:ilvl="1">
      <w:start w:val="1"/>
      <w:numFmt w:val="none"/>
      <w:lvlRestart w:val="0"/>
      <w:suff w:val="nothing"/>
      <w:lvlText w:val="%2"/>
      <w:lvlJc w:val="left"/>
      <w:rPr>
        <w:rFonts w:cs="Times New Roman"/>
      </w:rPr>
    </w:lvl>
    <w:lvl w:ilvl="2">
      <w:start w:val="1"/>
      <w:numFmt w:val="none"/>
      <w:lvlRestart w:val="0"/>
      <w:suff w:val="nothing"/>
      <w:lvlText w:val="%3"/>
      <w:lvlJc w:val="left"/>
      <w:rPr>
        <w:rFonts w:cs="Times New Roman"/>
      </w:rPr>
    </w:lvl>
    <w:lvl w:ilvl="3">
      <w:start w:val="1"/>
      <w:numFmt w:val="none"/>
      <w:lvlRestart w:val="0"/>
      <w:suff w:val="nothing"/>
      <w:lvlText w:val=""/>
      <w:lvlJc w:val="left"/>
      <w:rPr>
        <w:rFonts w:cs="Times New Roman"/>
      </w:rPr>
    </w:lvl>
    <w:lvl w:ilvl="4">
      <w:start w:val="1"/>
      <w:numFmt w:val="none"/>
      <w:lvlRestart w:val="0"/>
      <w:suff w:val="nothing"/>
      <w:lvlText w:val=""/>
      <w:lvlJc w:val="left"/>
      <w:rPr>
        <w:rFonts w:cs="Times New Roman"/>
      </w:rPr>
    </w:lvl>
    <w:lvl w:ilvl="5">
      <w:start w:val="1"/>
      <w:numFmt w:val="none"/>
      <w:lvlRestart w:val="0"/>
      <w:suff w:val="nothing"/>
      <w:lvlText w:val=""/>
      <w:lvlJc w:val="left"/>
      <w:rPr>
        <w:rFonts w:cs="Times New Roman"/>
      </w:rPr>
    </w:lvl>
    <w:lvl w:ilvl="6">
      <w:start w:val="1"/>
      <w:numFmt w:val="none"/>
      <w:lvlRestart w:val="0"/>
      <w:suff w:val="nothing"/>
      <w:lvlText w:val="%7"/>
      <w:lvlJc w:val="left"/>
      <w:rPr>
        <w:rFonts w:cs="Times New Roman"/>
      </w:rPr>
    </w:lvl>
    <w:lvl w:ilvl="7">
      <w:start w:val="1"/>
      <w:numFmt w:val="none"/>
      <w:lvlRestart w:val="0"/>
      <w:suff w:val="nothing"/>
      <w:lvlText w:val="%8"/>
      <w:lvlJc w:val="left"/>
      <w:rPr>
        <w:rFonts w:cs="Times New Roman"/>
      </w:rPr>
    </w:lvl>
    <w:lvl w:ilvl="8">
      <w:start w:val="1"/>
      <w:numFmt w:val="none"/>
      <w:lvlRestart w:val="0"/>
      <w:suff w:val="nothing"/>
      <w:lvlText w:val="%9"/>
      <w:lvlJc w:val="left"/>
      <w:rPr>
        <w:rFonts w:cs="Times New Roman"/>
      </w:rPr>
    </w:lvl>
  </w:abstractNum>
  <w:num w:numId="1">
    <w:abstractNumId w:val="2"/>
  </w:num>
  <w:num w:numId="2">
    <w:abstractNumId w:val="0"/>
  </w:num>
  <w:num w:numId="3">
    <w:abstractNumId w:val="4"/>
  </w:num>
  <w:num w:numId="4">
    <w:abstractNumId w:val="3"/>
  </w:num>
  <w:num w:numId="5">
    <w:abstractNumId w:val="6"/>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B65"/>
    <w:rsid w:val="000D4B66"/>
    <w:rsid w:val="001001F1"/>
    <w:rsid w:val="00120BA6"/>
    <w:rsid w:val="001474E6"/>
    <w:rsid w:val="00152325"/>
    <w:rsid w:val="00181B2D"/>
    <w:rsid w:val="001E6E78"/>
    <w:rsid w:val="00293FE3"/>
    <w:rsid w:val="002E300E"/>
    <w:rsid w:val="00393E85"/>
    <w:rsid w:val="00410DA2"/>
    <w:rsid w:val="0042141F"/>
    <w:rsid w:val="00480E97"/>
    <w:rsid w:val="00493F47"/>
    <w:rsid w:val="004E0EA9"/>
    <w:rsid w:val="004E1CF3"/>
    <w:rsid w:val="0050640C"/>
    <w:rsid w:val="005A4335"/>
    <w:rsid w:val="00637050"/>
    <w:rsid w:val="006D0389"/>
    <w:rsid w:val="006F11B6"/>
    <w:rsid w:val="00714544"/>
    <w:rsid w:val="0072628E"/>
    <w:rsid w:val="00746116"/>
    <w:rsid w:val="00753B70"/>
    <w:rsid w:val="007B0406"/>
    <w:rsid w:val="007F61E6"/>
    <w:rsid w:val="0083413A"/>
    <w:rsid w:val="008743FC"/>
    <w:rsid w:val="008E3506"/>
    <w:rsid w:val="00981B94"/>
    <w:rsid w:val="00A030EE"/>
    <w:rsid w:val="00A84A1E"/>
    <w:rsid w:val="00AB58B7"/>
    <w:rsid w:val="00AD76A5"/>
    <w:rsid w:val="00AE25CB"/>
    <w:rsid w:val="00B76262"/>
    <w:rsid w:val="00BC5A71"/>
    <w:rsid w:val="00BF1B65"/>
    <w:rsid w:val="00C310FF"/>
    <w:rsid w:val="00C462A5"/>
    <w:rsid w:val="00C70D06"/>
    <w:rsid w:val="00CC172A"/>
    <w:rsid w:val="00CC3721"/>
    <w:rsid w:val="00D343FA"/>
    <w:rsid w:val="00D717FB"/>
    <w:rsid w:val="00D946BC"/>
    <w:rsid w:val="00E1368E"/>
    <w:rsid w:val="00E614EA"/>
    <w:rsid w:val="00F32230"/>
    <w:rsid w:val="00F75873"/>
    <w:rsid w:val="00F83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B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B65"/>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B65"/>
    <w:pPr>
      <w:ind w:left="720"/>
    </w:pPr>
  </w:style>
  <w:style w:type="paragraph" w:styleId="FootnoteText">
    <w:name w:val="footnote text"/>
    <w:basedOn w:val="Normal"/>
    <w:link w:val="FootnoteTextChar"/>
    <w:uiPriority w:val="99"/>
    <w:semiHidden/>
    <w:rsid w:val="00BF1B65"/>
    <w:pPr>
      <w:suppressAutoHyphens w:val="0"/>
    </w:pPr>
    <w:rPr>
      <w:sz w:val="20"/>
      <w:szCs w:val="20"/>
      <w:lang w:eastAsia="en-US"/>
    </w:rPr>
  </w:style>
  <w:style w:type="character" w:customStyle="1" w:styleId="FootnoteTextChar">
    <w:name w:val="Footnote Text Char"/>
    <w:basedOn w:val="DefaultParagraphFont"/>
    <w:link w:val="FootnoteText"/>
    <w:uiPriority w:val="99"/>
    <w:semiHidden/>
    <w:rsid w:val="00BF1B65"/>
    <w:rPr>
      <w:rFonts w:ascii="Times New Roman" w:eastAsia="Times New Roman" w:hAnsi="Times New Roman" w:cs="Times New Roman"/>
      <w:sz w:val="20"/>
      <w:szCs w:val="20"/>
    </w:rPr>
  </w:style>
  <w:style w:type="character" w:styleId="FootnoteReference">
    <w:name w:val="footnote reference"/>
    <w:uiPriority w:val="99"/>
    <w:semiHidden/>
    <w:rsid w:val="00BF1B65"/>
    <w:rPr>
      <w:vertAlign w:val="superscript"/>
    </w:rPr>
  </w:style>
  <w:style w:type="character" w:customStyle="1" w:styleId="ptext-2">
    <w:name w:val="ptext-2"/>
    <w:rsid w:val="00BF1B65"/>
  </w:style>
  <w:style w:type="character" w:styleId="Hyperlink">
    <w:name w:val="Hyperlink"/>
    <w:uiPriority w:val="99"/>
    <w:rsid w:val="00BF1B65"/>
    <w:rPr>
      <w:rFonts w:cs="Times New Roman"/>
      <w:color w:val="0000FF"/>
      <w:u w:val="single"/>
    </w:rPr>
  </w:style>
  <w:style w:type="paragraph" w:customStyle="1" w:styleId="Default">
    <w:name w:val="Default"/>
    <w:rsid w:val="00BF1B6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zlitPref51">
    <w:name w:val="zlit Pref5 1."/>
    <w:basedOn w:val="Normal"/>
    <w:uiPriority w:val="99"/>
    <w:rsid w:val="00393E85"/>
    <w:pPr>
      <w:numPr>
        <w:numId w:val="7"/>
      </w:numPr>
      <w:tabs>
        <w:tab w:val="num" w:pos="1440"/>
      </w:tabs>
      <w:suppressAutoHyphens w:val="0"/>
      <w:spacing w:line="480" w:lineRule="auto"/>
    </w:pPr>
    <w:rPr>
      <w:lang w:eastAsia="en-US"/>
    </w:rPr>
  </w:style>
  <w:style w:type="paragraph" w:styleId="BalloonText">
    <w:name w:val="Balloon Text"/>
    <w:basedOn w:val="Normal"/>
    <w:link w:val="BalloonTextChar"/>
    <w:uiPriority w:val="99"/>
    <w:semiHidden/>
    <w:unhideWhenUsed/>
    <w:rsid w:val="00152325"/>
    <w:rPr>
      <w:rFonts w:ascii="Tahoma" w:hAnsi="Tahoma" w:cs="Tahoma"/>
      <w:sz w:val="16"/>
      <w:szCs w:val="16"/>
    </w:rPr>
  </w:style>
  <w:style w:type="character" w:customStyle="1" w:styleId="BalloonTextChar">
    <w:name w:val="Balloon Text Char"/>
    <w:basedOn w:val="DefaultParagraphFont"/>
    <w:link w:val="BalloonText"/>
    <w:uiPriority w:val="99"/>
    <w:semiHidden/>
    <w:rsid w:val="00152325"/>
    <w:rPr>
      <w:rFonts w:ascii="Tahoma" w:eastAsia="Times New Roman" w:hAnsi="Tahoma" w:cs="Tahoma"/>
      <w:sz w:val="16"/>
      <w:szCs w:val="16"/>
      <w:lang w:eastAsia="ar-SA"/>
    </w:rPr>
  </w:style>
  <w:style w:type="paragraph" w:styleId="Header">
    <w:name w:val="header"/>
    <w:basedOn w:val="Normal"/>
    <w:link w:val="HeaderChar"/>
    <w:uiPriority w:val="99"/>
    <w:unhideWhenUsed/>
    <w:rsid w:val="008E3506"/>
    <w:pPr>
      <w:tabs>
        <w:tab w:val="center" w:pos="4680"/>
        <w:tab w:val="right" w:pos="9360"/>
      </w:tabs>
      <w:suppressAutoHyphens w:val="0"/>
    </w:pPr>
    <w:rPr>
      <w:rFonts w:eastAsiaTheme="minorHAnsi"/>
      <w:lang w:eastAsia="en-US"/>
    </w:rPr>
  </w:style>
  <w:style w:type="character" w:customStyle="1" w:styleId="HeaderChar">
    <w:name w:val="Header Char"/>
    <w:basedOn w:val="DefaultParagraphFont"/>
    <w:link w:val="Header"/>
    <w:uiPriority w:val="99"/>
    <w:rsid w:val="008E3506"/>
    <w:rPr>
      <w:rFonts w:ascii="Times New Roman" w:hAnsi="Times New Roman" w:cs="Times New Roman"/>
      <w:sz w:val="24"/>
      <w:szCs w:val="24"/>
    </w:rPr>
  </w:style>
  <w:style w:type="paragraph" w:styleId="Footer">
    <w:name w:val="footer"/>
    <w:basedOn w:val="Normal"/>
    <w:link w:val="FooterChar"/>
    <w:uiPriority w:val="99"/>
    <w:unhideWhenUsed/>
    <w:rsid w:val="001E6E78"/>
    <w:pPr>
      <w:tabs>
        <w:tab w:val="center" w:pos="4680"/>
        <w:tab w:val="right" w:pos="9360"/>
      </w:tabs>
    </w:pPr>
  </w:style>
  <w:style w:type="character" w:customStyle="1" w:styleId="FooterChar">
    <w:name w:val="Footer Char"/>
    <w:basedOn w:val="DefaultParagraphFont"/>
    <w:link w:val="Footer"/>
    <w:uiPriority w:val="99"/>
    <w:rsid w:val="001E6E78"/>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B65"/>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B65"/>
    <w:pPr>
      <w:ind w:left="720"/>
    </w:pPr>
  </w:style>
  <w:style w:type="paragraph" w:styleId="FootnoteText">
    <w:name w:val="footnote text"/>
    <w:basedOn w:val="Normal"/>
    <w:link w:val="FootnoteTextChar"/>
    <w:uiPriority w:val="99"/>
    <w:semiHidden/>
    <w:rsid w:val="00BF1B65"/>
    <w:pPr>
      <w:suppressAutoHyphens w:val="0"/>
    </w:pPr>
    <w:rPr>
      <w:sz w:val="20"/>
      <w:szCs w:val="20"/>
      <w:lang w:eastAsia="en-US"/>
    </w:rPr>
  </w:style>
  <w:style w:type="character" w:customStyle="1" w:styleId="FootnoteTextChar">
    <w:name w:val="Footnote Text Char"/>
    <w:basedOn w:val="DefaultParagraphFont"/>
    <w:link w:val="FootnoteText"/>
    <w:uiPriority w:val="99"/>
    <w:semiHidden/>
    <w:rsid w:val="00BF1B65"/>
    <w:rPr>
      <w:rFonts w:ascii="Times New Roman" w:eastAsia="Times New Roman" w:hAnsi="Times New Roman" w:cs="Times New Roman"/>
      <w:sz w:val="20"/>
      <w:szCs w:val="20"/>
    </w:rPr>
  </w:style>
  <w:style w:type="character" w:styleId="FootnoteReference">
    <w:name w:val="footnote reference"/>
    <w:uiPriority w:val="99"/>
    <w:semiHidden/>
    <w:rsid w:val="00BF1B65"/>
    <w:rPr>
      <w:vertAlign w:val="superscript"/>
    </w:rPr>
  </w:style>
  <w:style w:type="character" w:customStyle="1" w:styleId="ptext-2">
    <w:name w:val="ptext-2"/>
    <w:rsid w:val="00BF1B65"/>
  </w:style>
  <w:style w:type="character" w:styleId="Hyperlink">
    <w:name w:val="Hyperlink"/>
    <w:uiPriority w:val="99"/>
    <w:rsid w:val="00BF1B65"/>
    <w:rPr>
      <w:rFonts w:cs="Times New Roman"/>
      <w:color w:val="0000FF"/>
      <w:u w:val="single"/>
    </w:rPr>
  </w:style>
  <w:style w:type="paragraph" w:customStyle="1" w:styleId="Default">
    <w:name w:val="Default"/>
    <w:rsid w:val="00BF1B6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zlitPref51">
    <w:name w:val="zlit Pref5 1."/>
    <w:basedOn w:val="Normal"/>
    <w:uiPriority w:val="99"/>
    <w:rsid w:val="00393E85"/>
    <w:pPr>
      <w:numPr>
        <w:numId w:val="7"/>
      </w:numPr>
      <w:tabs>
        <w:tab w:val="num" w:pos="1440"/>
      </w:tabs>
      <w:suppressAutoHyphens w:val="0"/>
      <w:spacing w:line="480" w:lineRule="auto"/>
    </w:pPr>
    <w:rPr>
      <w:lang w:eastAsia="en-US"/>
    </w:rPr>
  </w:style>
  <w:style w:type="paragraph" w:styleId="BalloonText">
    <w:name w:val="Balloon Text"/>
    <w:basedOn w:val="Normal"/>
    <w:link w:val="BalloonTextChar"/>
    <w:uiPriority w:val="99"/>
    <w:semiHidden/>
    <w:unhideWhenUsed/>
    <w:rsid w:val="00152325"/>
    <w:rPr>
      <w:rFonts w:ascii="Tahoma" w:hAnsi="Tahoma" w:cs="Tahoma"/>
      <w:sz w:val="16"/>
      <w:szCs w:val="16"/>
    </w:rPr>
  </w:style>
  <w:style w:type="character" w:customStyle="1" w:styleId="BalloonTextChar">
    <w:name w:val="Balloon Text Char"/>
    <w:basedOn w:val="DefaultParagraphFont"/>
    <w:link w:val="BalloonText"/>
    <w:uiPriority w:val="99"/>
    <w:semiHidden/>
    <w:rsid w:val="00152325"/>
    <w:rPr>
      <w:rFonts w:ascii="Tahoma" w:eastAsia="Times New Roman" w:hAnsi="Tahoma" w:cs="Tahoma"/>
      <w:sz w:val="16"/>
      <w:szCs w:val="16"/>
      <w:lang w:eastAsia="ar-SA"/>
    </w:rPr>
  </w:style>
  <w:style w:type="paragraph" w:styleId="Header">
    <w:name w:val="header"/>
    <w:basedOn w:val="Normal"/>
    <w:link w:val="HeaderChar"/>
    <w:uiPriority w:val="99"/>
    <w:unhideWhenUsed/>
    <w:rsid w:val="008E3506"/>
    <w:pPr>
      <w:tabs>
        <w:tab w:val="center" w:pos="4680"/>
        <w:tab w:val="right" w:pos="9360"/>
      </w:tabs>
      <w:suppressAutoHyphens w:val="0"/>
    </w:pPr>
    <w:rPr>
      <w:rFonts w:eastAsiaTheme="minorHAnsi"/>
      <w:lang w:eastAsia="en-US"/>
    </w:rPr>
  </w:style>
  <w:style w:type="character" w:customStyle="1" w:styleId="HeaderChar">
    <w:name w:val="Header Char"/>
    <w:basedOn w:val="DefaultParagraphFont"/>
    <w:link w:val="Header"/>
    <w:uiPriority w:val="99"/>
    <w:rsid w:val="008E3506"/>
    <w:rPr>
      <w:rFonts w:ascii="Times New Roman" w:hAnsi="Times New Roman" w:cs="Times New Roman"/>
      <w:sz w:val="24"/>
      <w:szCs w:val="24"/>
    </w:rPr>
  </w:style>
  <w:style w:type="paragraph" w:styleId="Footer">
    <w:name w:val="footer"/>
    <w:basedOn w:val="Normal"/>
    <w:link w:val="FooterChar"/>
    <w:uiPriority w:val="99"/>
    <w:unhideWhenUsed/>
    <w:rsid w:val="001E6E78"/>
    <w:pPr>
      <w:tabs>
        <w:tab w:val="center" w:pos="4680"/>
        <w:tab w:val="right" w:pos="9360"/>
      </w:tabs>
    </w:pPr>
  </w:style>
  <w:style w:type="character" w:customStyle="1" w:styleId="FooterChar">
    <w:name w:val="Footer Char"/>
    <w:basedOn w:val="DefaultParagraphFont"/>
    <w:link w:val="Footer"/>
    <w:uiPriority w:val="99"/>
    <w:rsid w:val="001E6E78"/>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esingh@lsnyc.org" TargetMode="External"/><Relationship Id="rId4" Type="http://schemas.microsoft.com/office/2007/relationships/stylesWithEffects" Target="stylesWithEffects.xml"/><Relationship Id="rId9" Type="http://schemas.openxmlformats.org/officeDocument/2006/relationships/hyperlink" Target="mailto:acarr@lsny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44CB7-EF01-4341-B91A-BFBD65E60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4435</Words>
  <Characters>25286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Legal Services NYC</Company>
  <LinksUpToDate>false</LinksUpToDate>
  <CharactersWithSpaces>29662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Carr</dc:creator>
  <cp:lastModifiedBy>Carr, Audrey</cp:lastModifiedBy>
  <cp:revision>3</cp:revision>
  <cp:lastPrinted>2017-04-14T14:50:00Z</cp:lastPrinted>
  <dcterms:created xsi:type="dcterms:W3CDTF">2017-03-17T13:30:00Z</dcterms:created>
  <dcterms:modified xsi:type="dcterms:W3CDTF">2017-04-14T14:50:00Z</dcterms:modified>
</cp:coreProperties>
</file>