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E90A" w14:textId="77777777" w:rsidR="00446696" w:rsidRPr="002F14DB" w:rsidRDefault="00446696" w:rsidP="00446696">
      <w:pPr>
        <w:spacing w:after="0"/>
        <w:rPr>
          <w:rFonts w:ascii="Times New Roman" w:hAnsi="Times New Roman"/>
          <w:bCs/>
          <w:sz w:val="24"/>
          <w:szCs w:val="24"/>
        </w:rPr>
      </w:pPr>
      <w:r w:rsidRPr="002F14DB">
        <w:rPr>
          <w:rFonts w:ascii="Times New Roman" w:hAnsi="Times New Roman"/>
          <w:bCs/>
          <w:sz w:val="24"/>
          <w:szCs w:val="24"/>
        </w:rPr>
        <w:t xml:space="preserve">Daniel T. </w:t>
      </w:r>
      <w:r>
        <w:rPr>
          <w:rFonts w:ascii="Times New Roman" w:hAnsi="Times New Roman"/>
          <w:bCs/>
          <w:sz w:val="24"/>
          <w:szCs w:val="24"/>
        </w:rPr>
        <w:t>Huang</w:t>
      </w:r>
      <w:r w:rsidRPr="002F14DB">
        <w:rPr>
          <w:rFonts w:ascii="Times New Roman" w:hAnsi="Times New Roman"/>
          <w:bCs/>
          <w:sz w:val="24"/>
          <w:szCs w:val="24"/>
        </w:rPr>
        <w:t>, ESQ.  EOIR ID: UY853953</w:t>
      </w:r>
    </w:p>
    <w:p w14:paraId="59800F7B" w14:textId="77777777" w:rsidR="00446696" w:rsidRPr="002F14DB" w:rsidRDefault="00446696" w:rsidP="00446696">
      <w:pPr>
        <w:spacing w:after="0"/>
        <w:rPr>
          <w:rFonts w:ascii="Times New Roman" w:hAnsi="Times New Roman"/>
          <w:bCs/>
          <w:sz w:val="24"/>
          <w:szCs w:val="24"/>
        </w:rPr>
      </w:pPr>
      <w:r w:rsidRPr="002F14DB">
        <w:rPr>
          <w:rFonts w:ascii="Times New Roman" w:hAnsi="Times New Roman"/>
          <w:bCs/>
          <w:sz w:val="24"/>
          <w:szCs w:val="24"/>
        </w:rPr>
        <w:t>Haven Law Group, APC.</w:t>
      </w:r>
    </w:p>
    <w:p w14:paraId="20DEBC46" w14:textId="77777777" w:rsidR="00446696" w:rsidRPr="002F14DB" w:rsidRDefault="00446696" w:rsidP="00446696">
      <w:pPr>
        <w:pStyle w:val="Heading4"/>
        <w:rPr>
          <w:sz w:val="24"/>
        </w:rPr>
      </w:pPr>
      <w:r w:rsidRPr="002F14DB">
        <w:rPr>
          <w:sz w:val="24"/>
        </w:rPr>
        <w:t>1111 Corporate Center Dr., Suite 106</w:t>
      </w:r>
    </w:p>
    <w:p w14:paraId="1BE99410" w14:textId="77777777" w:rsidR="00446696" w:rsidRPr="002F14DB" w:rsidRDefault="00446696" w:rsidP="00446696">
      <w:pPr>
        <w:rPr>
          <w:rFonts w:ascii="Times New Roman" w:hAnsi="Times New Roman"/>
          <w:sz w:val="24"/>
          <w:szCs w:val="24"/>
          <w:lang w:eastAsia="zh-CN"/>
        </w:rPr>
      </w:pPr>
      <w:r w:rsidRPr="002F14DB">
        <w:rPr>
          <w:rFonts w:ascii="Times New Roman" w:hAnsi="Times New Roman"/>
          <w:sz w:val="24"/>
          <w:szCs w:val="24"/>
          <w:lang w:eastAsia="zh-CN"/>
        </w:rPr>
        <w:t>Monterey Park, CA 91754</w:t>
      </w:r>
    </w:p>
    <w:p w14:paraId="6AE1D9FD" w14:textId="77777777" w:rsidR="00446696" w:rsidRDefault="00446696" w:rsidP="00446696">
      <w:pPr>
        <w:spacing w:after="0"/>
        <w:rPr>
          <w:rFonts w:ascii="Times New Roman" w:hAnsi="Times New Roman"/>
          <w:sz w:val="24"/>
          <w:szCs w:val="24"/>
        </w:rPr>
      </w:pPr>
      <w:r>
        <w:rPr>
          <w:rFonts w:ascii="Times New Roman" w:hAnsi="Times New Roman"/>
          <w:sz w:val="24"/>
          <w:szCs w:val="24"/>
        </w:rPr>
        <w:t xml:space="preserve">Tel: </w:t>
      </w:r>
      <w:r w:rsidRPr="002F14DB">
        <w:rPr>
          <w:rFonts w:ascii="Times New Roman" w:hAnsi="Times New Roman"/>
          <w:sz w:val="24"/>
          <w:szCs w:val="24"/>
        </w:rPr>
        <w:t>(</w:t>
      </w:r>
      <w:r>
        <w:rPr>
          <w:rFonts w:ascii="Times New Roman" w:hAnsi="Times New Roman"/>
          <w:sz w:val="24"/>
          <w:szCs w:val="24"/>
        </w:rPr>
        <w:t>323) 318-2601</w:t>
      </w:r>
    </w:p>
    <w:p w14:paraId="7574B73E" w14:textId="77777777" w:rsidR="00446696" w:rsidRPr="002F14DB" w:rsidRDefault="00446696" w:rsidP="00446696">
      <w:pPr>
        <w:spacing w:after="0"/>
        <w:rPr>
          <w:rFonts w:ascii="Times New Roman" w:hAnsi="Times New Roman"/>
          <w:sz w:val="24"/>
          <w:szCs w:val="24"/>
          <w:lang w:eastAsia="zh-CN"/>
        </w:rPr>
      </w:pPr>
      <w:r>
        <w:rPr>
          <w:rFonts w:ascii="Times New Roman" w:hAnsi="Times New Roman"/>
          <w:sz w:val="24"/>
          <w:szCs w:val="24"/>
          <w:lang w:eastAsia="zh-CN"/>
        </w:rPr>
        <w:t>Fax: (866) 295-7308</w:t>
      </w:r>
    </w:p>
    <w:p w14:paraId="19A6BAF0" w14:textId="77777777" w:rsidR="00446696" w:rsidRPr="002F14DB" w:rsidRDefault="00446696" w:rsidP="00446696">
      <w:pPr>
        <w:spacing w:after="0"/>
        <w:rPr>
          <w:rFonts w:ascii="Times New Roman" w:hAnsi="Times New Roman"/>
          <w:sz w:val="24"/>
          <w:szCs w:val="24"/>
        </w:rPr>
      </w:pPr>
      <w:r w:rsidRPr="002F14DB">
        <w:rPr>
          <w:rFonts w:ascii="Times New Roman" w:hAnsi="Times New Roman"/>
          <w:sz w:val="24"/>
          <w:szCs w:val="24"/>
        </w:rPr>
        <w:t>daniel@havenlawgroup.net</w:t>
      </w:r>
    </w:p>
    <w:p w14:paraId="2C5E54F1" w14:textId="77777777" w:rsidR="00446696" w:rsidRPr="002F14DB" w:rsidRDefault="00446696" w:rsidP="00446696">
      <w:pPr>
        <w:spacing w:after="0"/>
        <w:rPr>
          <w:rFonts w:ascii="Times New Roman" w:hAnsi="Times New Roman"/>
          <w:sz w:val="24"/>
          <w:szCs w:val="24"/>
        </w:rPr>
      </w:pPr>
    </w:p>
    <w:p w14:paraId="39ED6D87" w14:textId="77777777" w:rsidR="00446696" w:rsidRPr="00F7126D" w:rsidRDefault="00446696" w:rsidP="00446696">
      <w:pPr>
        <w:rPr>
          <w:rFonts w:ascii="Times New Roman" w:hAnsi="Times New Roman"/>
          <w:sz w:val="24"/>
          <w:szCs w:val="24"/>
        </w:rPr>
      </w:pPr>
      <w:r w:rsidRPr="00F7126D">
        <w:rPr>
          <w:rFonts w:ascii="Times New Roman" w:hAnsi="Times New Roman"/>
          <w:sz w:val="24"/>
          <w:szCs w:val="24"/>
        </w:rPr>
        <w:t>Attorney</w:t>
      </w:r>
      <w:r>
        <w:rPr>
          <w:rFonts w:ascii="Times New Roman" w:hAnsi="Times New Roman"/>
          <w:sz w:val="24"/>
          <w:szCs w:val="24"/>
        </w:rPr>
        <w:t xml:space="preserve"> for Respondent </w:t>
      </w:r>
    </w:p>
    <w:p w14:paraId="648FB4EC" w14:textId="77777777" w:rsidR="00446696" w:rsidRPr="00F7126D" w:rsidRDefault="00446696" w:rsidP="00446696">
      <w:pPr>
        <w:rPr>
          <w:rFonts w:ascii="Times New Roman" w:hAnsi="Times New Roman"/>
          <w:sz w:val="24"/>
          <w:szCs w:val="24"/>
        </w:rPr>
      </w:pPr>
    </w:p>
    <w:p w14:paraId="781CBC9D" w14:textId="77777777" w:rsidR="00446696" w:rsidRPr="00B474A0" w:rsidRDefault="00446696" w:rsidP="00446696">
      <w:pPr>
        <w:spacing w:after="0"/>
        <w:jc w:val="center"/>
        <w:rPr>
          <w:rFonts w:ascii="Times New Roman" w:hAnsi="Times New Roman"/>
          <w:b/>
          <w:sz w:val="24"/>
          <w:szCs w:val="24"/>
        </w:rPr>
      </w:pPr>
      <w:r w:rsidRPr="00B474A0">
        <w:rPr>
          <w:rFonts w:ascii="Times New Roman" w:hAnsi="Times New Roman"/>
          <w:b/>
          <w:sz w:val="24"/>
          <w:szCs w:val="24"/>
        </w:rPr>
        <w:t>UNITED STATES DEPARTMENT OF JUSTICE</w:t>
      </w:r>
    </w:p>
    <w:p w14:paraId="017CCF0C" w14:textId="77777777" w:rsidR="00446696" w:rsidRPr="00B474A0" w:rsidRDefault="00446696" w:rsidP="00446696">
      <w:pPr>
        <w:spacing w:after="0"/>
        <w:jc w:val="center"/>
        <w:rPr>
          <w:rFonts w:ascii="Times New Roman" w:hAnsi="Times New Roman"/>
          <w:b/>
          <w:sz w:val="24"/>
          <w:szCs w:val="24"/>
        </w:rPr>
      </w:pPr>
      <w:r w:rsidRPr="00B474A0">
        <w:rPr>
          <w:rFonts w:ascii="Times New Roman" w:hAnsi="Times New Roman"/>
          <w:b/>
          <w:sz w:val="24"/>
          <w:szCs w:val="24"/>
        </w:rPr>
        <w:t>EXECUTIVE OFFICE OF IMMIGRATION REVIEW</w:t>
      </w:r>
    </w:p>
    <w:p w14:paraId="2C1FA427" w14:textId="77777777" w:rsidR="00446696" w:rsidRPr="00B474A0" w:rsidRDefault="00446696" w:rsidP="00446696">
      <w:pPr>
        <w:spacing w:after="0"/>
        <w:jc w:val="center"/>
        <w:rPr>
          <w:rFonts w:ascii="Times New Roman" w:hAnsi="Times New Roman"/>
          <w:b/>
          <w:sz w:val="24"/>
          <w:szCs w:val="24"/>
        </w:rPr>
      </w:pPr>
      <w:r w:rsidRPr="00B474A0">
        <w:rPr>
          <w:rFonts w:ascii="Times New Roman" w:hAnsi="Times New Roman"/>
          <w:b/>
          <w:sz w:val="24"/>
          <w:szCs w:val="24"/>
        </w:rPr>
        <w:t>LOS ANGELES, CALIFORNIA</w:t>
      </w:r>
    </w:p>
    <w:p w14:paraId="54E926C3" w14:textId="77777777" w:rsidR="00446696" w:rsidRPr="00F7126D" w:rsidRDefault="00446696" w:rsidP="00446696">
      <w:pPr>
        <w:spacing w:after="0"/>
        <w:rPr>
          <w:rFonts w:ascii="Times New Roman" w:hAnsi="Times New Roman"/>
          <w:sz w:val="24"/>
          <w:szCs w:val="24"/>
        </w:rPr>
      </w:pPr>
    </w:p>
    <w:p w14:paraId="0F80EDD5" w14:textId="77777777" w:rsidR="00446696" w:rsidRPr="00F7126D" w:rsidRDefault="00446696" w:rsidP="00446696">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46696" w:rsidRPr="00F7126D" w14:paraId="336041D6" w14:textId="77777777" w:rsidTr="00CB6A45">
        <w:tc>
          <w:tcPr>
            <w:tcW w:w="4428" w:type="dxa"/>
          </w:tcPr>
          <w:p w14:paraId="6030BE39" w14:textId="77777777" w:rsidR="00446696" w:rsidRPr="00F7126D" w:rsidRDefault="00446696" w:rsidP="00CB6A45">
            <w:pPr>
              <w:spacing w:after="0"/>
              <w:rPr>
                <w:rFonts w:ascii="Times New Roman" w:hAnsi="Times New Roman"/>
                <w:sz w:val="24"/>
                <w:szCs w:val="24"/>
              </w:rPr>
            </w:pPr>
            <w:r w:rsidRPr="00F7126D">
              <w:rPr>
                <w:rFonts w:ascii="Times New Roman" w:hAnsi="Times New Roman"/>
                <w:sz w:val="24"/>
                <w:szCs w:val="24"/>
              </w:rPr>
              <w:t xml:space="preserve">IN THE MATTER OF:    </w:t>
            </w:r>
          </w:p>
          <w:p w14:paraId="48FE733D" w14:textId="77777777" w:rsidR="00446696" w:rsidRPr="00F7126D" w:rsidRDefault="00446696" w:rsidP="00CB6A45">
            <w:pPr>
              <w:spacing w:after="0"/>
              <w:rPr>
                <w:rFonts w:ascii="Times New Roman" w:hAnsi="Times New Roman"/>
                <w:sz w:val="24"/>
                <w:szCs w:val="24"/>
              </w:rPr>
            </w:pPr>
          </w:p>
          <w:p w14:paraId="6497BF87" w14:textId="77777777" w:rsidR="00446696" w:rsidRPr="00F7126D" w:rsidRDefault="00446696" w:rsidP="00CB6A45">
            <w:pPr>
              <w:spacing w:after="0"/>
              <w:rPr>
                <w:rFonts w:ascii="Times New Roman" w:hAnsi="Times New Roman"/>
                <w:sz w:val="24"/>
                <w:szCs w:val="24"/>
              </w:rPr>
            </w:pPr>
            <w:r>
              <w:rPr>
                <w:rFonts w:ascii="Times New Roman" w:hAnsi="Times New Roman"/>
                <w:sz w:val="24"/>
                <w:szCs w:val="24"/>
              </w:rPr>
              <w:t>XXX</w:t>
            </w:r>
          </w:p>
          <w:p w14:paraId="2C9B8C1D" w14:textId="77777777" w:rsidR="00446696" w:rsidRPr="00F7126D" w:rsidRDefault="00446696" w:rsidP="00CB6A45">
            <w:pPr>
              <w:spacing w:after="0"/>
              <w:rPr>
                <w:rFonts w:ascii="Times New Roman" w:hAnsi="Times New Roman"/>
                <w:sz w:val="24"/>
                <w:szCs w:val="24"/>
              </w:rPr>
            </w:pPr>
          </w:p>
          <w:p w14:paraId="665B07DA" w14:textId="77777777" w:rsidR="00446696" w:rsidRPr="00F7126D" w:rsidRDefault="00446696" w:rsidP="00CB6A45">
            <w:pPr>
              <w:spacing w:after="0"/>
              <w:ind w:left="2880"/>
              <w:rPr>
                <w:rFonts w:ascii="Times New Roman" w:hAnsi="Times New Roman"/>
                <w:sz w:val="24"/>
                <w:szCs w:val="24"/>
              </w:rPr>
            </w:pPr>
            <w:r>
              <w:rPr>
                <w:rFonts w:ascii="Times New Roman" w:hAnsi="Times New Roman"/>
                <w:sz w:val="24"/>
                <w:szCs w:val="24"/>
              </w:rPr>
              <w:t xml:space="preserve"> </w:t>
            </w:r>
            <w:r w:rsidRPr="00F7126D">
              <w:rPr>
                <w:rFonts w:ascii="Times New Roman" w:hAnsi="Times New Roman"/>
                <w:sz w:val="24"/>
                <w:szCs w:val="24"/>
              </w:rPr>
              <w:t xml:space="preserve">          </w:t>
            </w:r>
            <w:r>
              <w:rPr>
                <w:rFonts w:ascii="Times New Roman" w:hAnsi="Times New Roman"/>
                <w:sz w:val="24"/>
                <w:szCs w:val="24"/>
              </w:rPr>
              <w:t>Respondent</w:t>
            </w:r>
            <w:r w:rsidRPr="00F7126D">
              <w:rPr>
                <w:rFonts w:ascii="Times New Roman" w:hAnsi="Times New Roman"/>
                <w:sz w:val="24"/>
                <w:szCs w:val="24"/>
              </w:rPr>
              <w:t xml:space="preserve">                                                                             </w:t>
            </w:r>
          </w:p>
        </w:tc>
        <w:tc>
          <w:tcPr>
            <w:tcW w:w="4428" w:type="dxa"/>
          </w:tcPr>
          <w:p w14:paraId="4D4935CC" w14:textId="77777777" w:rsidR="00446696" w:rsidRDefault="00446696" w:rsidP="00CB6A45">
            <w:pPr>
              <w:spacing w:after="0"/>
              <w:rPr>
                <w:rFonts w:ascii="Times New Roman" w:hAnsi="Times New Roman"/>
                <w:sz w:val="24"/>
                <w:szCs w:val="24"/>
              </w:rPr>
            </w:pPr>
            <w:r w:rsidRPr="00F7126D">
              <w:rPr>
                <w:rFonts w:ascii="Times New Roman" w:hAnsi="Times New Roman"/>
                <w:sz w:val="24"/>
                <w:szCs w:val="24"/>
              </w:rPr>
              <w:t>Removing Proceedings</w:t>
            </w:r>
            <w:r w:rsidRPr="00F7126D">
              <w:rPr>
                <w:rFonts w:ascii="Times New Roman" w:hAnsi="Times New Roman"/>
                <w:sz w:val="24"/>
                <w:szCs w:val="24"/>
              </w:rPr>
              <w:br/>
            </w:r>
          </w:p>
          <w:p w14:paraId="0CA1B9C4" w14:textId="77777777" w:rsidR="00446696" w:rsidRPr="00F7126D" w:rsidRDefault="00446696" w:rsidP="00CB6A45">
            <w:pPr>
              <w:spacing w:after="0"/>
              <w:rPr>
                <w:rFonts w:ascii="Times New Roman" w:hAnsi="Times New Roman"/>
                <w:sz w:val="24"/>
                <w:szCs w:val="24"/>
              </w:rPr>
            </w:pPr>
            <w:r>
              <w:rPr>
                <w:rFonts w:ascii="Times New Roman" w:hAnsi="Times New Roman"/>
                <w:sz w:val="24"/>
                <w:szCs w:val="24"/>
              </w:rPr>
              <w:t>File number: A 000 000 000</w:t>
            </w:r>
          </w:p>
        </w:tc>
      </w:tr>
    </w:tbl>
    <w:p w14:paraId="0ECA79F9" w14:textId="77777777" w:rsidR="00446696" w:rsidRPr="00F7126D" w:rsidRDefault="00446696" w:rsidP="00446696">
      <w:pPr>
        <w:spacing w:after="0"/>
        <w:rPr>
          <w:rFonts w:ascii="Times New Roman" w:hAnsi="Times New Roman"/>
          <w:sz w:val="24"/>
          <w:szCs w:val="24"/>
          <w:lang w:eastAsia="zh-CN"/>
        </w:rPr>
      </w:pPr>
    </w:p>
    <w:p w14:paraId="08B60706" w14:textId="77777777" w:rsidR="00446696" w:rsidRDefault="00446696" w:rsidP="00446696">
      <w:pPr>
        <w:rPr>
          <w:rFonts w:ascii="Times New Roman" w:eastAsia="Times New Roman" w:hAnsi="Times New Roman"/>
          <w:color w:val="000000"/>
          <w:sz w:val="24"/>
          <w:szCs w:val="24"/>
        </w:rPr>
      </w:pPr>
      <w:r w:rsidRPr="006A00C6">
        <w:rPr>
          <w:rFonts w:ascii="Times New Roman" w:eastAsia="Times New Roman" w:hAnsi="Times New Roman"/>
          <w:color w:val="000000"/>
          <w:sz w:val="24"/>
          <w:szCs w:val="24"/>
        </w:rPr>
        <w:t>Immigration Judge</w:t>
      </w:r>
      <w:r>
        <w:rPr>
          <w:rFonts w:ascii="Times New Roman" w:eastAsia="Times New Roman" w:hAnsi="Times New Roman"/>
          <w:color w:val="000000"/>
          <w:sz w:val="24"/>
          <w:szCs w:val="24"/>
        </w:rPr>
        <w:t xml:space="preserve"> XXX</w:t>
      </w:r>
    </w:p>
    <w:p w14:paraId="4A38222F" w14:textId="77777777" w:rsidR="00446696" w:rsidRPr="006A00C6" w:rsidRDefault="00446696" w:rsidP="00446696">
      <w:pPr>
        <w:rPr>
          <w:rFonts w:ascii="Times New Roman" w:eastAsia="Times New Roman" w:hAnsi="Times New Roman"/>
          <w:sz w:val="24"/>
          <w:szCs w:val="24"/>
        </w:rPr>
      </w:pPr>
      <w:r>
        <w:rPr>
          <w:rFonts w:ascii="Times New Roman" w:eastAsia="Times New Roman" w:hAnsi="Times New Roman"/>
          <w:color w:val="000000"/>
          <w:sz w:val="24"/>
          <w:szCs w:val="24"/>
        </w:rPr>
        <w:t xml:space="preserve">Merits Hearing date: </w:t>
      </w:r>
      <w:r>
        <w:rPr>
          <w:rFonts w:ascii="Times New Roman" w:hAnsi="Times New Roman"/>
          <w:sz w:val="24"/>
          <w:szCs w:val="24"/>
        </w:rPr>
        <w:t>mm/dd/</w:t>
      </w:r>
      <w:proofErr w:type="spellStart"/>
      <w:r>
        <w:rPr>
          <w:rFonts w:ascii="Times New Roman" w:hAnsi="Times New Roman"/>
          <w:sz w:val="24"/>
          <w:szCs w:val="24"/>
        </w:rPr>
        <w:t>yyyy</w:t>
      </w:r>
      <w:proofErr w:type="spellEnd"/>
    </w:p>
    <w:p w14:paraId="668436F8" w14:textId="77777777" w:rsidR="00446696" w:rsidRDefault="00446696" w:rsidP="00446696">
      <w:pPr>
        <w:spacing w:line="480" w:lineRule="auto"/>
        <w:jc w:val="center"/>
        <w:rPr>
          <w:rFonts w:ascii="Times New Roman" w:hAnsi="Times New Roman"/>
          <w:b/>
          <w:sz w:val="24"/>
          <w:szCs w:val="24"/>
        </w:rPr>
      </w:pPr>
    </w:p>
    <w:p w14:paraId="793DB663" w14:textId="77777777" w:rsidR="00446696" w:rsidRPr="001F131A" w:rsidRDefault="00446696" w:rsidP="00446696">
      <w:pPr>
        <w:spacing w:line="480" w:lineRule="auto"/>
        <w:jc w:val="center"/>
        <w:rPr>
          <w:rFonts w:ascii="Times New Roman" w:hAnsi="Times New Roman"/>
          <w:b/>
          <w:caps/>
          <w:sz w:val="24"/>
          <w:szCs w:val="24"/>
        </w:rPr>
      </w:pPr>
      <w:r w:rsidRPr="001F131A">
        <w:rPr>
          <w:rFonts w:ascii="Times New Roman" w:hAnsi="Times New Roman"/>
          <w:b/>
          <w:sz w:val="24"/>
          <w:szCs w:val="24"/>
        </w:rPr>
        <w:t xml:space="preserve">RESPONDENT’S </w:t>
      </w:r>
      <w:r w:rsidRPr="001F131A">
        <w:rPr>
          <w:rFonts w:ascii="Times New Roman" w:hAnsi="Times New Roman"/>
          <w:b/>
          <w:caps/>
          <w:sz w:val="24"/>
          <w:szCs w:val="24"/>
        </w:rPr>
        <w:t>Trial Brief</w:t>
      </w:r>
    </w:p>
    <w:p w14:paraId="4F8ADC31" w14:textId="77777777" w:rsidR="00446696" w:rsidRDefault="00446696" w:rsidP="00446696">
      <w:pPr>
        <w:spacing w:line="480" w:lineRule="auto"/>
        <w:rPr>
          <w:rFonts w:ascii="Times New Roman" w:hAnsi="Times New Roman"/>
          <w:caps/>
          <w:sz w:val="24"/>
          <w:szCs w:val="24"/>
        </w:rPr>
      </w:pPr>
    </w:p>
    <w:p w14:paraId="1D2E10C1" w14:textId="77777777" w:rsidR="00446696" w:rsidRDefault="00446696" w:rsidP="00446696">
      <w:pPr>
        <w:spacing w:line="480" w:lineRule="auto"/>
        <w:rPr>
          <w:rFonts w:ascii="Times New Roman" w:hAnsi="Times New Roman"/>
          <w:caps/>
          <w:sz w:val="24"/>
          <w:szCs w:val="24"/>
        </w:rPr>
      </w:pPr>
    </w:p>
    <w:p w14:paraId="0B45847F" w14:textId="77777777" w:rsidR="00446696" w:rsidRDefault="00446696" w:rsidP="00446696">
      <w:pPr>
        <w:spacing w:line="480" w:lineRule="auto"/>
        <w:rPr>
          <w:rFonts w:ascii="Times New Roman" w:hAnsi="Times New Roman"/>
          <w:caps/>
          <w:sz w:val="24"/>
          <w:szCs w:val="24"/>
        </w:rPr>
      </w:pPr>
    </w:p>
    <w:p w14:paraId="04F8C173" w14:textId="77777777" w:rsidR="00446696" w:rsidRDefault="00446696" w:rsidP="00446696">
      <w:pPr>
        <w:spacing w:line="480" w:lineRule="auto"/>
        <w:rPr>
          <w:rFonts w:ascii="Times New Roman" w:hAnsi="Times New Roman"/>
          <w:caps/>
          <w:sz w:val="24"/>
          <w:szCs w:val="24"/>
        </w:rPr>
      </w:pPr>
    </w:p>
    <w:p w14:paraId="56220CED" w14:textId="77777777" w:rsidR="00446696" w:rsidRDefault="00446696" w:rsidP="00446696">
      <w:pPr>
        <w:spacing w:line="480" w:lineRule="auto"/>
        <w:rPr>
          <w:rFonts w:ascii="Times New Roman" w:hAnsi="Times New Roman"/>
          <w:b/>
          <w:caps/>
          <w:sz w:val="24"/>
          <w:szCs w:val="24"/>
        </w:rPr>
      </w:pPr>
      <w:r w:rsidRPr="000C7856">
        <w:rPr>
          <w:rFonts w:ascii="Times New Roman" w:hAnsi="Times New Roman"/>
          <w:b/>
          <w:caps/>
          <w:sz w:val="24"/>
          <w:szCs w:val="24"/>
        </w:rPr>
        <w:t xml:space="preserve">In the Matter of </w:t>
      </w:r>
      <w:r>
        <w:rPr>
          <w:rFonts w:ascii="Times New Roman" w:hAnsi="Times New Roman"/>
          <w:b/>
          <w:caps/>
          <w:sz w:val="24"/>
          <w:szCs w:val="24"/>
        </w:rPr>
        <w:t>XXX</w:t>
      </w:r>
      <w:r w:rsidRPr="000C7856">
        <w:rPr>
          <w:rFonts w:ascii="Times New Roman" w:hAnsi="Times New Roman"/>
          <w:b/>
          <w:caps/>
          <w:sz w:val="24"/>
          <w:szCs w:val="24"/>
        </w:rPr>
        <w:t>,</w:t>
      </w:r>
      <w:r>
        <w:rPr>
          <w:rFonts w:ascii="Times New Roman" w:hAnsi="Times New Roman"/>
          <w:b/>
          <w:caps/>
          <w:sz w:val="24"/>
          <w:szCs w:val="24"/>
        </w:rPr>
        <w:tab/>
      </w:r>
      <w:r w:rsidRPr="000C7856">
        <w:rPr>
          <w:rFonts w:ascii="Times New Roman" w:hAnsi="Times New Roman"/>
          <w:b/>
          <w:caps/>
          <w:sz w:val="24"/>
          <w:szCs w:val="24"/>
        </w:rPr>
        <w:t xml:space="preserve"> A </w:t>
      </w:r>
      <w:r>
        <w:rPr>
          <w:rFonts w:ascii="Times New Roman" w:hAnsi="Times New Roman" w:hint="eastAsia"/>
          <w:b/>
          <w:caps/>
          <w:sz w:val="24"/>
          <w:szCs w:val="24"/>
          <w:lang w:eastAsia="zh-CN"/>
        </w:rPr>
        <w:t>000</w:t>
      </w:r>
      <w:r>
        <w:rPr>
          <w:rFonts w:ascii="Times New Roman" w:hAnsi="Times New Roman"/>
          <w:b/>
          <w:caps/>
          <w:sz w:val="24"/>
          <w:szCs w:val="24"/>
        </w:rPr>
        <w:t xml:space="preserve"> </w:t>
      </w:r>
      <w:r>
        <w:rPr>
          <w:rFonts w:ascii="Times New Roman" w:hAnsi="Times New Roman" w:hint="eastAsia"/>
          <w:b/>
          <w:caps/>
          <w:sz w:val="24"/>
          <w:szCs w:val="24"/>
          <w:lang w:eastAsia="zh-CN"/>
        </w:rPr>
        <w:t>000</w:t>
      </w:r>
      <w:r>
        <w:rPr>
          <w:rFonts w:ascii="Times New Roman" w:hAnsi="Times New Roman"/>
          <w:b/>
          <w:caps/>
          <w:sz w:val="24"/>
          <w:szCs w:val="24"/>
        </w:rPr>
        <w:t xml:space="preserve"> </w:t>
      </w:r>
      <w:r>
        <w:rPr>
          <w:rFonts w:ascii="Times New Roman" w:hAnsi="Times New Roman" w:hint="eastAsia"/>
          <w:b/>
          <w:caps/>
          <w:sz w:val="24"/>
          <w:szCs w:val="24"/>
          <w:lang w:eastAsia="zh-CN"/>
        </w:rPr>
        <w:t>000</w:t>
      </w:r>
    </w:p>
    <w:p w14:paraId="7356CA1E" w14:textId="77777777" w:rsidR="00446696" w:rsidRPr="00F71AB7" w:rsidRDefault="00446696" w:rsidP="00446696">
      <w:pPr>
        <w:spacing w:line="480" w:lineRule="auto"/>
        <w:jc w:val="center"/>
        <w:rPr>
          <w:rFonts w:ascii="Times New Roman" w:hAnsi="Times New Roman"/>
          <w:b/>
          <w:caps/>
          <w:sz w:val="24"/>
          <w:szCs w:val="24"/>
          <w:u w:val="single"/>
        </w:rPr>
      </w:pPr>
      <w:r w:rsidRPr="00F71AB7">
        <w:rPr>
          <w:rFonts w:ascii="Times New Roman" w:hAnsi="Times New Roman"/>
          <w:b/>
          <w:caps/>
          <w:sz w:val="24"/>
          <w:szCs w:val="24"/>
          <w:u w:val="single"/>
        </w:rPr>
        <w:lastRenderedPageBreak/>
        <w:t>PRELIMINARY STATEMENT</w:t>
      </w:r>
    </w:p>
    <w:p w14:paraId="6394E1EC" w14:textId="77777777" w:rsidR="00446696" w:rsidRDefault="00446696" w:rsidP="00446696">
      <w:pPr>
        <w:spacing w:after="0" w:line="36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At Respondent’s last master calendar hearing on mm/dd/</w:t>
      </w:r>
      <w:proofErr w:type="spellStart"/>
      <w:r>
        <w:rPr>
          <w:rFonts w:ascii="Times New Roman" w:hAnsi="Times New Roman"/>
          <w:sz w:val="24"/>
          <w:szCs w:val="24"/>
        </w:rPr>
        <w:t>yyyy</w:t>
      </w:r>
      <w:proofErr w:type="spellEnd"/>
      <w:r>
        <w:rPr>
          <w:rFonts w:ascii="Times New Roman" w:hAnsi="Times New Roman"/>
          <w:sz w:val="24"/>
          <w:szCs w:val="24"/>
        </w:rPr>
        <w:t>, the Court found that since Ms</w:t>
      </w:r>
      <w:r>
        <w:rPr>
          <w:rFonts w:ascii="Times New Roman" w:hAnsi="Times New Roman" w:hint="eastAsia"/>
          <w:sz w:val="24"/>
          <w:szCs w:val="24"/>
          <w:lang w:eastAsia="zh-CN"/>
        </w:rPr>
        <w:t>.</w:t>
      </w:r>
      <w:r>
        <w:rPr>
          <w:rFonts w:ascii="Times New Roman" w:hAnsi="Times New Roman"/>
          <w:sz w:val="24"/>
          <w:szCs w:val="24"/>
        </w:rPr>
        <w:t xml:space="preserve"> </w:t>
      </w:r>
      <w:r>
        <w:rPr>
          <w:rFonts w:ascii="Times New Roman" w:hAnsi="Times New Roman"/>
          <w:sz w:val="24"/>
          <w:szCs w:val="24"/>
          <w:lang w:eastAsia="zh-CN"/>
        </w:rPr>
        <w:t>XXX</w:t>
      </w:r>
      <w:r>
        <w:rPr>
          <w:rFonts w:ascii="Times New Roman" w:hAnsi="Times New Roman"/>
          <w:sz w:val="24"/>
          <w:szCs w:val="24"/>
        </w:rPr>
        <w:t>’s minor daughter, XXX (A000 000 000) was not a U.S. citizen or permanent resident, Ms. XXX is not eligible for relief for VAWA Cancellation of Removal.  The Court directed the Respondent to prepare for the Merits Hearing on mm/dd/</w:t>
      </w:r>
      <w:proofErr w:type="spellStart"/>
      <w:r>
        <w:rPr>
          <w:rFonts w:ascii="Times New Roman" w:hAnsi="Times New Roman"/>
          <w:sz w:val="24"/>
          <w:szCs w:val="24"/>
        </w:rPr>
        <w:t>yyyy</w:t>
      </w:r>
      <w:proofErr w:type="spellEnd"/>
      <w:r>
        <w:rPr>
          <w:rFonts w:ascii="Times New Roman" w:hAnsi="Times New Roman"/>
          <w:sz w:val="24"/>
          <w:szCs w:val="24"/>
        </w:rPr>
        <w:t>.</w:t>
      </w:r>
    </w:p>
    <w:p w14:paraId="61AC12D8" w14:textId="77777777" w:rsidR="00446696" w:rsidRDefault="00446696" w:rsidP="00446696">
      <w:pPr>
        <w:spacing w:after="0" w:line="360" w:lineRule="auto"/>
        <w:rPr>
          <w:rFonts w:ascii="Times New Roman" w:hAnsi="Times New Roman"/>
          <w:sz w:val="24"/>
          <w:szCs w:val="24"/>
        </w:rPr>
      </w:pPr>
    </w:p>
    <w:p w14:paraId="215BC8D4"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Furthermore, on mm/dd/</w:t>
      </w:r>
      <w:proofErr w:type="spellStart"/>
      <w:r>
        <w:rPr>
          <w:rFonts w:ascii="Times New Roman" w:hAnsi="Times New Roman"/>
          <w:sz w:val="24"/>
          <w:szCs w:val="24"/>
        </w:rPr>
        <w:t>yyyy</w:t>
      </w:r>
      <w:proofErr w:type="spellEnd"/>
      <w:r>
        <w:rPr>
          <w:rFonts w:ascii="Times New Roman" w:hAnsi="Times New Roman"/>
          <w:sz w:val="24"/>
          <w:szCs w:val="24"/>
        </w:rPr>
        <w:t xml:space="preserve">, the Attorney General delivered the decision in </w:t>
      </w:r>
      <w:r w:rsidRPr="00176015">
        <w:rPr>
          <w:rFonts w:ascii="Times New Roman" w:hAnsi="Times New Roman"/>
          <w:i/>
          <w:sz w:val="24"/>
          <w:szCs w:val="24"/>
        </w:rPr>
        <w:t>Matter of A-B-</w:t>
      </w:r>
      <w:r>
        <w:rPr>
          <w:rFonts w:ascii="Times New Roman" w:hAnsi="Times New Roman"/>
          <w:i/>
          <w:sz w:val="24"/>
          <w:szCs w:val="24"/>
        </w:rPr>
        <w:t>,</w:t>
      </w:r>
      <w:r>
        <w:rPr>
          <w:rStyle w:val="FootnoteReference"/>
          <w:rFonts w:ascii="Times New Roman" w:hAnsi="Times New Roman"/>
          <w:i/>
          <w:sz w:val="24"/>
          <w:szCs w:val="24"/>
        </w:rPr>
        <w:footnoteReference w:id="1"/>
      </w:r>
      <w:r>
        <w:rPr>
          <w:rFonts w:ascii="Times New Roman" w:hAnsi="Times New Roman"/>
          <w:i/>
          <w:sz w:val="24"/>
          <w:szCs w:val="24"/>
        </w:rPr>
        <w:t xml:space="preserve"> </w:t>
      </w:r>
      <w:r>
        <w:rPr>
          <w:rFonts w:ascii="Times New Roman" w:hAnsi="Times New Roman"/>
          <w:sz w:val="24"/>
          <w:szCs w:val="24"/>
        </w:rPr>
        <w:t xml:space="preserve">which expressly overruled </w:t>
      </w:r>
      <w:r w:rsidRPr="00176015">
        <w:rPr>
          <w:rFonts w:ascii="Times New Roman" w:hAnsi="Times New Roman"/>
          <w:i/>
          <w:sz w:val="24"/>
          <w:szCs w:val="24"/>
        </w:rPr>
        <w:t>Matter of A-R-C-G</w:t>
      </w:r>
      <w:r>
        <w:rPr>
          <w:rFonts w:ascii="Times New Roman" w:hAnsi="Times New Roman"/>
          <w:sz w:val="24"/>
          <w:szCs w:val="24"/>
        </w:rPr>
        <w:t xml:space="preserve"> because he found the latter had failed to correctly apply the standards to determine whether the persecution was based on membership in a “particular social group.”</w:t>
      </w:r>
      <w:r>
        <w:rPr>
          <w:rStyle w:val="FootnoteReference"/>
          <w:rFonts w:ascii="Times New Roman" w:hAnsi="Times New Roman"/>
          <w:sz w:val="24"/>
          <w:szCs w:val="24"/>
        </w:rPr>
        <w:footnoteReference w:id="2"/>
      </w:r>
      <w:r>
        <w:rPr>
          <w:rFonts w:ascii="Times New Roman" w:hAnsi="Times New Roman"/>
          <w:sz w:val="24"/>
          <w:szCs w:val="24"/>
        </w:rPr>
        <w:t xml:space="preserve">  In light of these developments, the Respondent, through undersigned counsel, submits this brief in support of her eligibility for under INA §240A(b)(2) as the parent of an abused child of a Lawful Permanent Resident.</w:t>
      </w:r>
    </w:p>
    <w:p w14:paraId="5934371E" w14:textId="77777777" w:rsidR="00446696" w:rsidRPr="000C7856" w:rsidRDefault="00446696" w:rsidP="00446696">
      <w:pPr>
        <w:spacing w:after="0"/>
        <w:rPr>
          <w:rFonts w:ascii="Times New Roman" w:hAnsi="Times New Roman"/>
          <w:sz w:val="24"/>
          <w:szCs w:val="24"/>
        </w:rPr>
      </w:pPr>
    </w:p>
    <w:p w14:paraId="43336C64" w14:textId="77777777" w:rsidR="00446696" w:rsidRPr="00F71AB7" w:rsidRDefault="00446696" w:rsidP="00446696">
      <w:pPr>
        <w:spacing w:after="0"/>
        <w:jc w:val="center"/>
        <w:rPr>
          <w:rFonts w:ascii="Times New Roman" w:hAnsi="Times New Roman"/>
          <w:b/>
          <w:sz w:val="24"/>
          <w:szCs w:val="24"/>
          <w:u w:val="single"/>
        </w:rPr>
      </w:pPr>
      <w:r w:rsidRPr="00F71AB7">
        <w:rPr>
          <w:rFonts w:ascii="Times New Roman" w:hAnsi="Times New Roman"/>
          <w:b/>
          <w:sz w:val="24"/>
          <w:szCs w:val="24"/>
          <w:u w:val="single"/>
        </w:rPr>
        <w:t>ISSUES PRESENTED</w:t>
      </w:r>
    </w:p>
    <w:p w14:paraId="26D200C9" w14:textId="77777777" w:rsidR="00446696" w:rsidRPr="00E61701" w:rsidRDefault="00446696" w:rsidP="00446696">
      <w:pPr>
        <w:spacing w:after="0"/>
        <w:rPr>
          <w:rFonts w:ascii="Times New Roman" w:hAnsi="Times New Roman"/>
          <w:sz w:val="24"/>
          <w:szCs w:val="24"/>
        </w:rPr>
      </w:pPr>
    </w:p>
    <w:p w14:paraId="6174EB4B" w14:textId="77777777" w:rsidR="00446696" w:rsidRPr="00E61701" w:rsidRDefault="00446696" w:rsidP="00446696">
      <w:pPr>
        <w:spacing w:after="0" w:line="360" w:lineRule="auto"/>
        <w:rPr>
          <w:rFonts w:ascii="Times New Roman" w:hAnsi="Times New Roman"/>
          <w:sz w:val="24"/>
          <w:szCs w:val="24"/>
        </w:rPr>
      </w:pPr>
      <w:r w:rsidRPr="00E61701">
        <w:rPr>
          <w:rFonts w:ascii="Times New Roman" w:hAnsi="Times New Roman"/>
          <w:sz w:val="24"/>
          <w:szCs w:val="24"/>
        </w:rPr>
        <w:t>1.</w:t>
      </w:r>
      <w:r w:rsidRPr="00E61701">
        <w:rPr>
          <w:rFonts w:ascii="Times New Roman" w:hAnsi="Times New Roman"/>
          <w:sz w:val="24"/>
          <w:szCs w:val="24"/>
        </w:rPr>
        <w:tab/>
        <w:t>Whether a noncitizen parent's application for special rule cancelation under VAWA based upon extreme cruelty to the applicant's child must be denied when the abused</w:t>
      </w:r>
      <w:r>
        <w:rPr>
          <w:rFonts w:ascii="Times New Roman" w:hAnsi="Times New Roman"/>
          <w:sz w:val="24"/>
          <w:szCs w:val="24"/>
        </w:rPr>
        <w:t xml:space="preserve"> </w:t>
      </w:r>
      <w:r w:rsidRPr="00E61701">
        <w:rPr>
          <w:rFonts w:ascii="Times New Roman" w:hAnsi="Times New Roman"/>
          <w:sz w:val="24"/>
          <w:szCs w:val="24"/>
        </w:rPr>
        <w:t>child</w:t>
      </w:r>
      <w:r>
        <w:rPr>
          <w:rFonts w:ascii="Times New Roman" w:hAnsi="Times New Roman"/>
          <w:sz w:val="24"/>
          <w:szCs w:val="24"/>
        </w:rPr>
        <w:t xml:space="preserve"> is not a citizen or lawful permanent resident of the United States</w:t>
      </w:r>
      <w:r w:rsidRPr="00E61701">
        <w:rPr>
          <w:rFonts w:ascii="Times New Roman" w:hAnsi="Times New Roman"/>
          <w:sz w:val="24"/>
          <w:szCs w:val="24"/>
        </w:rPr>
        <w:t>?</w:t>
      </w:r>
    </w:p>
    <w:p w14:paraId="5D739900" w14:textId="77777777" w:rsidR="00446696" w:rsidRDefault="00446696" w:rsidP="00446696">
      <w:pPr>
        <w:spacing w:after="0" w:line="360" w:lineRule="auto"/>
        <w:rPr>
          <w:rFonts w:ascii="Times New Roman" w:hAnsi="Times New Roman"/>
          <w:sz w:val="24"/>
          <w:szCs w:val="24"/>
        </w:rPr>
      </w:pPr>
    </w:p>
    <w:p w14:paraId="36C17F66" w14:textId="77777777" w:rsidR="00446696" w:rsidRPr="00E61701" w:rsidRDefault="00446696" w:rsidP="00446696">
      <w:pPr>
        <w:spacing w:after="0" w:line="360" w:lineRule="auto"/>
        <w:rPr>
          <w:rFonts w:ascii="Times New Roman" w:hAnsi="Times New Roman"/>
          <w:sz w:val="24"/>
          <w:szCs w:val="24"/>
        </w:rPr>
      </w:pPr>
      <w:r w:rsidRPr="00E61701">
        <w:rPr>
          <w:rFonts w:ascii="Times New Roman" w:hAnsi="Times New Roman"/>
          <w:sz w:val="24"/>
          <w:szCs w:val="24"/>
        </w:rPr>
        <w:t>2.</w:t>
      </w:r>
      <w:r w:rsidRPr="00E61701">
        <w:rPr>
          <w:rFonts w:ascii="Times New Roman" w:hAnsi="Times New Roman"/>
          <w:sz w:val="24"/>
          <w:szCs w:val="24"/>
        </w:rPr>
        <w:tab/>
        <w:t>Whether "extreme cruelty" under VAWA requires evidence of "actual harm" to the child of a noncitizen parent facing deportation?</w:t>
      </w:r>
    </w:p>
    <w:p w14:paraId="38414332" w14:textId="77777777" w:rsidR="00446696" w:rsidRDefault="00446696" w:rsidP="00446696">
      <w:pPr>
        <w:spacing w:after="0" w:line="360" w:lineRule="auto"/>
        <w:rPr>
          <w:rFonts w:ascii="Times New Roman" w:hAnsi="Times New Roman"/>
          <w:sz w:val="24"/>
          <w:szCs w:val="24"/>
        </w:rPr>
      </w:pPr>
    </w:p>
    <w:p w14:paraId="3ABBB885" w14:textId="77777777" w:rsidR="00446696" w:rsidRDefault="00446696" w:rsidP="00446696">
      <w:pPr>
        <w:spacing w:after="0" w:line="360" w:lineRule="auto"/>
        <w:rPr>
          <w:rFonts w:ascii="Times New Roman" w:hAnsi="Times New Roman"/>
          <w:sz w:val="24"/>
          <w:szCs w:val="24"/>
        </w:rPr>
      </w:pPr>
      <w:r w:rsidRPr="00E61701">
        <w:rPr>
          <w:rFonts w:ascii="Times New Roman" w:hAnsi="Times New Roman"/>
          <w:sz w:val="24"/>
          <w:szCs w:val="24"/>
        </w:rPr>
        <w:t>3.</w:t>
      </w:r>
      <w:r w:rsidRPr="00E61701">
        <w:rPr>
          <w:rFonts w:ascii="Times New Roman" w:hAnsi="Times New Roman"/>
          <w:sz w:val="24"/>
          <w:szCs w:val="24"/>
        </w:rPr>
        <w:tab/>
        <w:t>Whether the psychological abuse associated with a child witnessing intentional acts of domestic violence perpetrated by her father against h</w:t>
      </w:r>
      <w:r>
        <w:rPr>
          <w:rFonts w:ascii="Times New Roman" w:hAnsi="Times New Roman"/>
          <w:sz w:val="24"/>
          <w:szCs w:val="24"/>
        </w:rPr>
        <w:t>is</w:t>
      </w:r>
      <w:r w:rsidRPr="00E61701">
        <w:rPr>
          <w:rFonts w:ascii="Times New Roman" w:hAnsi="Times New Roman"/>
          <w:sz w:val="24"/>
          <w:szCs w:val="24"/>
        </w:rPr>
        <w:t xml:space="preserve"> noncitizen </w:t>
      </w:r>
      <w:r>
        <w:rPr>
          <w:rFonts w:ascii="Times New Roman" w:hAnsi="Times New Roman"/>
          <w:sz w:val="24"/>
          <w:szCs w:val="24"/>
        </w:rPr>
        <w:t xml:space="preserve">girlfriend </w:t>
      </w:r>
      <w:r w:rsidRPr="00E61701">
        <w:rPr>
          <w:rFonts w:ascii="Times New Roman" w:hAnsi="Times New Roman"/>
          <w:sz w:val="24"/>
          <w:szCs w:val="24"/>
        </w:rPr>
        <w:t>constitutes "extreme cruelty" under VAWA as a matter of law?</w:t>
      </w:r>
    </w:p>
    <w:p w14:paraId="4EA29A9C" w14:textId="77777777" w:rsidR="00446696" w:rsidRDefault="00446696" w:rsidP="00446696">
      <w:pPr>
        <w:spacing w:after="0" w:line="360" w:lineRule="auto"/>
        <w:rPr>
          <w:rFonts w:ascii="Times New Roman" w:hAnsi="Times New Roman"/>
          <w:sz w:val="24"/>
          <w:szCs w:val="24"/>
        </w:rPr>
      </w:pPr>
    </w:p>
    <w:p w14:paraId="4F1239C6"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Whether the Attorney General’s ruling in the </w:t>
      </w:r>
      <w:r w:rsidRPr="00077801">
        <w:rPr>
          <w:rFonts w:ascii="Times New Roman" w:hAnsi="Times New Roman"/>
          <w:i/>
          <w:sz w:val="24"/>
          <w:szCs w:val="24"/>
        </w:rPr>
        <w:t>Matter of A-B-</w:t>
      </w:r>
      <w:r>
        <w:rPr>
          <w:rFonts w:ascii="Times New Roman" w:hAnsi="Times New Roman"/>
          <w:i/>
          <w:sz w:val="24"/>
          <w:szCs w:val="24"/>
        </w:rPr>
        <w:t xml:space="preserve"> </w:t>
      </w:r>
      <w:r>
        <w:rPr>
          <w:rFonts w:ascii="Times New Roman" w:hAnsi="Times New Roman"/>
          <w:sz w:val="24"/>
          <w:szCs w:val="24"/>
        </w:rPr>
        <w:t>has foreclosed the possibility for victims of domestic violence to obtain asylum in the United States?</w:t>
      </w:r>
    </w:p>
    <w:p w14:paraId="093F3860" w14:textId="77777777" w:rsidR="00446696" w:rsidRDefault="00446696" w:rsidP="00446696">
      <w:pPr>
        <w:spacing w:after="0" w:line="360" w:lineRule="auto"/>
        <w:rPr>
          <w:rFonts w:ascii="Times New Roman" w:hAnsi="Times New Roman"/>
          <w:sz w:val="24"/>
          <w:szCs w:val="24"/>
        </w:rPr>
      </w:pPr>
    </w:p>
    <w:p w14:paraId="300AE60D" w14:textId="2B1F7391" w:rsidR="00446696" w:rsidRDefault="00446696" w:rsidP="008C0C6F">
      <w:pPr>
        <w:spacing w:after="0" w:line="36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Whether the respondent and her daughter remain eligible for asylum under the “one-year rule”?</w:t>
      </w:r>
    </w:p>
    <w:p w14:paraId="2D2842F6" w14:textId="77777777" w:rsidR="00446696" w:rsidRPr="00A83F62" w:rsidRDefault="00446696" w:rsidP="00446696">
      <w:pPr>
        <w:spacing w:after="0"/>
        <w:jc w:val="center"/>
        <w:rPr>
          <w:rFonts w:ascii="Times New Roman" w:hAnsi="Times New Roman"/>
          <w:b/>
          <w:sz w:val="24"/>
          <w:szCs w:val="24"/>
          <w:u w:val="single"/>
        </w:rPr>
      </w:pPr>
      <w:r w:rsidRPr="00A83F62">
        <w:rPr>
          <w:rFonts w:ascii="Times New Roman" w:hAnsi="Times New Roman"/>
          <w:b/>
          <w:sz w:val="24"/>
          <w:szCs w:val="24"/>
          <w:u w:val="single"/>
        </w:rPr>
        <w:t>ARGUMENTS</w:t>
      </w:r>
    </w:p>
    <w:p w14:paraId="7C9DA0B8" w14:textId="77777777" w:rsidR="00446696" w:rsidRDefault="00446696" w:rsidP="00446696">
      <w:pPr>
        <w:spacing w:after="0"/>
        <w:rPr>
          <w:rFonts w:ascii="Times New Roman" w:hAnsi="Times New Roman"/>
          <w:sz w:val="24"/>
          <w:szCs w:val="24"/>
        </w:rPr>
      </w:pPr>
    </w:p>
    <w:p w14:paraId="1480D0B2" w14:textId="44E214E6"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 xml:space="preserve">As the Respondent will demonstrate, through her own testimony and testimonies of her family members, that her child, who is the daughter of a Lawful Permanent Resident, </w:t>
      </w:r>
      <w:r w:rsidRPr="00402BF6">
        <w:rPr>
          <w:rFonts w:ascii="Times New Roman" w:hAnsi="Times New Roman"/>
          <w:sz w:val="24"/>
          <w:szCs w:val="24"/>
        </w:rPr>
        <w:t>witnessed physical violenc</w:t>
      </w:r>
      <w:r>
        <w:rPr>
          <w:rFonts w:ascii="Times New Roman" w:hAnsi="Times New Roman"/>
          <w:sz w:val="24"/>
          <w:szCs w:val="24"/>
        </w:rPr>
        <w:t xml:space="preserve">e intentionally committed in her presence </w:t>
      </w:r>
      <w:r w:rsidRPr="00402BF6">
        <w:rPr>
          <w:rFonts w:ascii="Times New Roman" w:hAnsi="Times New Roman"/>
          <w:sz w:val="24"/>
          <w:szCs w:val="24"/>
        </w:rPr>
        <w:t xml:space="preserve">by </w:t>
      </w:r>
      <w:r>
        <w:rPr>
          <w:rFonts w:ascii="Times New Roman" w:hAnsi="Times New Roman"/>
          <w:sz w:val="24"/>
          <w:szCs w:val="24"/>
        </w:rPr>
        <w:t>her</w:t>
      </w:r>
      <w:r w:rsidRPr="00402BF6">
        <w:rPr>
          <w:rFonts w:ascii="Times New Roman" w:hAnsi="Times New Roman"/>
          <w:sz w:val="24"/>
          <w:szCs w:val="24"/>
        </w:rPr>
        <w:t xml:space="preserve"> permanent resident father in </w:t>
      </w:r>
      <w:r>
        <w:rPr>
          <w:rFonts w:ascii="Times New Roman" w:hAnsi="Times New Roman"/>
          <w:sz w:val="24"/>
          <w:szCs w:val="24"/>
        </w:rPr>
        <w:t xml:space="preserve">her presence.  Moreover, the Respondent will show, through the testimonies, that she was constantly beaten physically during the pregnancy of her daughter XXX, while the abuser frequently smoked crack cocaine in her presence within </w:t>
      </w:r>
      <w:r w:rsidRPr="005D514D">
        <w:rPr>
          <w:rFonts w:ascii="Times New Roman" w:hAnsi="Times New Roman"/>
          <w:noProof/>
          <w:sz w:val="24"/>
          <w:szCs w:val="24"/>
        </w:rPr>
        <w:t>close</w:t>
      </w:r>
      <w:r>
        <w:rPr>
          <w:rFonts w:ascii="Times New Roman" w:hAnsi="Times New Roman"/>
          <w:sz w:val="24"/>
          <w:szCs w:val="24"/>
        </w:rPr>
        <w:t xml:space="preserve"> proximity.  The Respondent was forced to stay with the abuser until her daughter XXX was two years old.  On one occasion, the Respondent was told by a medical professional in Progresso Yoro, Honduras that her daughter XXX’s congenital heart condition was likely caused by the violence and heavy drug use by XXX’s LPR father. </w:t>
      </w:r>
      <w:r w:rsidR="00C72ABA">
        <w:rPr>
          <w:rFonts w:ascii="Times New Roman" w:hAnsi="Times New Roman"/>
          <w:sz w:val="24"/>
          <w:szCs w:val="24"/>
        </w:rPr>
        <w:t xml:space="preserve"> Furthermore, the fact that the abuser has ignored pleas from his daughter for help with her immigration status, knowing that XXX has a life-threatening heart condition, is also indicative of his indifference and cruelty toward his daughter.</w:t>
      </w:r>
    </w:p>
    <w:p w14:paraId="2CD2ECC5"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r>
      <w:r w:rsidRPr="00991F10">
        <w:rPr>
          <w:rFonts w:ascii="Times New Roman" w:hAnsi="Times New Roman"/>
          <w:sz w:val="24"/>
          <w:szCs w:val="24"/>
        </w:rPr>
        <w:t>The VAWA cancellation provisions were specifically designed to, inter alia, protect from deportation, unmarried noncitizens whose children have been "battered or subjected to extreme cruelty" by a permanent resident parent.</w:t>
      </w:r>
      <w:r>
        <w:rPr>
          <w:rFonts w:ascii="Times New Roman" w:hAnsi="Times New Roman"/>
          <w:sz w:val="24"/>
          <w:szCs w:val="24"/>
        </w:rPr>
        <w:t xml:space="preserve">  The statutory language does not require the abused child to be a U.S. citizen or a lawful permanent resident.</w:t>
      </w:r>
      <w:r w:rsidRPr="001C18FE">
        <w:t xml:space="preserve"> </w:t>
      </w:r>
      <w:r>
        <w:t xml:space="preserve"> </w:t>
      </w:r>
      <w:r w:rsidRPr="001C18FE">
        <w:rPr>
          <w:rFonts w:ascii="Times New Roman" w:hAnsi="Times New Roman"/>
          <w:sz w:val="24"/>
          <w:szCs w:val="24"/>
        </w:rPr>
        <w:t>Under VAWA, a noncitizen facing deportation may obtain special cancellation under VAWA of an order of removal ("VAWA Cancellation") by establishing that: (</w:t>
      </w:r>
      <w:proofErr w:type="spellStart"/>
      <w:r w:rsidRPr="001C18FE">
        <w:rPr>
          <w:rFonts w:ascii="Times New Roman" w:hAnsi="Times New Roman"/>
          <w:sz w:val="24"/>
          <w:szCs w:val="24"/>
        </w:rPr>
        <w:t>i</w:t>
      </w:r>
      <w:proofErr w:type="spellEnd"/>
      <w:r w:rsidRPr="001C18FE">
        <w:rPr>
          <w:rFonts w:ascii="Times New Roman" w:hAnsi="Times New Roman"/>
          <w:sz w:val="24"/>
          <w:szCs w:val="24"/>
        </w:rPr>
        <w:t xml:space="preserve">) the noncitizen is the parent of </w:t>
      </w:r>
      <w:r w:rsidRPr="00565C02">
        <w:rPr>
          <w:rFonts w:ascii="Times New Roman" w:hAnsi="Times New Roman"/>
          <w:b/>
          <w:sz w:val="24"/>
          <w:szCs w:val="24"/>
        </w:rPr>
        <w:t>a child of an alien</w:t>
      </w:r>
      <w:r w:rsidRPr="001C18FE">
        <w:rPr>
          <w:rFonts w:ascii="Times New Roman" w:hAnsi="Times New Roman"/>
          <w:sz w:val="24"/>
          <w:szCs w:val="24"/>
        </w:rPr>
        <w:t xml:space="preserve"> who </w:t>
      </w:r>
      <w:r>
        <w:rPr>
          <w:rFonts w:ascii="Times New Roman" w:hAnsi="Times New Roman"/>
          <w:sz w:val="24"/>
          <w:szCs w:val="24"/>
        </w:rPr>
        <w:t xml:space="preserve">is or was a lawful permanent resident and the child has been battered or </w:t>
      </w:r>
      <w:r w:rsidRPr="001C18FE">
        <w:rPr>
          <w:rFonts w:ascii="Times New Roman" w:hAnsi="Times New Roman"/>
          <w:sz w:val="24"/>
          <w:szCs w:val="24"/>
        </w:rPr>
        <w:t xml:space="preserve">subjected to "extreme cruelty" by </w:t>
      </w:r>
      <w:r>
        <w:rPr>
          <w:rFonts w:ascii="Times New Roman" w:hAnsi="Times New Roman"/>
          <w:sz w:val="24"/>
          <w:szCs w:val="24"/>
        </w:rPr>
        <w:t>such</w:t>
      </w:r>
      <w:r w:rsidRPr="001C18FE">
        <w:rPr>
          <w:rFonts w:ascii="Times New Roman" w:hAnsi="Times New Roman"/>
          <w:sz w:val="24"/>
          <w:szCs w:val="24"/>
        </w:rPr>
        <w:t xml:space="preserve"> permanent resident</w:t>
      </w:r>
      <w:r>
        <w:rPr>
          <w:rFonts w:ascii="Times New Roman" w:hAnsi="Times New Roman"/>
          <w:sz w:val="24"/>
          <w:szCs w:val="24"/>
        </w:rPr>
        <w:t xml:space="preserve"> parent</w:t>
      </w:r>
      <w:r w:rsidRPr="001C18FE">
        <w:rPr>
          <w:rFonts w:ascii="Times New Roman" w:hAnsi="Times New Roman"/>
          <w:sz w:val="24"/>
          <w:szCs w:val="24"/>
        </w:rPr>
        <w:t xml:space="preserve">; (ii) the noncitizen has been continuously in the United States for a period of three years prior to the filing of their application; (iii) the noncitizen is a person of good moral character; (iv) the noncitizen is not subject to deportment under </w:t>
      </w:r>
      <w:r>
        <w:rPr>
          <w:rFonts w:ascii="Times New Roman" w:hAnsi="Times New Roman"/>
          <w:sz w:val="24"/>
          <w:szCs w:val="24"/>
        </w:rPr>
        <w:t>INA</w:t>
      </w:r>
      <w:r w:rsidRPr="001C18FE">
        <w:rPr>
          <w:rFonts w:ascii="Times New Roman" w:hAnsi="Times New Roman"/>
          <w:sz w:val="24"/>
          <w:szCs w:val="24"/>
        </w:rPr>
        <w:t xml:space="preserve"> §</w:t>
      </w:r>
      <w:r>
        <w:rPr>
          <w:rFonts w:ascii="Times New Roman" w:hAnsi="Times New Roman"/>
          <w:sz w:val="24"/>
          <w:szCs w:val="24"/>
        </w:rPr>
        <w:t xml:space="preserve"> 212</w:t>
      </w:r>
      <w:r w:rsidRPr="001C18FE">
        <w:rPr>
          <w:rFonts w:ascii="Times New Roman" w:hAnsi="Times New Roman"/>
          <w:sz w:val="24"/>
          <w:szCs w:val="24"/>
        </w:rPr>
        <w:t xml:space="preserve">(a)(2) or (3) or </w:t>
      </w:r>
      <w:r>
        <w:rPr>
          <w:rFonts w:ascii="Times New Roman" w:hAnsi="Times New Roman"/>
          <w:sz w:val="24"/>
          <w:szCs w:val="24"/>
        </w:rPr>
        <w:t>INA</w:t>
      </w:r>
      <w:r w:rsidRPr="001C18FE">
        <w:rPr>
          <w:rFonts w:ascii="Times New Roman" w:hAnsi="Times New Roman"/>
          <w:sz w:val="24"/>
          <w:szCs w:val="24"/>
        </w:rPr>
        <w:t xml:space="preserve"> § </w:t>
      </w:r>
      <w:r>
        <w:rPr>
          <w:rFonts w:ascii="Times New Roman" w:hAnsi="Times New Roman"/>
          <w:sz w:val="24"/>
          <w:szCs w:val="24"/>
        </w:rPr>
        <w:t>23</w:t>
      </w:r>
      <w:r w:rsidRPr="001C18FE">
        <w:rPr>
          <w:rFonts w:ascii="Times New Roman" w:hAnsi="Times New Roman"/>
          <w:sz w:val="24"/>
          <w:szCs w:val="24"/>
        </w:rPr>
        <w:t xml:space="preserve">7(a)(I)(G) or (2) through (4); and (v) removal of the noncitizen would result in extreme hardship to the noncitizen or her child. </w:t>
      </w:r>
      <w:r>
        <w:rPr>
          <w:rFonts w:ascii="Times New Roman" w:hAnsi="Times New Roman"/>
          <w:sz w:val="24"/>
          <w:szCs w:val="24"/>
        </w:rPr>
        <w:t xml:space="preserve">INA </w:t>
      </w:r>
      <w:r w:rsidRPr="001C18FE">
        <w:rPr>
          <w:rFonts w:ascii="Times New Roman" w:hAnsi="Times New Roman"/>
          <w:sz w:val="24"/>
          <w:szCs w:val="24"/>
        </w:rPr>
        <w:t xml:space="preserve">§ </w:t>
      </w:r>
      <w:r>
        <w:rPr>
          <w:rFonts w:ascii="Times New Roman" w:hAnsi="Times New Roman"/>
          <w:sz w:val="24"/>
          <w:szCs w:val="24"/>
        </w:rPr>
        <w:t>240A(</w:t>
      </w:r>
      <w:r w:rsidRPr="001C18FE">
        <w:rPr>
          <w:rFonts w:ascii="Times New Roman" w:hAnsi="Times New Roman"/>
          <w:sz w:val="24"/>
          <w:szCs w:val="24"/>
        </w:rPr>
        <w:t>b</w:t>
      </w:r>
      <w:r>
        <w:rPr>
          <w:rFonts w:ascii="Times New Roman" w:hAnsi="Times New Roman"/>
          <w:sz w:val="24"/>
          <w:szCs w:val="24"/>
        </w:rPr>
        <w:t>)(2)(A)</w:t>
      </w:r>
      <w:r w:rsidRPr="001C18FE">
        <w:rPr>
          <w:rFonts w:ascii="Times New Roman" w:hAnsi="Times New Roman"/>
          <w:sz w:val="24"/>
          <w:szCs w:val="24"/>
        </w:rPr>
        <w:t>.</w:t>
      </w:r>
      <w:r>
        <w:rPr>
          <w:rFonts w:ascii="Times New Roman" w:hAnsi="Times New Roman"/>
          <w:sz w:val="24"/>
          <w:szCs w:val="24"/>
        </w:rPr>
        <w:t xml:space="preserve"> [Emphasis added.]</w:t>
      </w:r>
    </w:p>
    <w:p w14:paraId="32D20C92" w14:textId="77777777" w:rsidR="00446696" w:rsidRDefault="00446696" w:rsidP="00446696">
      <w:pPr>
        <w:spacing w:after="0"/>
        <w:rPr>
          <w:rFonts w:ascii="Times New Roman" w:hAnsi="Times New Roman"/>
          <w:sz w:val="24"/>
          <w:szCs w:val="24"/>
        </w:rPr>
      </w:pPr>
    </w:p>
    <w:p w14:paraId="3F39100F" w14:textId="77777777" w:rsidR="00446696" w:rsidRPr="00565C02" w:rsidRDefault="00446696" w:rsidP="00446696">
      <w:pPr>
        <w:spacing w:after="0"/>
        <w:jc w:val="center"/>
        <w:rPr>
          <w:rFonts w:ascii="Times New Roman" w:hAnsi="Times New Roman"/>
          <w:b/>
          <w:sz w:val="24"/>
          <w:szCs w:val="24"/>
        </w:rPr>
      </w:pPr>
      <w:r>
        <w:rPr>
          <w:rFonts w:ascii="Times New Roman" w:hAnsi="Times New Roman"/>
          <w:b/>
          <w:sz w:val="24"/>
          <w:szCs w:val="24"/>
        </w:rPr>
        <w:t xml:space="preserve">1. </w:t>
      </w:r>
      <w:r w:rsidRPr="00565C02">
        <w:rPr>
          <w:rFonts w:ascii="Times New Roman" w:hAnsi="Times New Roman"/>
          <w:b/>
          <w:sz w:val="24"/>
          <w:szCs w:val="24"/>
        </w:rPr>
        <w:t xml:space="preserve">NONCITIZEN PARENTS OF CHILDREN WHO HAVE BEEN </w:t>
      </w:r>
    </w:p>
    <w:p w14:paraId="0B29F32F" w14:textId="77777777" w:rsidR="00446696" w:rsidRPr="00565C02" w:rsidRDefault="00446696" w:rsidP="00446696">
      <w:pPr>
        <w:spacing w:after="0"/>
        <w:jc w:val="center"/>
        <w:rPr>
          <w:rFonts w:ascii="Times New Roman" w:hAnsi="Times New Roman"/>
          <w:b/>
          <w:sz w:val="24"/>
          <w:szCs w:val="24"/>
        </w:rPr>
      </w:pPr>
      <w:r w:rsidRPr="00565C02">
        <w:rPr>
          <w:rFonts w:ascii="Times New Roman" w:hAnsi="Times New Roman"/>
          <w:b/>
          <w:sz w:val="24"/>
          <w:szCs w:val="24"/>
        </w:rPr>
        <w:lastRenderedPageBreak/>
        <w:t xml:space="preserve">SUBJECTED TO EXTREME CRUELTY BY THEIR </w:t>
      </w:r>
    </w:p>
    <w:p w14:paraId="6362FC7B" w14:textId="77777777" w:rsidR="00446696" w:rsidRPr="00565C02" w:rsidRDefault="00446696" w:rsidP="00446696">
      <w:pPr>
        <w:spacing w:after="0"/>
        <w:jc w:val="center"/>
        <w:rPr>
          <w:rFonts w:ascii="Times New Roman" w:hAnsi="Times New Roman"/>
          <w:b/>
          <w:sz w:val="24"/>
          <w:szCs w:val="24"/>
        </w:rPr>
      </w:pPr>
      <w:r w:rsidRPr="00565C02">
        <w:rPr>
          <w:rFonts w:ascii="Times New Roman" w:hAnsi="Times New Roman"/>
          <w:b/>
          <w:sz w:val="24"/>
          <w:szCs w:val="24"/>
        </w:rPr>
        <w:t xml:space="preserve">U.S. RESIDENT PARENT REMAIN ELIGIBLE FOR VAWA CANCELLATION </w:t>
      </w:r>
    </w:p>
    <w:p w14:paraId="677CF38A" w14:textId="77777777" w:rsidR="00446696" w:rsidRPr="00565C02" w:rsidRDefault="00446696" w:rsidP="00446696">
      <w:pPr>
        <w:spacing w:after="0"/>
        <w:jc w:val="center"/>
        <w:rPr>
          <w:rFonts w:ascii="Times New Roman" w:hAnsi="Times New Roman"/>
          <w:b/>
          <w:sz w:val="24"/>
          <w:szCs w:val="24"/>
        </w:rPr>
      </w:pPr>
      <w:r w:rsidRPr="00565C02">
        <w:rPr>
          <w:rFonts w:ascii="Times New Roman" w:hAnsi="Times New Roman"/>
          <w:b/>
          <w:sz w:val="24"/>
          <w:szCs w:val="24"/>
        </w:rPr>
        <w:t>REGARDLESS OF THE IMMIGRATION STATUS OF THEIR CHILDREN</w:t>
      </w:r>
    </w:p>
    <w:p w14:paraId="3F97F4D0" w14:textId="77777777" w:rsidR="00446696" w:rsidRPr="00565C02" w:rsidRDefault="00446696" w:rsidP="00446696">
      <w:pPr>
        <w:spacing w:after="0"/>
        <w:rPr>
          <w:rFonts w:ascii="Times New Roman" w:hAnsi="Times New Roman"/>
          <w:b/>
          <w:sz w:val="24"/>
          <w:szCs w:val="24"/>
        </w:rPr>
      </w:pPr>
    </w:p>
    <w:p w14:paraId="439796D2" w14:textId="77777777" w:rsidR="00446696" w:rsidRDefault="00446696" w:rsidP="00446696">
      <w:pPr>
        <w:spacing w:after="0" w:line="360" w:lineRule="auto"/>
        <w:ind w:firstLine="720"/>
        <w:rPr>
          <w:rFonts w:ascii="Times New Roman" w:hAnsi="Times New Roman"/>
          <w:sz w:val="24"/>
          <w:szCs w:val="24"/>
        </w:rPr>
      </w:pPr>
      <w:r w:rsidRPr="00784893">
        <w:rPr>
          <w:rFonts w:ascii="Times New Roman" w:hAnsi="Times New Roman"/>
          <w:sz w:val="24"/>
          <w:szCs w:val="24"/>
        </w:rPr>
        <w:t xml:space="preserve">"Congress expresses its intent with the language that it chooses." </w:t>
      </w:r>
      <w:r w:rsidRPr="00784893">
        <w:rPr>
          <w:rFonts w:ascii="Times New Roman" w:hAnsi="Times New Roman"/>
          <w:i/>
          <w:sz w:val="24"/>
          <w:szCs w:val="24"/>
        </w:rPr>
        <w:t>INS v. Cardoza-Fonseca</w:t>
      </w:r>
      <w:r w:rsidRPr="00784893">
        <w:rPr>
          <w:rFonts w:ascii="Times New Roman" w:hAnsi="Times New Roman"/>
          <w:sz w:val="24"/>
          <w:szCs w:val="24"/>
        </w:rPr>
        <w:t>, 480 U.S. 421, 433, n. 12 (1987). Thus, the first step in interpreting a statute is to look at the express language enacted by Congress. Where the language of a statute is unambiguous, the Court is required to enforce the statute as enacted by Congress.</w:t>
      </w:r>
    </w:p>
    <w:p w14:paraId="2981C62A" w14:textId="77777777" w:rsidR="00446696" w:rsidRDefault="00446696" w:rsidP="00446696">
      <w:pPr>
        <w:spacing w:after="0" w:line="360" w:lineRule="auto"/>
        <w:ind w:firstLine="720"/>
        <w:rPr>
          <w:rFonts w:ascii="Times New Roman" w:hAnsi="Times New Roman"/>
          <w:sz w:val="24"/>
          <w:szCs w:val="24"/>
        </w:rPr>
      </w:pPr>
    </w:p>
    <w:p w14:paraId="729C04DC" w14:textId="77777777" w:rsidR="00446696" w:rsidRDefault="00446696" w:rsidP="00446696">
      <w:pPr>
        <w:spacing w:after="0" w:line="360" w:lineRule="auto"/>
        <w:ind w:firstLine="720"/>
        <w:rPr>
          <w:rFonts w:ascii="Times New Roman" w:hAnsi="Times New Roman"/>
          <w:sz w:val="24"/>
          <w:szCs w:val="24"/>
        </w:rPr>
      </w:pPr>
      <w:r w:rsidRPr="00784893">
        <w:rPr>
          <w:rFonts w:ascii="Times New Roman" w:hAnsi="Times New Roman"/>
          <w:sz w:val="24"/>
          <w:szCs w:val="24"/>
        </w:rPr>
        <w:t xml:space="preserve">A request for VAWA Cancellation may be brought by a parent of a child of a </w:t>
      </w:r>
      <w:r>
        <w:rPr>
          <w:rFonts w:ascii="Times New Roman" w:hAnsi="Times New Roman"/>
          <w:sz w:val="24"/>
          <w:szCs w:val="24"/>
        </w:rPr>
        <w:t>lawful permanent resident</w:t>
      </w:r>
      <w:r w:rsidRPr="00784893">
        <w:rPr>
          <w:rFonts w:ascii="Times New Roman" w:hAnsi="Times New Roman"/>
          <w:sz w:val="24"/>
          <w:szCs w:val="24"/>
        </w:rPr>
        <w:t xml:space="preserve"> where the child "has been" battered or subjected to extreme cruelty by </w:t>
      </w:r>
      <w:r>
        <w:rPr>
          <w:rFonts w:ascii="Times New Roman" w:hAnsi="Times New Roman"/>
          <w:sz w:val="24"/>
          <w:szCs w:val="24"/>
        </w:rPr>
        <w:t>such permanent resident parent</w:t>
      </w:r>
      <w:r w:rsidRPr="00784893">
        <w:rPr>
          <w:rFonts w:ascii="Times New Roman" w:hAnsi="Times New Roman"/>
          <w:sz w:val="24"/>
          <w:szCs w:val="24"/>
        </w:rPr>
        <w:t>.</w:t>
      </w:r>
      <w:r>
        <w:rPr>
          <w:rFonts w:ascii="Times New Roman" w:hAnsi="Times New Roman"/>
          <w:sz w:val="24"/>
          <w:szCs w:val="24"/>
        </w:rPr>
        <w:t>”</w:t>
      </w:r>
      <w:r w:rsidRPr="00784893">
        <w:rPr>
          <w:rFonts w:ascii="Times New Roman" w:hAnsi="Times New Roman"/>
          <w:sz w:val="24"/>
          <w:szCs w:val="24"/>
        </w:rPr>
        <w:t xml:space="preserve"> </w:t>
      </w:r>
      <w:r>
        <w:rPr>
          <w:rFonts w:ascii="Times New Roman" w:hAnsi="Times New Roman"/>
          <w:sz w:val="24"/>
          <w:szCs w:val="24"/>
        </w:rPr>
        <w:t>INA</w:t>
      </w:r>
      <w:r w:rsidRPr="00784893">
        <w:rPr>
          <w:rFonts w:ascii="Times New Roman" w:hAnsi="Times New Roman"/>
          <w:sz w:val="24"/>
          <w:szCs w:val="24"/>
        </w:rPr>
        <w:t xml:space="preserve"> §</w:t>
      </w:r>
      <w:r>
        <w:rPr>
          <w:rFonts w:ascii="Times New Roman" w:hAnsi="Times New Roman"/>
          <w:sz w:val="24"/>
          <w:szCs w:val="24"/>
        </w:rPr>
        <w:t xml:space="preserve"> 240A</w:t>
      </w:r>
      <w:r w:rsidRPr="00784893">
        <w:rPr>
          <w:rFonts w:ascii="Times New Roman" w:hAnsi="Times New Roman"/>
          <w:sz w:val="24"/>
          <w:szCs w:val="24"/>
        </w:rPr>
        <w:t>(b)(2)</w:t>
      </w:r>
      <w:r>
        <w:rPr>
          <w:rFonts w:ascii="Times New Roman" w:hAnsi="Times New Roman"/>
          <w:sz w:val="24"/>
          <w:szCs w:val="24"/>
        </w:rPr>
        <w:t>(A)(</w:t>
      </w:r>
      <w:proofErr w:type="spellStart"/>
      <w:r>
        <w:rPr>
          <w:rFonts w:ascii="Times New Roman" w:hAnsi="Times New Roman"/>
          <w:sz w:val="24"/>
          <w:szCs w:val="24"/>
        </w:rPr>
        <w:t>i</w:t>
      </w:r>
      <w:proofErr w:type="spellEnd"/>
      <w:r>
        <w:rPr>
          <w:rFonts w:ascii="Times New Roman" w:hAnsi="Times New Roman"/>
          <w:sz w:val="24"/>
          <w:szCs w:val="24"/>
        </w:rPr>
        <w:t>)(II)</w:t>
      </w:r>
      <w:r w:rsidRPr="00784893">
        <w:rPr>
          <w:rFonts w:ascii="Times New Roman" w:hAnsi="Times New Roman"/>
          <w:sz w:val="24"/>
          <w:szCs w:val="24"/>
        </w:rPr>
        <w:t>.</w:t>
      </w:r>
    </w:p>
    <w:p w14:paraId="66735053" w14:textId="77777777" w:rsidR="00446696" w:rsidRDefault="00446696" w:rsidP="00446696">
      <w:pPr>
        <w:spacing w:after="0" w:line="360" w:lineRule="auto"/>
        <w:ind w:firstLine="720"/>
        <w:rPr>
          <w:rFonts w:ascii="Times New Roman" w:hAnsi="Times New Roman"/>
          <w:sz w:val="24"/>
          <w:szCs w:val="24"/>
        </w:rPr>
      </w:pPr>
    </w:p>
    <w:p w14:paraId="70DD6946"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The express language of the statute does not preclude the parent of a child who is not a U.S. citizen or lawful permanent resident.</w:t>
      </w:r>
      <w:r w:rsidRPr="00B35D93">
        <w:t xml:space="preserve"> </w:t>
      </w:r>
      <w:r w:rsidRPr="00B35D93">
        <w:rPr>
          <w:rFonts w:ascii="Times New Roman" w:hAnsi="Times New Roman"/>
          <w:sz w:val="24"/>
          <w:szCs w:val="24"/>
        </w:rPr>
        <w:t xml:space="preserve">Specifically, the statute is written in the past tense. All it requires is that the applicant </w:t>
      </w:r>
      <w:r>
        <w:rPr>
          <w:rFonts w:ascii="Times New Roman" w:hAnsi="Times New Roman"/>
          <w:noProof/>
          <w:sz w:val="24"/>
          <w:szCs w:val="24"/>
        </w:rPr>
        <w:t>is</w:t>
      </w:r>
      <w:r w:rsidRPr="00B35D93">
        <w:rPr>
          <w:rFonts w:ascii="Times New Roman" w:hAnsi="Times New Roman"/>
          <w:sz w:val="24"/>
          <w:szCs w:val="24"/>
        </w:rPr>
        <w:t xml:space="preserve"> the parent of a child who "has been" battered or subjected to extreme cruelty. Thus, the statute is clear that eligibility is based upon actions </w:t>
      </w:r>
      <w:r>
        <w:rPr>
          <w:rFonts w:ascii="Times New Roman" w:hAnsi="Times New Roman"/>
          <w:sz w:val="24"/>
          <w:szCs w:val="24"/>
        </w:rPr>
        <w:t>that</w:t>
      </w:r>
      <w:r w:rsidRPr="00B35D93">
        <w:rPr>
          <w:rFonts w:ascii="Times New Roman" w:hAnsi="Times New Roman"/>
          <w:sz w:val="24"/>
          <w:szCs w:val="24"/>
        </w:rPr>
        <w:t xml:space="preserve"> have occurred in the past (i.e., previously battered or previously subjected to extreme cruelty). There is no language in the statute which even suggests that the </w:t>
      </w:r>
      <w:r>
        <w:rPr>
          <w:rFonts w:ascii="Times New Roman" w:hAnsi="Times New Roman"/>
          <w:sz w:val="24"/>
          <w:szCs w:val="24"/>
        </w:rPr>
        <w:t>immigration status of the child is relevant to the parent’s eligibility for VAWA Cancellation.</w:t>
      </w:r>
    </w:p>
    <w:p w14:paraId="791C9C8F" w14:textId="77777777" w:rsidR="00446696" w:rsidRDefault="00446696" w:rsidP="00446696">
      <w:pPr>
        <w:spacing w:after="0" w:line="360" w:lineRule="auto"/>
        <w:rPr>
          <w:rFonts w:ascii="Times New Roman" w:hAnsi="Times New Roman"/>
          <w:sz w:val="24"/>
          <w:szCs w:val="24"/>
        </w:rPr>
      </w:pPr>
    </w:p>
    <w:p w14:paraId="59AF1D26"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In contrast, the statutory language for the general Cancellation of Removal relief for certain nonpermanent residents expressly states that the applicant must “establish exceptional and extremely unusual hardship” to the alien’s immediate family members who are either U.S. citizens or lawful permanent residents.  INA § 240A(b)(1)(D).  Therefore, had Congress intended to include the abused child’s immigration status as a statutory requirement, it would have expressly stated in INA §240A(b)(2)(A).  The fact that Congress specific added the qualifying relative’s immigration status as a legal requirement for relief under §240A(b)(1), but left the same requirement out of §240A(b)(2), suggests that it was never the intent of Congress to add the limiting language to a “clear and unambiguous statute.”</w:t>
      </w:r>
      <w:r>
        <w:rPr>
          <w:rStyle w:val="FootnoteReference"/>
          <w:rFonts w:ascii="Times New Roman" w:hAnsi="Times New Roman"/>
          <w:sz w:val="24"/>
          <w:szCs w:val="24"/>
        </w:rPr>
        <w:footnoteReference w:id="3"/>
      </w:r>
      <w:r>
        <w:rPr>
          <w:rFonts w:ascii="Times New Roman" w:hAnsi="Times New Roman"/>
          <w:sz w:val="24"/>
          <w:szCs w:val="24"/>
        </w:rPr>
        <w:t xml:space="preserve"> </w:t>
      </w:r>
    </w:p>
    <w:p w14:paraId="2DFE16BE" w14:textId="77777777" w:rsidR="00446696" w:rsidRDefault="00446696" w:rsidP="00446696">
      <w:pPr>
        <w:spacing w:after="0" w:line="360" w:lineRule="auto"/>
        <w:rPr>
          <w:rFonts w:ascii="Times New Roman" w:hAnsi="Times New Roman"/>
          <w:sz w:val="24"/>
          <w:szCs w:val="24"/>
        </w:rPr>
      </w:pPr>
    </w:p>
    <w:p w14:paraId="07BB4BFF"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 xml:space="preserve">The Ninth Circuit has found that VAWA is a “generous enactment, intended to </w:t>
      </w:r>
      <w:r w:rsidRPr="002747B5">
        <w:rPr>
          <w:rFonts w:ascii="Times New Roman" w:hAnsi="Times New Roman"/>
          <w:sz w:val="24"/>
          <w:szCs w:val="24"/>
        </w:rPr>
        <w:t>ameliorate the impact of harsh provisions of immigration law on abused women. Thus, this interpretation also adheres to “the general rule of construction that when the legislature enacts an ameliorative rule designed to forestall harsh results, the rule will be interpreted and applied in an ameliorative fashion</w:t>
      </w:r>
      <w:r w:rsidRPr="005D514D">
        <w:rPr>
          <w:rFonts w:ascii="Times New Roman" w:hAnsi="Times New Roman"/>
          <w:noProof/>
          <w:sz w:val="24"/>
          <w:szCs w:val="24"/>
        </w:rPr>
        <w:t>...</w:t>
      </w:r>
      <w:r w:rsidRPr="002747B5">
        <w:rPr>
          <w:rFonts w:ascii="Times New Roman" w:hAnsi="Times New Roman"/>
          <w:sz w:val="24"/>
          <w:szCs w:val="24"/>
        </w:rPr>
        <w:t xml:space="preserve"> This is particularly so in the immigration context where doubts are to be resolved in favor of the alien.”</w:t>
      </w:r>
      <w:r>
        <w:rPr>
          <w:rStyle w:val="FootnoteReference"/>
          <w:rFonts w:ascii="Times New Roman" w:hAnsi="Times New Roman"/>
          <w:sz w:val="24"/>
          <w:szCs w:val="24"/>
        </w:rPr>
        <w:footnoteReference w:id="4"/>
      </w:r>
      <w:r>
        <w:rPr>
          <w:rFonts w:ascii="Times New Roman" w:hAnsi="Times New Roman"/>
          <w:sz w:val="24"/>
          <w:szCs w:val="24"/>
        </w:rPr>
        <w:t xml:space="preserve">  In an unpublished decision, the BIA reversed the decision of the Immigration Judge and granted VAWA Cancellation relief to the alien parent of an abused child who died before the resolution of the alien parent’s §240A(b)(2) application.</w:t>
      </w:r>
      <w:r>
        <w:rPr>
          <w:rStyle w:val="FootnoteReference"/>
          <w:rFonts w:ascii="Times New Roman" w:hAnsi="Times New Roman"/>
          <w:sz w:val="24"/>
          <w:szCs w:val="24"/>
        </w:rPr>
        <w:footnoteReference w:id="5"/>
      </w:r>
      <w:r>
        <w:rPr>
          <w:rFonts w:ascii="Times New Roman" w:hAnsi="Times New Roman"/>
          <w:sz w:val="24"/>
          <w:szCs w:val="24"/>
        </w:rPr>
        <w:t xml:space="preserve">  In the same vein, if the death of the abused child did not affect the parent’s eligibility for VAWA Cancellation, neither should the child’s immigration status be a limiting factor in the same context.</w:t>
      </w:r>
    </w:p>
    <w:p w14:paraId="375F285D" w14:textId="77777777" w:rsidR="00446696" w:rsidRDefault="00446696" w:rsidP="00446696">
      <w:pPr>
        <w:spacing w:after="0" w:line="360" w:lineRule="auto"/>
        <w:rPr>
          <w:rFonts w:ascii="Times New Roman" w:hAnsi="Times New Roman"/>
          <w:sz w:val="24"/>
          <w:szCs w:val="24"/>
        </w:rPr>
      </w:pPr>
    </w:p>
    <w:p w14:paraId="589C5080"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 xml:space="preserve">Furthermore, the express language of §240A(b)(4), under the heading “children of battered aliens and parents of battered alien children,” clearly states that the Attorney General “shall grant parole under section 212(d)(5) to any alien who is </w:t>
      </w:r>
      <w:r w:rsidRPr="009B045C">
        <w:rPr>
          <w:rFonts w:ascii="Times New Roman" w:hAnsi="Times New Roman"/>
          <w:b/>
          <w:sz w:val="24"/>
          <w:szCs w:val="24"/>
        </w:rPr>
        <w:t>a parent of a child alien</w:t>
      </w:r>
      <w:r>
        <w:rPr>
          <w:rFonts w:ascii="Times New Roman" w:hAnsi="Times New Roman"/>
          <w:sz w:val="24"/>
          <w:szCs w:val="24"/>
        </w:rPr>
        <w:t xml:space="preserve"> granted relief under 240A(b)(2).</w:t>
      </w:r>
      <w:r>
        <w:rPr>
          <w:rStyle w:val="FootnoteReference"/>
          <w:rFonts w:ascii="Times New Roman" w:hAnsi="Times New Roman"/>
          <w:sz w:val="24"/>
          <w:szCs w:val="24"/>
        </w:rPr>
        <w:footnoteReference w:id="6"/>
      </w:r>
      <w:r>
        <w:rPr>
          <w:rFonts w:ascii="Times New Roman" w:hAnsi="Times New Roman"/>
          <w:sz w:val="24"/>
          <w:szCs w:val="24"/>
        </w:rPr>
        <w:t xml:space="preserve"> [Emphasis added.]  Thus, the plain language of 240A(b)(4) provides the Attorney General with parole authority on the basis of humanitarian and public benefit grounds to allow the parent of an abused alien child to remain legally in the U.S. until the time that her status can be adjusted to that of a lawful permanent resident.</w:t>
      </w:r>
      <w:r>
        <w:rPr>
          <w:rStyle w:val="FootnoteReference"/>
          <w:rFonts w:ascii="Times New Roman" w:hAnsi="Times New Roman"/>
          <w:sz w:val="24"/>
          <w:szCs w:val="24"/>
        </w:rPr>
        <w:footnoteReference w:id="7"/>
      </w:r>
      <w:r>
        <w:rPr>
          <w:rFonts w:ascii="Times New Roman" w:hAnsi="Times New Roman"/>
          <w:sz w:val="24"/>
          <w:szCs w:val="24"/>
        </w:rPr>
        <w:t xml:space="preserve">  §240A(b)(4) goes on to say that “applications for adjustment of status filed by aliens covered under this paragraph shall be treated as if the applicants were VAWA self-petitioners.”</w:t>
      </w:r>
      <w:r>
        <w:rPr>
          <w:rStyle w:val="FootnoteReference"/>
          <w:rFonts w:ascii="Times New Roman" w:hAnsi="Times New Roman"/>
          <w:sz w:val="24"/>
          <w:szCs w:val="24"/>
        </w:rPr>
        <w:footnoteReference w:id="8"/>
      </w:r>
    </w:p>
    <w:p w14:paraId="7FC91ABC" w14:textId="77777777" w:rsidR="00446696" w:rsidRDefault="00446696" w:rsidP="00446696">
      <w:pPr>
        <w:spacing w:after="0"/>
        <w:rPr>
          <w:rFonts w:ascii="Times New Roman" w:hAnsi="Times New Roman"/>
          <w:sz w:val="24"/>
          <w:szCs w:val="24"/>
        </w:rPr>
      </w:pPr>
    </w:p>
    <w:p w14:paraId="61138F23" w14:textId="77777777" w:rsidR="00446696" w:rsidRDefault="00446696" w:rsidP="00446696">
      <w:pPr>
        <w:spacing w:after="0"/>
        <w:jc w:val="center"/>
        <w:rPr>
          <w:rFonts w:ascii="Times New Roman" w:hAnsi="Times New Roman"/>
          <w:b/>
          <w:sz w:val="24"/>
          <w:szCs w:val="24"/>
        </w:rPr>
      </w:pPr>
      <w:r>
        <w:rPr>
          <w:rFonts w:ascii="Times New Roman" w:hAnsi="Times New Roman"/>
          <w:b/>
          <w:sz w:val="24"/>
          <w:szCs w:val="24"/>
        </w:rPr>
        <w:t xml:space="preserve">2. </w:t>
      </w:r>
      <w:r w:rsidRPr="002D7293">
        <w:rPr>
          <w:rFonts w:ascii="Times New Roman" w:hAnsi="Times New Roman"/>
          <w:b/>
          <w:sz w:val="24"/>
          <w:szCs w:val="24"/>
        </w:rPr>
        <w:t xml:space="preserve">VAWA CANCELLATION DOES NOT REQUIRE ACTUAL, PHYSICAL </w:t>
      </w:r>
    </w:p>
    <w:p w14:paraId="466720D5" w14:textId="77777777" w:rsidR="00446696" w:rsidRPr="002D7293" w:rsidRDefault="00446696" w:rsidP="00446696">
      <w:pPr>
        <w:spacing w:after="0"/>
        <w:jc w:val="center"/>
        <w:rPr>
          <w:rFonts w:ascii="Times New Roman" w:hAnsi="Times New Roman"/>
          <w:b/>
          <w:sz w:val="24"/>
          <w:szCs w:val="24"/>
        </w:rPr>
      </w:pPr>
      <w:r w:rsidRPr="002D7293">
        <w:rPr>
          <w:rFonts w:ascii="Times New Roman" w:hAnsi="Times New Roman"/>
          <w:b/>
          <w:sz w:val="24"/>
          <w:szCs w:val="24"/>
        </w:rPr>
        <w:t>ABUSE HAVING OCCURRED IN THE UNITED STATES</w:t>
      </w:r>
    </w:p>
    <w:p w14:paraId="7D637387" w14:textId="77777777" w:rsidR="00446696" w:rsidRDefault="00446696" w:rsidP="00446696">
      <w:pPr>
        <w:spacing w:after="0"/>
        <w:rPr>
          <w:rFonts w:ascii="Times New Roman" w:hAnsi="Times New Roman"/>
          <w:sz w:val="24"/>
          <w:szCs w:val="24"/>
        </w:rPr>
      </w:pPr>
    </w:p>
    <w:p w14:paraId="6B53EE50"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lastRenderedPageBreak/>
        <w:tab/>
        <w:t xml:space="preserve">The Ninth Circuit court has ruled that the parent of an abused child of an LPR, even if not married to the abuser, may make a claim under §240A(b)(2) based on the abuse to the child by the LPR parent </w:t>
      </w:r>
      <w:r w:rsidRPr="001841EE">
        <w:rPr>
          <w:rFonts w:ascii="Times New Roman" w:hAnsi="Times New Roman"/>
          <w:b/>
          <w:sz w:val="24"/>
          <w:szCs w:val="24"/>
        </w:rPr>
        <w:t>that had occurred in the past</w:t>
      </w:r>
      <w:r>
        <w:rPr>
          <w:rFonts w:ascii="Times New Roman" w:hAnsi="Times New Roman"/>
          <w:sz w:val="24"/>
          <w:szCs w:val="24"/>
        </w:rPr>
        <w:t>.</w:t>
      </w:r>
      <w:r>
        <w:rPr>
          <w:rStyle w:val="FootnoteReference"/>
          <w:rFonts w:ascii="Times New Roman" w:hAnsi="Times New Roman"/>
          <w:sz w:val="24"/>
          <w:szCs w:val="24"/>
        </w:rPr>
        <w:footnoteReference w:id="9"/>
      </w:r>
      <w:r>
        <w:rPr>
          <w:rFonts w:ascii="Times New Roman" w:hAnsi="Times New Roman"/>
          <w:sz w:val="24"/>
          <w:szCs w:val="24"/>
        </w:rPr>
        <w:t xml:space="preserve"> [Emphasis added.] The Ninth Circuit emphasized Congress’ use of the past tense in §240A(b)(2) and rejected the government’s argument that future events can result in the denial of an application for VAWA Cancellation.  </w:t>
      </w:r>
    </w:p>
    <w:p w14:paraId="0DEA5F0A" w14:textId="77777777" w:rsidR="00446696" w:rsidRDefault="00446696" w:rsidP="00446696">
      <w:pPr>
        <w:spacing w:after="0" w:line="360" w:lineRule="auto"/>
        <w:rPr>
          <w:rFonts w:ascii="Times New Roman" w:hAnsi="Times New Roman"/>
          <w:sz w:val="24"/>
          <w:szCs w:val="24"/>
        </w:rPr>
      </w:pPr>
    </w:p>
    <w:p w14:paraId="734CAC5D"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Additionally, Congress intended VAWA to be broadly construed for the purpose of providing humanitarian relief to battered women and children.</w:t>
      </w:r>
      <w:r>
        <w:rPr>
          <w:rStyle w:val="FootnoteReference"/>
          <w:rFonts w:ascii="Times New Roman" w:hAnsi="Times New Roman"/>
          <w:sz w:val="24"/>
          <w:szCs w:val="24"/>
        </w:rPr>
        <w:footnoteReference w:id="10"/>
      </w:r>
      <w:r>
        <w:rPr>
          <w:rFonts w:ascii="Times New Roman" w:hAnsi="Times New Roman"/>
          <w:sz w:val="24"/>
          <w:szCs w:val="24"/>
        </w:rPr>
        <w:t xml:space="preserve">  In </w:t>
      </w:r>
      <w:r w:rsidRPr="001841EE">
        <w:rPr>
          <w:rFonts w:ascii="Times New Roman" w:hAnsi="Times New Roman"/>
          <w:i/>
          <w:sz w:val="24"/>
          <w:szCs w:val="24"/>
        </w:rPr>
        <w:t>Hernandez v. Ashcroft</w:t>
      </w:r>
      <w:r>
        <w:rPr>
          <w:rFonts w:ascii="Times New Roman" w:hAnsi="Times New Roman"/>
          <w:sz w:val="24"/>
          <w:szCs w:val="24"/>
        </w:rPr>
        <w:t>, the Ninth Circuit addressed the issue of extreme cruelty in the context of domestic violence.  The</w:t>
      </w:r>
      <w:r w:rsidRPr="006C4921">
        <w:rPr>
          <w:rFonts w:ascii="Times New Roman" w:hAnsi="Times New Roman"/>
          <w:i/>
          <w:sz w:val="24"/>
          <w:szCs w:val="24"/>
        </w:rPr>
        <w:t xml:space="preserve"> Hernandez</w:t>
      </w:r>
      <w:r>
        <w:rPr>
          <w:rFonts w:ascii="Times New Roman" w:hAnsi="Times New Roman"/>
          <w:sz w:val="24"/>
          <w:szCs w:val="24"/>
        </w:rPr>
        <w:t xml:space="preserve"> court reviewed incidents of physical violence in Mexico, and found that non-physical actions in the U.S., coupled with egregious episodes of physical violence in Mexico, was sufficient to meet the definition of “extreme cruelty.”</w:t>
      </w:r>
      <w:r>
        <w:rPr>
          <w:rStyle w:val="FootnoteReference"/>
          <w:rFonts w:ascii="Times New Roman" w:hAnsi="Times New Roman"/>
          <w:sz w:val="24"/>
          <w:szCs w:val="24"/>
        </w:rPr>
        <w:footnoteReference w:id="11"/>
      </w:r>
      <w:r>
        <w:rPr>
          <w:rFonts w:ascii="Times New Roman" w:hAnsi="Times New Roman"/>
          <w:sz w:val="24"/>
          <w:szCs w:val="24"/>
        </w:rPr>
        <w:t xml:space="preserve">  Furthermore, the </w:t>
      </w:r>
      <w:r w:rsidRPr="005D514D">
        <w:rPr>
          <w:rFonts w:ascii="Times New Roman" w:hAnsi="Times New Roman"/>
          <w:noProof/>
          <w:sz w:val="24"/>
          <w:szCs w:val="24"/>
        </w:rPr>
        <w:t>Ninth</w:t>
      </w:r>
      <w:r>
        <w:rPr>
          <w:rFonts w:ascii="Times New Roman" w:hAnsi="Times New Roman"/>
          <w:sz w:val="24"/>
          <w:szCs w:val="24"/>
        </w:rPr>
        <w:t xml:space="preserve"> Circuit found that it was not necessary to prove that the victim had lived with the abuser in the United States.</w:t>
      </w:r>
      <w:r>
        <w:rPr>
          <w:rStyle w:val="FootnoteReference"/>
          <w:rFonts w:ascii="Times New Roman" w:hAnsi="Times New Roman"/>
          <w:sz w:val="24"/>
          <w:szCs w:val="24"/>
        </w:rPr>
        <w:footnoteReference w:id="12"/>
      </w:r>
      <w:r>
        <w:rPr>
          <w:rFonts w:ascii="Times New Roman" w:hAnsi="Times New Roman"/>
          <w:sz w:val="24"/>
          <w:szCs w:val="24"/>
        </w:rPr>
        <w:t xml:space="preserve">  The Ninth Circuit found that the notion of requiring the victim to establish physical cohabitation with the abuser in the United States is “</w:t>
      </w:r>
      <w:r w:rsidRPr="006D3734">
        <w:rPr>
          <w:rFonts w:ascii="Times New Roman" w:hAnsi="Times New Roman"/>
          <w:sz w:val="24"/>
          <w:szCs w:val="24"/>
        </w:rPr>
        <w:t>flatly contrary to Congress’s articulated purpose in enacting section 244(a)(3)</w:t>
      </w:r>
      <w:r>
        <w:rPr>
          <w:rFonts w:ascii="Times New Roman" w:hAnsi="Times New Roman"/>
          <w:sz w:val="24"/>
          <w:szCs w:val="24"/>
        </w:rPr>
        <w:t>,” because the VAWA statute was enacted to permit abused victims to leave their batterers without the fear of deportation.</w:t>
      </w:r>
      <w:r>
        <w:rPr>
          <w:rStyle w:val="FootnoteReference"/>
          <w:rFonts w:ascii="Times New Roman" w:hAnsi="Times New Roman"/>
          <w:sz w:val="24"/>
          <w:szCs w:val="24"/>
        </w:rPr>
        <w:footnoteReference w:id="13"/>
      </w:r>
    </w:p>
    <w:p w14:paraId="5F7D72A8" w14:textId="77777777" w:rsidR="00446696" w:rsidRDefault="00446696" w:rsidP="00446696">
      <w:pPr>
        <w:spacing w:after="0" w:line="360" w:lineRule="auto"/>
        <w:ind w:firstLine="720"/>
        <w:rPr>
          <w:rFonts w:ascii="Times New Roman" w:hAnsi="Times New Roman"/>
          <w:sz w:val="24"/>
          <w:szCs w:val="24"/>
        </w:rPr>
      </w:pPr>
    </w:p>
    <w:p w14:paraId="6AA46F12"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In an unpublished decision, the Board of Immigration Appeals (“BIA”) held that observing the physical abuse of the female respondent had “subjected her daughter to extreme cruelty.”</w:t>
      </w:r>
      <w:r>
        <w:rPr>
          <w:rStyle w:val="FootnoteReference"/>
          <w:rFonts w:ascii="Times New Roman" w:hAnsi="Times New Roman"/>
          <w:sz w:val="24"/>
          <w:szCs w:val="24"/>
        </w:rPr>
        <w:footnoteReference w:id="14"/>
      </w:r>
      <w:r>
        <w:rPr>
          <w:rFonts w:ascii="Times New Roman" w:hAnsi="Times New Roman"/>
          <w:sz w:val="24"/>
          <w:szCs w:val="24"/>
        </w:rPr>
        <w:t xml:space="preserve">  The BIA found that the child’s nightmares, flashbacks, and fear related to the </w:t>
      </w:r>
      <w:r>
        <w:rPr>
          <w:rFonts w:ascii="Times New Roman" w:hAnsi="Times New Roman"/>
          <w:sz w:val="24"/>
          <w:szCs w:val="24"/>
        </w:rPr>
        <w:lastRenderedPageBreak/>
        <w:t xml:space="preserve">physical abuse of her mother </w:t>
      </w:r>
      <w:r w:rsidRPr="005D514D">
        <w:rPr>
          <w:rFonts w:ascii="Times New Roman" w:hAnsi="Times New Roman"/>
          <w:noProof/>
          <w:sz w:val="24"/>
          <w:szCs w:val="24"/>
        </w:rPr>
        <w:t>w</w:t>
      </w:r>
      <w:r>
        <w:rPr>
          <w:rFonts w:ascii="Times New Roman" w:hAnsi="Times New Roman"/>
          <w:noProof/>
          <w:sz w:val="24"/>
          <w:szCs w:val="24"/>
        </w:rPr>
        <w:t>ere</w:t>
      </w:r>
      <w:r>
        <w:rPr>
          <w:rFonts w:ascii="Times New Roman" w:hAnsi="Times New Roman"/>
          <w:sz w:val="24"/>
          <w:szCs w:val="24"/>
        </w:rPr>
        <w:t xml:space="preserve"> sufficient to establish extreme cruelty for VAWA Suspension of Deportation under §244(a)(3) of the Act.</w:t>
      </w:r>
      <w:r>
        <w:rPr>
          <w:rStyle w:val="FootnoteReference"/>
          <w:rFonts w:ascii="Times New Roman" w:hAnsi="Times New Roman"/>
          <w:sz w:val="24"/>
          <w:szCs w:val="24"/>
        </w:rPr>
        <w:footnoteReference w:id="15"/>
      </w:r>
    </w:p>
    <w:p w14:paraId="4145EFCA" w14:textId="77777777" w:rsidR="00446696" w:rsidRDefault="00446696" w:rsidP="00446696">
      <w:pPr>
        <w:spacing w:after="0" w:line="360" w:lineRule="auto"/>
        <w:rPr>
          <w:rFonts w:ascii="Times New Roman" w:hAnsi="Times New Roman"/>
          <w:sz w:val="24"/>
          <w:szCs w:val="24"/>
        </w:rPr>
      </w:pPr>
    </w:p>
    <w:p w14:paraId="330CE197"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 xml:space="preserve">In the instant case, as the respondent will establish, that her daughter XXX has been subjected to extreme cruelty by her LPR father based on the domestic violence and extensive drug use he exposed her too while she lived with him.  Under the express language of the statute and the decision in </w:t>
      </w:r>
      <w:r w:rsidRPr="0056310A">
        <w:rPr>
          <w:rFonts w:ascii="Times New Roman" w:hAnsi="Times New Roman"/>
          <w:i/>
          <w:sz w:val="24"/>
          <w:szCs w:val="24"/>
        </w:rPr>
        <w:t>Lopez</w:t>
      </w:r>
      <w:r>
        <w:rPr>
          <w:rFonts w:ascii="Times New Roman" w:hAnsi="Times New Roman"/>
          <w:i/>
          <w:sz w:val="24"/>
          <w:szCs w:val="24"/>
        </w:rPr>
        <w:t>-</w:t>
      </w:r>
      <w:proofErr w:type="spellStart"/>
      <w:r w:rsidRPr="0056310A">
        <w:rPr>
          <w:rFonts w:ascii="Times New Roman" w:hAnsi="Times New Roman"/>
          <w:i/>
          <w:sz w:val="24"/>
          <w:szCs w:val="24"/>
        </w:rPr>
        <w:t>Birrueta</w:t>
      </w:r>
      <w:proofErr w:type="spellEnd"/>
      <w:r>
        <w:rPr>
          <w:rFonts w:ascii="Times New Roman" w:hAnsi="Times New Roman"/>
          <w:sz w:val="24"/>
          <w:szCs w:val="24"/>
        </w:rPr>
        <w:t xml:space="preserve">, XXX remains eligible for VAWA Cancellation because </w:t>
      </w:r>
      <w:r w:rsidRPr="0056310A">
        <w:rPr>
          <w:rFonts w:ascii="Times New Roman" w:hAnsi="Times New Roman"/>
          <w:sz w:val="24"/>
          <w:szCs w:val="24"/>
        </w:rPr>
        <w:t>she is a noncitizen parent of a child who had been previously subjected to extreme cruelty by her resident father.</w:t>
      </w:r>
      <w:r>
        <w:rPr>
          <w:rFonts w:ascii="Times New Roman" w:hAnsi="Times New Roman"/>
          <w:sz w:val="24"/>
          <w:szCs w:val="24"/>
        </w:rPr>
        <w:t xml:space="preserve">  </w:t>
      </w:r>
      <w:r w:rsidRPr="0056310A">
        <w:rPr>
          <w:rFonts w:ascii="Times New Roman" w:hAnsi="Times New Roman"/>
          <w:sz w:val="24"/>
          <w:szCs w:val="24"/>
        </w:rPr>
        <w:t>Indeed, a decision to the contrary would mean that pure happenstance as t</w:t>
      </w:r>
      <w:r>
        <w:rPr>
          <w:rFonts w:ascii="Times New Roman" w:hAnsi="Times New Roman"/>
          <w:sz w:val="24"/>
          <w:szCs w:val="24"/>
        </w:rPr>
        <w:t>o the legal status of the abused child</w:t>
      </w:r>
      <w:r w:rsidRPr="0056310A">
        <w:rPr>
          <w:rFonts w:ascii="Times New Roman" w:hAnsi="Times New Roman"/>
          <w:sz w:val="24"/>
          <w:szCs w:val="24"/>
        </w:rPr>
        <w:t xml:space="preserve"> could affect a respondent's application for VAWA Cancellation</w:t>
      </w:r>
      <w:r>
        <w:rPr>
          <w:rFonts w:ascii="Times New Roman" w:hAnsi="Times New Roman"/>
          <w:sz w:val="24"/>
          <w:szCs w:val="24"/>
        </w:rPr>
        <w:t xml:space="preserve">.  The spirit of the VAWA statute-providing humanitarian relief for battered women and </w:t>
      </w:r>
      <w:r w:rsidRPr="00461EC2">
        <w:rPr>
          <w:rFonts w:ascii="Times New Roman" w:hAnsi="Times New Roman"/>
          <w:noProof/>
          <w:sz w:val="24"/>
          <w:szCs w:val="24"/>
        </w:rPr>
        <w:t>children</w:t>
      </w:r>
      <w:r>
        <w:rPr>
          <w:rFonts w:ascii="Times New Roman" w:hAnsi="Times New Roman"/>
          <w:sz w:val="24"/>
          <w:szCs w:val="24"/>
        </w:rPr>
        <w:t xml:space="preserve"> would be wholly subverted if VAWA Cancellation is automatically denied to those who need such humanitarian aid the most-the noncitizen parents of abused undocumented children.  Indeed, in the most extreme circumstance, the denial of a child’s immigration status by the abusive LPR or U.S. citizen parent could become a weapon for the vengeful abuser to ensure the removal of the noncitizen parent from the U.S.  Such draconian result could not have been the intent of Congress behind the enactment of INA §240A(b)(2).</w:t>
      </w:r>
    </w:p>
    <w:p w14:paraId="10372318" w14:textId="77777777" w:rsidR="00446696" w:rsidRPr="00DB7ED9" w:rsidRDefault="00446696" w:rsidP="00446696">
      <w:pPr>
        <w:spacing w:after="0"/>
        <w:jc w:val="center"/>
        <w:rPr>
          <w:rFonts w:ascii="Times New Roman" w:hAnsi="Times New Roman"/>
          <w:b/>
          <w:sz w:val="24"/>
          <w:szCs w:val="24"/>
        </w:rPr>
      </w:pPr>
    </w:p>
    <w:p w14:paraId="2E49FCE7" w14:textId="77777777" w:rsidR="00446696" w:rsidRDefault="00446696" w:rsidP="00446696">
      <w:pPr>
        <w:spacing w:after="0"/>
        <w:jc w:val="center"/>
        <w:rPr>
          <w:rFonts w:ascii="Times New Roman" w:hAnsi="Times New Roman"/>
          <w:b/>
          <w:sz w:val="24"/>
          <w:szCs w:val="24"/>
        </w:rPr>
      </w:pPr>
      <w:r w:rsidRPr="00DB7ED9">
        <w:rPr>
          <w:rFonts w:ascii="Times New Roman" w:hAnsi="Times New Roman"/>
          <w:b/>
          <w:sz w:val="24"/>
          <w:szCs w:val="24"/>
        </w:rPr>
        <w:t>3. THE MATTER OF A-B- OVERRULED MATTER OF A</w:t>
      </w:r>
      <w:r>
        <w:rPr>
          <w:rFonts w:ascii="Times New Roman" w:hAnsi="Times New Roman"/>
          <w:b/>
          <w:sz w:val="24"/>
          <w:szCs w:val="24"/>
        </w:rPr>
        <w:t>-</w:t>
      </w:r>
      <w:r w:rsidRPr="00DB7ED9">
        <w:rPr>
          <w:rFonts w:ascii="Times New Roman" w:hAnsi="Times New Roman"/>
          <w:b/>
          <w:sz w:val="24"/>
          <w:szCs w:val="24"/>
        </w:rPr>
        <w:t>R</w:t>
      </w:r>
      <w:r>
        <w:rPr>
          <w:rFonts w:ascii="Times New Roman" w:hAnsi="Times New Roman"/>
          <w:b/>
          <w:sz w:val="24"/>
          <w:szCs w:val="24"/>
        </w:rPr>
        <w:t>-</w:t>
      </w:r>
      <w:r w:rsidRPr="00DB7ED9">
        <w:rPr>
          <w:rFonts w:ascii="Times New Roman" w:hAnsi="Times New Roman"/>
          <w:b/>
          <w:sz w:val="24"/>
          <w:szCs w:val="24"/>
        </w:rPr>
        <w:t>C</w:t>
      </w:r>
      <w:r>
        <w:rPr>
          <w:rFonts w:ascii="Times New Roman" w:hAnsi="Times New Roman"/>
          <w:b/>
          <w:sz w:val="24"/>
          <w:szCs w:val="24"/>
        </w:rPr>
        <w:t>-</w:t>
      </w:r>
      <w:r w:rsidRPr="00DB7ED9">
        <w:rPr>
          <w:rFonts w:ascii="Times New Roman" w:hAnsi="Times New Roman"/>
          <w:b/>
          <w:sz w:val="24"/>
          <w:szCs w:val="24"/>
        </w:rPr>
        <w:t>G</w:t>
      </w:r>
      <w:r>
        <w:rPr>
          <w:rFonts w:ascii="Times New Roman" w:hAnsi="Times New Roman"/>
          <w:b/>
          <w:sz w:val="24"/>
          <w:szCs w:val="24"/>
        </w:rPr>
        <w:t>-</w:t>
      </w:r>
      <w:r w:rsidRPr="00DB7ED9">
        <w:rPr>
          <w:rFonts w:ascii="Times New Roman" w:hAnsi="Times New Roman"/>
          <w:b/>
          <w:sz w:val="24"/>
          <w:szCs w:val="24"/>
        </w:rPr>
        <w:t xml:space="preserve"> BUT </w:t>
      </w:r>
      <w:r>
        <w:rPr>
          <w:rFonts w:ascii="Times New Roman" w:hAnsi="Times New Roman"/>
          <w:b/>
          <w:sz w:val="24"/>
          <w:szCs w:val="24"/>
        </w:rPr>
        <w:t xml:space="preserve">ASYLUM </w:t>
      </w:r>
    </w:p>
    <w:p w14:paraId="6777F1B2" w14:textId="77777777" w:rsidR="00446696" w:rsidRPr="00DB7ED9" w:rsidRDefault="00446696" w:rsidP="00446696">
      <w:pPr>
        <w:spacing w:after="0"/>
        <w:jc w:val="center"/>
        <w:rPr>
          <w:rFonts w:ascii="Times New Roman" w:hAnsi="Times New Roman"/>
          <w:b/>
          <w:sz w:val="24"/>
          <w:szCs w:val="24"/>
        </w:rPr>
      </w:pPr>
      <w:r>
        <w:rPr>
          <w:rFonts w:ascii="Times New Roman" w:hAnsi="Times New Roman"/>
          <w:b/>
          <w:sz w:val="24"/>
          <w:szCs w:val="24"/>
        </w:rPr>
        <w:t>FUNDAMENTALS REMAINS STRONG AND INTACT</w:t>
      </w:r>
    </w:p>
    <w:p w14:paraId="7F803A50" w14:textId="77777777" w:rsidR="00446696" w:rsidRDefault="00446696" w:rsidP="00446696">
      <w:pPr>
        <w:spacing w:after="0"/>
        <w:rPr>
          <w:rFonts w:ascii="Times New Roman" w:hAnsi="Times New Roman"/>
          <w:sz w:val="24"/>
          <w:szCs w:val="24"/>
        </w:rPr>
      </w:pPr>
    </w:p>
    <w:p w14:paraId="754A0A8B" w14:textId="77777777" w:rsidR="00446696" w:rsidRPr="002F60E6" w:rsidRDefault="00446696" w:rsidP="00446696">
      <w:pPr>
        <w:spacing w:after="0" w:line="360" w:lineRule="auto"/>
        <w:rPr>
          <w:rFonts w:ascii="Times New Roman" w:hAnsi="Times New Roman"/>
          <w:sz w:val="24"/>
          <w:szCs w:val="24"/>
        </w:rPr>
      </w:pPr>
      <w:r>
        <w:rPr>
          <w:rFonts w:ascii="Times New Roman" w:hAnsi="Times New Roman"/>
          <w:sz w:val="24"/>
          <w:szCs w:val="24"/>
        </w:rPr>
        <w:tab/>
        <w:t>On June 11, 2018, Atty. Gen. Sessions issued a precedential decision in</w:t>
      </w:r>
      <w:r w:rsidRPr="002F60E6">
        <w:rPr>
          <w:rFonts w:ascii="Times New Roman" w:hAnsi="Times New Roman"/>
          <w:i/>
          <w:sz w:val="24"/>
          <w:szCs w:val="24"/>
        </w:rPr>
        <w:t xml:space="preserve"> Matter of A-B-</w:t>
      </w:r>
      <w:r>
        <w:rPr>
          <w:rFonts w:ascii="Times New Roman" w:hAnsi="Times New Roman"/>
          <w:sz w:val="24"/>
          <w:szCs w:val="24"/>
        </w:rPr>
        <w:t xml:space="preserve">, 27 I&amp;N Dec. 316 (A.G. 2018).  This decision overrules a prior BIA decision, </w:t>
      </w:r>
      <w:r w:rsidRPr="002F60E6">
        <w:rPr>
          <w:rFonts w:ascii="Times New Roman" w:hAnsi="Times New Roman"/>
          <w:i/>
          <w:sz w:val="24"/>
          <w:szCs w:val="24"/>
        </w:rPr>
        <w:t>Matter of A-R-C-G-</w:t>
      </w:r>
      <w:r>
        <w:rPr>
          <w:rFonts w:ascii="Times New Roman" w:hAnsi="Times New Roman"/>
          <w:sz w:val="24"/>
          <w:szCs w:val="24"/>
        </w:rPr>
        <w:t xml:space="preserve">, 26 I&amp;N Dec. 338 (BIA 2014), which held that in some circumstances, domestic violence survivors could receive asylum protection. While the language used by the Atty. Gen. in </w:t>
      </w:r>
      <w:r w:rsidRPr="002F60E6">
        <w:rPr>
          <w:rFonts w:ascii="Times New Roman" w:hAnsi="Times New Roman"/>
          <w:i/>
          <w:sz w:val="24"/>
          <w:szCs w:val="24"/>
        </w:rPr>
        <w:t>A-B-</w:t>
      </w:r>
      <w:r>
        <w:rPr>
          <w:rFonts w:ascii="Times New Roman" w:hAnsi="Times New Roman"/>
          <w:i/>
          <w:sz w:val="24"/>
          <w:szCs w:val="24"/>
        </w:rPr>
        <w:t xml:space="preserve"> </w:t>
      </w:r>
      <w:r>
        <w:rPr>
          <w:rFonts w:ascii="Times New Roman" w:hAnsi="Times New Roman"/>
          <w:sz w:val="24"/>
          <w:szCs w:val="24"/>
        </w:rPr>
        <w:t>attacks asylum claims involving harm by non-state actors, and gives the impression that these claims are foreclosed, nearly all of the damaging language is dicta. The Refugee Convention, the Immigration and Nationality Act, and established case law at the Courts of Appeals and the BIA continued to support a claim of asylum based on domestic violence.</w:t>
      </w:r>
    </w:p>
    <w:p w14:paraId="34835D86"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r>
    </w:p>
    <w:p w14:paraId="2EA7AE3B"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lastRenderedPageBreak/>
        <w:tab/>
        <w:t xml:space="preserve">The Attorney Gen. found that the Board in </w:t>
      </w:r>
      <w:r w:rsidRPr="00DC3DD2">
        <w:rPr>
          <w:rFonts w:ascii="Times New Roman" w:hAnsi="Times New Roman"/>
          <w:i/>
          <w:sz w:val="24"/>
          <w:szCs w:val="24"/>
        </w:rPr>
        <w:t>Matter of A-R-C-G-</w:t>
      </w:r>
      <w:r>
        <w:rPr>
          <w:rFonts w:ascii="Times New Roman" w:hAnsi="Times New Roman"/>
          <w:i/>
          <w:sz w:val="24"/>
          <w:szCs w:val="24"/>
        </w:rPr>
        <w:t xml:space="preserve"> </w:t>
      </w:r>
      <w:r>
        <w:rPr>
          <w:rFonts w:ascii="Times New Roman" w:hAnsi="Times New Roman"/>
          <w:sz w:val="24"/>
          <w:szCs w:val="24"/>
        </w:rPr>
        <w:t xml:space="preserve">failed to follow the necessary analysis established by the BIA’s two earlier decisions, </w:t>
      </w:r>
      <w:r w:rsidRPr="00DC3DD2">
        <w:rPr>
          <w:rFonts w:ascii="Times New Roman" w:hAnsi="Times New Roman"/>
          <w:i/>
          <w:sz w:val="24"/>
          <w:szCs w:val="24"/>
        </w:rPr>
        <w:t>Matter of M-E-V-G-</w:t>
      </w:r>
      <w:r>
        <w:rPr>
          <w:rFonts w:ascii="Times New Roman" w:hAnsi="Times New Roman"/>
          <w:sz w:val="24"/>
          <w:szCs w:val="24"/>
        </w:rPr>
        <w:t xml:space="preserve">, </w:t>
      </w:r>
      <w:r w:rsidRPr="00DC3DD2">
        <w:rPr>
          <w:rFonts w:ascii="Times New Roman" w:hAnsi="Times New Roman"/>
          <w:sz w:val="24"/>
          <w:szCs w:val="24"/>
        </w:rPr>
        <w:t>26 I&amp;N Dec. 227 (BIA 2014)</w:t>
      </w:r>
      <w:r>
        <w:rPr>
          <w:rFonts w:ascii="Times New Roman" w:hAnsi="Times New Roman"/>
          <w:sz w:val="24"/>
          <w:szCs w:val="24"/>
        </w:rPr>
        <w:t xml:space="preserve"> and </w:t>
      </w:r>
      <w:r w:rsidRPr="00DC3DD2">
        <w:rPr>
          <w:rFonts w:ascii="Times New Roman" w:hAnsi="Times New Roman"/>
          <w:i/>
          <w:sz w:val="24"/>
          <w:szCs w:val="24"/>
        </w:rPr>
        <w:t>Matter of W-G-R-</w:t>
      </w:r>
      <w:r>
        <w:rPr>
          <w:rFonts w:ascii="Times New Roman" w:hAnsi="Times New Roman"/>
          <w:sz w:val="24"/>
          <w:szCs w:val="24"/>
        </w:rPr>
        <w:t xml:space="preserve">, 26 I&amp;N Dec. 20 (BIA 2014).  In </w:t>
      </w:r>
      <w:r w:rsidRPr="00081F85">
        <w:rPr>
          <w:rFonts w:ascii="Times New Roman" w:hAnsi="Times New Roman"/>
          <w:i/>
          <w:sz w:val="24"/>
          <w:szCs w:val="24"/>
        </w:rPr>
        <w:t>M-E-V-G-</w:t>
      </w:r>
      <w:r>
        <w:rPr>
          <w:rFonts w:ascii="Times New Roman" w:hAnsi="Times New Roman"/>
          <w:sz w:val="24"/>
          <w:szCs w:val="24"/>
        </w:rPr>
        <w:t>, the BIA clarified that social visibility does not mean literal visibility, but instead refers to whether the Particular Social Group (“PSG”) is recognized within society as a distinct entity.</w:t>
      </w:r>
      <w:r>
        <w:rPr>
          <w:rStyle w:val="FootnoteReference"/>
          <w:rFonts w:ascii="Times New Roman" w:hAnsi="Times New Roman"/>
          <w:sz w:val="24"/>
          <w:szCs w:val="24"/>
        </w:rPr>
        <w:footnoteReference w:id="16"/>
      </w:r>
      <w:r>
        <w:rPr>
          <w:rFonts w:ascii="Times New Roman" w:hAnsi="Times New Roman"/>
          <w:sz w:val="24"/>
          <w:szCs w:val="24"/>
        </w:rPr>
        <w:t xml:space="preserve">  The BIA thus renamed the “social visibility” requirement “social distinction.”  </w:t>
      </w:r>
      <w:r w:rsidRPr="002F717A">
        <w:rPr>
          <w:rFonts w:ascii="Times New Roman" w:hAnsi="Times New Roman"/>
          <w:i/>
          <w:sz w:val="24"/>
          <w:szCs w:val="24"/>
        </w:rPr>
        <w:t>Matter of A-B-</w:t>
      </w:r>
      <w:r>
        <w:rPr>
          <w:rFonts w:ascii="Times New Roman" w:hAnsi="Times New Roman"/>
          <w:i/>
          <w:sz w:val="24"/>
          <w:szCs w:val="24"/>
        </w:rPr>
        <w:t xml:space="preserve"> </w:t>
      </w:r>
      <w:r>
        <w:rPr>
          <w:rFonts w:ascii="Times New Roman" w:hAnsi="Times New Roman"/>
          <w:sz w:val="24"/>
          <w:szCs w:val="24"/>
        </w:rPr>
        <w:t xml:space="preserve">eliminated </w:t>
      </w:r>
      <w:r w:rsidRPr="002F717A">
        <w:rPr>
          <w:rFonts w:ascii="Times New Roman" w:hAnsi="Times New Roman"/>
          <w:i/>
          <w:sz w:val="24"/>
          <w:szCs w:val="24"/>
        </w:rPr>
        <w:t>A-R-C-G-</w:t>
      </w:r>
      <w:r>
        <w:rPr>
          <w:rFonts w:ascii="Times New Roman" w:hAnsi="Times New Roman"/>
          <w:i/>
          <w:sz w:val="24"/>
          <w:szCs w:val="24"/>
        </w:rPr>
        <w:t xml:space="preserve"> </w:t>
      </w:r>
      <w:r>
        <w:rPr>
          <w:rFonts w:ascii="Times New Roman" w:hAnsi="Times New Roman"/>
          <w:sz w:val="24"/>
          <w:szCs w:val="24"/>
        </w:rPr>
        <w:t xml:space="preserve">as a precedential decision, but it does not create any new asylum standards, nor does it say that the group identified in </w:t>
      </w:r>
      <w:r w:rsidRPr="002F717A">
        <w:rPr>
          <w:rFonts w:ascii="Times New Roman" w:hAnsi="Times New Roman"/>
          <w:i/>
          <w:sz w:val="24"/>
          <w:szCs w:val="24"/>
        </w:rPr>
        <w:t>A-R-C-G-</w:t>
      </w:r>
      <w:r>
        <w:rPr>
          <w:rFonts w:ascii="Times New Roman" w:hAnsi="Times New Roman"/>
          <w:sz w:val="24"/>
          <w:szCs w:val="24"/>
        </w:rPr>
        <w:t xml:space="preserve"> can never be viable.  The Attorney General (“AG”) asserts in </w:t>
      </w:r>
      <w:r w:rsidRPr="00A31110">
        <w:rPr>
          <w:rFonts w:ascii="Times New Roman" w:hAnsi="Times New Roman"/>
          <w:i/>
          <w:sz w:val="24"/>
          <w:szCs w:val="24"/>
        </w:rPr>
        <w:t>A-B-</w:t>
      </w:r>
      <w:r>
        <w:rPr>
          <w:rFonts w:ascii="Times New Roman" w:hAnsi="Times New Roman"/>
          <w:sz w:val="24"/>
          <w:szCs w:val="24"/>
        </w:rPr>
        <w:t xml:space="preserve"> that he is overruling </w:t>
      </w:r>
      <w:r w:rsidRPr="002F717A">
        <w:rPr>
          <w:rFonts w:ascii="Times New Roman" w:hAnsi="Times New Roman"/>
          <w:i/>
          <w:sz w:val="24"/>
          <w:szCs w:val="24"/>
        </w:rPr>
        <w:t>A-R-C-G-</w:t>
      </w:r>
      <w:r>
        <w:rPr>
          <w:rFonts w:ascii="Times New Roman" w:hAnsi="Times New Roman"/>
          <w:i/>
          <w:sz w:val="24"/>
          <w:szCs w:val="24"/>
        </w:rPr>
        <w:t xml:space="preserve"> </w:t>
      </w:r>
      <w:r>
        <w:rPr>
          <w:rFonts w:ascii="Times New Roman" w:hAnsi="Times New Roman"/>
          <w:sz w:val="24"/>
          <w:szCs w:val="24"/>
        </w:rPr>
        <w:t xml:space="preserve">because of the manner in which the BIA reached its decision. The AG otherwise merely restates the Board’s case law regarding the PSG definition and other asylum elements. </w:t>
      </w:r>
    </w:p>
    <w:p w14:paraId="71D3CB06" w14:textId="77777777" w:rsidR="00446696" w:rsidRDefault="00446696" w:rsidP="00446696">
      <w:pPr>
        <w:spacing w:after="0" w:line="360" w:lineRule="auto"/>
        <w:rPr>
          <w:rFonts w:ascii="Times New Roman" w:hAnsi="Times New Roman"/>
          <w:sz w:val="24"/>
          <w:szCs w:val="24"/>
        </w:rPr>
      </w:pPr>
    </w:p>
    <w:p w14:paraId="65208ADB" w14:textId="77777777" w:rsidR="00446696" w:rsidRDefault="00446696" w:rsidP="00446696">
      <w:pPr>
        <w:spacing w:after="0" w:line="360" w:lineRule="auto"/>
        <w:rPr>
          <w:rFonts w:ascii="Times New Roman" w:hAnsi="Times New Roman"/>
          <w:sz w:val="24"/>
          <w:szCs w:val="24"/>
        </w:rPr>
      </w:pPr>
      <w:r>
        <w:rPr>
          <w:rFonts w:ascii="Times New Roman" w:hAnsi="Times New Roman"/>
          <w:sz w:val="24"/>
          <w:szCs w:val="24"/>
        </w:rPr>
        <w:tab/>
        <w:t xml:space="preserve">In the Ninth Circuit, the precedential decision on the issue of PSG is </w:t>
      </w:r>
      <w:r w:rsidRPr="002D258F">
        <w:rPr>
          <w:rFonts w:ascii="Times New Roman" w:hAnsi="Times New Roman"/>
          <w:i/>
          <w:sz w:val="24"/>
          <w:szCs w:val="24"/>
        </w:rPr>
        <w:t>Perdomo v. Holder</w:t>
      </w:r>
      <w:r>
        <w:rPr>
          <w:rFonts w:ascii="Times New Roman" w:hAnsi="Times New Roman"/>
          <w:i/>
          <w:sz w:val="24"/>
          <w:szCs w:val="24"/>
        </w:rPr>
        <w:t xml:space="preserve">, </w:t>
      </w:r>
      <w:r>
        <w:rPr>
          <w:rFonts w:ascii="Times New Roman" w:hAnsi="Times New Roman"/>
          <w:sz w:val="24"/>
          <w:szCs w:val="24"/>
        </w:rPr>
        <w:t xml:space="preserve">in which the court ruled that the BIA </w:t>
      </w:r>
      <w:r w:rsidRPr="002D258F">
        <w:rPr>
          <w:rFonts w:ascii="Times New Roman" w:hAnsi="Times New Roman"/>
          <w:sz w:val="24"/>
          <w:szCs w:val="24"/>
        </w:rPr>
        <w:t>had erred in finding that an asylum applicant failed to establish membership in a “particular social group” under the Immigration and Nationality Act when she defined the social group as “all Guatemalan women.”</w:t>
      </w:r>
      <w:r>
        <w:rPr>
          <w:rFonts w:ascii="Times New Roman" w:hAnsi="Times New Roman"/>
          <w:sz w:val="24"/>
          <w:szCs w:val="24"/>
        </w:rPr>
        <w:t xml:space="preserve">  </w:t>
      </w:r>
      <w:r w:rsidRPr="007F62B0">
        <w:rPr>
          <w:rFonts w:ascii="Times New Roman" w:hAnsi="Times New Roman"/>
          <w:sz w:val="24"/>
          <w:szCs w:val="24"/>
        </w:rPr>
        <w:t xml:space="preserve">In </w:t>
      </w:r>
      <w:r w:rsidRPr="006F59A8">
        <w:rPr>
          <w:rFonts w:ascii="Times New Roman" w:hAnsi="Times New Roman"/>
          <w:i/>
          <w:sz w:val="24"/>
          <w:szCs w:val="24"/>
        </w:rPr>
        <w:t>Perdomo</w:t>
      </w:r>
      <w:r w:rsidRPr="007F62B0">
        <w:rPr>
          <w:rFonts w:ascii="Times New Roman" w:hAnsi="Times New Roman"/>
          <w:sz w:val="24"/>
          <w:szCs w:val="24"/>
        </w:rPr>
        <w:t>, the Ninth Circuit rejected a narrow interpretation of “particular social group” and called for an expansive definition that would accommodate a group defined exclusively by gender.</w:t>
      </w:r>
      <w:r>
        <w:rPr>
          <w:rStyle w:val="FootnoteReference"/>
          <w:rFonts w:ascii="Times New Roman" w:hAnsi="Times New Roman"/>
          <w:sz w:val="24"/>
          <w:szCs w:val="24"/>
        </w:rPr>
        <w:footnoteReference w:id="17"/>
      </w:r>
      <w:r w:rsidRPr="007F62B0">
        <w:rPr>
          <w:rFonts w:ascii="Times New Roman" w:hAnsi="Times New Roman"/>
          <w:sz w:val="24"/>
          <w:szCs w:val="24"/>
        </w:rPr>
        <w:t xml:space="preserve"> Perdomo presented the case of Lesley Perdomo, a Guatemalan woman who faced deportation after living continuously in the United States since 1991</w:t>
      </w:r>
      <w:r>
        <w:rPr>
          <w:rFonts w:ascii="Times New Roman" w:hAnsi="Times New Roman"/>
          <w:sz w:val="24"/>
          <w:szCs w:val="24"/>
        </w:rPr>
        <w:t>.</w:t>
      </w:r>
      <w:r>
        <w:rPr>
          <w:rStyle w:val="FootnoteReference"/>
          <w:rFonts w:ascii="Times New Roman" w:hAnsi="Times New Roman"/>
          <w:sz w:val="24"/>
          <w:szCs w:val="24"/>
        </w:rPr>
        <w:footnoteReference w:id="18"/>
      </w:r>
      <w:r>
        <w:rPr>
          <w:rFonts w:ascii="Times New Roman" w:hAnsi="Times New Roman"/>
          <w:sz w:val="24"/>
          <w:szCs w:val="24"/>
        </w:rPr>
        <w:t xml:space="preserve">  </w:t>
      </w:r>
      <w:r w:rsidRPr="007F62B0">
        <w:rPr>
          <w:rFonts w:ascii="Times New Roman" w:hAnsi="Times New Roman"/>
          <w:sz w:val="24"/>
          <w:szCs w:val="24"/>
        </w:rPr>
        <w:t>In response to a removal order, Perdomo requested asylum based on her fear of persecution as a member of the “particular social group” of “all women in Guatemal</w:t>
      </w:r>
      <w:r>
        <w:rPr>
          <w:rFonts w:ascii="Times New Roman" w:hAnsi="Times New Roman"/>
          <w:sz w:val="24"/>
          <w:szCs w:val="24"/>
        </w:rPr>
        <w:t>a,” relying</w:t>
      </w:r>
      <w:r w:rsidRPr="007F62B0">
        <w:rPr>
          <w:rFonts w:ascii="Times New Roman" w:hAnsi="Times New Roman"/>
          <w:sz w:val="24"/>
          <w:szCs w:val="24"/>
        </w:rPr>
        <w:t xml:space="preserve"> on the high incidence of murder of women in Guatemala.</w:t>
      </w:r>
      <w:r>
        <w:rPr>
          <w:rStyle w:val="FootnoteReference"/>
          <w:rFonts w:ascii="Times New Roman" w:hAnsi="Times New Roman"/>
          <w:sz w:val="24"/>
          <w:szCs w:val="24"/>
        </w:rPr>
        <w:footnoteReference w:id="19"/>
      </w:r>
      <w:r w:rsidRPr="007F62B0">
        <w:rPr>
          <w:rFonts w:ascii="Times New Roman" w:hAnsi="Times New Roman"/>
          <w:sz w:val="24"/>
          <w:szCs w:val="24"/>
        </w:rPr>
        <w:t xml:space="preserve"> </w:t>
      </w:r>
      <w:r w:rsidRPr="006F59A8">
        <w:rPr>
          <w:rFonts w:ascii="Times New Roman" w:hAnsi="Times New Roman"/>
          <w:sz w:val="24"/>
          <w:szCs w:val="24"/>
        </w:rPr>
        <w:t>Perdomo</w:t>
      </w:r>
      <w:r w:rsidRPr="007F62B0">
        <w:rPr>
          <w:rFonts w:ascii="Times New Roman" w:hAnsi="Times New Roman"/>
          <w:sz w:val="24"/>
          <w:szCs w:val="24"/>
        </w:rPr>
        <w:t xml:space="preserve"> presented various reports describing these “femicides,” including documentation of their brutality, their prevalence, and the Guatemalan government’s lack of responsiveness.</w:t>
      </w:r>
      <w:r>
        <w:rPr>
          <w:rStyle w:val="FootnoteReference"/>
          <w:rFonts w:ascii="Times New Roman" w:hAnsi="Times New Roman"/>
          <w:sz w:val="24"/>
          <w:szCs w:val="24"/>
        </w:rPr>
        <w:footnoteReference w:id="20"/>
      </w:r>
      <w:r w:rsidRPr="007F62B0">
        <w:rPr>
          <w:rFonts w:ascii="Times New Roman" w:hAnsi="Times New Roman"/>
          <w:sz w:val="24"/>
          <w:szCs w:val="24"/>
        </w:rPr>
        <w:t xml:space="preserve"> The immigration judge denied her application, and the BIA affirmed on the grounds that she had </w:t>
      </w:r>
      <w:r w:rsidRPr="007F62B0">
        <w:rPr>
          <w:rFonts w:ascii="Times New Roman" w:hAnsi="Times New Roman"/>
          <w:sz w:val="24"/>
          <w:szCs w:val="24"/>
        </w:rPr>
        <w:lastRenderedPageBreak/>
        <w:t>failed to prove that she was a member of a “particular social group” under the Immigration and Nationality Act.</w:t>
      </w:r>
      <w:r>
        <w:rPr>
          <w:rStyle w:val="FootnoteReference"/>
          <w:rFonts w:ascii="Times New Roman" w:hAnsi="Times New Roman"/>
          <w:sz w:val="24"/>
          <w:szCs w:val="24"/>
        </w:rPr>
        <w:footnoteReference w:id="21"/>
      </w:r>
    </w:p>
    <w:p w14:paraId="2C7BE022" w14:textId="77777777" w:rsidR="00446696" w:rsidRDefault="00446696" w:rsidP="00446696">
      <w:pPr>
        <w:spacing w:after="0" w:line="360" w:lineRule="auto"/>
        <w:rPr>
          <w:rFonts w:ascii="Times New Roman" w:hAnsi="Times New Roman"/>
          <w:sz w:val="24"/>
          <w:szCs w:val="24"/>
        </w:rPr>
      </w:pPr>
    </w:p>
    <w:p w14:paraId="27523366" w14:textId="77777777" w:rsidR="00446696" w:rsidRPr="009837B3" w:rsidRDefault="00446696" w:rsidP="00446696">
      <w:pPr>
        <w:spacing w:after="0" w:line="360" w:lineRule="auto"/>
        <w:rPr>
          <w:rFonts w:ascii="Times New Roman" w:hAnsi="Times New Roman"/>
          <w:sz w:val="24"/>
          <w:szCs w:val="24"/>
        </w:rPr>
      </w:pPr>
      <w:r>
        <w:rPr>
          <w:rFonts w:ascii="Times New Roman" w:hAnsi="Times New Roman"/>
          <w:sz w:val="24"/>
          <w:szCs w:val="24"/>
        </w:rPr>
        <w:tab/>
      </w:r>
      <w:r w:rsidRPr="009837B3">
        <w:rPr>
          <w:rFonts w:ascii="Times New Roman" w:hAnsi="Times New Roman"/>
          <w:sz w:val="24"/>
          <w:szCs w:val="24"/>
        </w:rPr>
        <w:t>On appeal, the Ninth Circuit rejected the BIA’s reasoning and remanded the case for a determination of whether the group “all women in Guatemala” constitutes a “particular social group.”</w:t>
      </w:r>
      <w:r>
        <w:rPr>
          <w:rStyle w:val="FootnoteReference"/>
          <w:rFonts w:ascii="Times New Roman" w:hAnsi="Times New Roman"/>
          <w:sz w:val="24"/>
          <w:szCs w:val="24"/>
        </w:rPr>
        <w:footnoteReference w:id="22"/>
      </w:r>
      <w:r w:rsidRPr="009837B3">
        <w:rPr>
          <w:rFonts w:ascii="Times New Roman" w:hAnsi="Times New Roman"/>
          <w:sz w:val="24"/>
          <w:szCs w:val="24"/>
        </w:rPr>
        <w:t xml:space="preserve"> In remanding the case, the Ninth Circuit </w:t>
      </w:r>
      <w:r>
        <w:rPr>
          <w:rFonts w:ascii="Times New Roman" w:hAnsi="Times New Roman"/>
          <w:sz w:val="24"/>
          <w:szCs w:val="24"/>
        </w:rPr>
        <w:t>a</w:t>
      </w:r>
      <w:r w:rsidRPr="009837B3">
        <w:rPr>
          <w:rFonts w:ascii="Times New Roman" w:hAnsi="Times New Roman"/>
          <w:sz w:val="24"/>
          <w:szCs w:val="24"/>
        </w:rPr>
        <w:t>dvocated for an expansive definition of “particular social group,” which would include groups characterized by gender alone.</w:t>
      </w:r>
      <w:r>
        <w:rPr>
          <w:rStyle w:val="FootnoteReference"/>
          <w:rFonts w:ascii="Times New Roman" w:hAnsi="Times New Roman"/>
          <w:sz w:val="24"/>
          <w:szCs w:val="24"/>
        </w:rPr>
        <w:footnoteReference w:id="23"/>
      </w:r>
    </w:p>
    <w:p w14:paraId="178A88A1" w14:textId="77777777" w:rsidR="00446696" w:rsidRPr="009837B3" w:rsidRDefault="00446696" w:rsidP="00446696">
      <w:pPr>
        <w:spacing w:after="0" w:line="360" w:lineRule="auto"/>
        <w:rPr>
          <w:rFonts w:ascii="Times New Roman" w:hAnsi="Times New Roman"/>
          <w:sz w:val="24"/>
          <w:szCs w:val="24"/>
        </w:rPr>
      </w:pPr>
      <w:r w:rsidRPr="009837B3">
        <w:rPr>
          <w:rFonts w:ascii="Times New Roman" w:hAnsi="Times New Roman"/>
          <w:sz w:val="24"/>
          <w:szCs w:val="24"/>
        </w:rPr>
        <w:t xml:space="preserve"> </w:t>
      </w:r>
    </w:p>
    <w:p w14:paraId="38A84149"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 xml:space="preserve">The Ninth Circuit provided three reasons for its support for an expansive definition of gender as a PSG.  </w:t>
      </w:r>
      <w:r w:rsidRPr="009837B3">
        <w:rPr>
          <w:rFonts w:ascii="Times New Roman" w:hAnsi="Times New Roman"/>
          <w:sz w:val="24"/>
          <w:szCs w:val="24"/>
        </w:rPr>
        <w:t xml:space="preserve">First, </w:t>
      </w:r>
      <w:r>
        <w:rPr>
          <w:rFonts w:ascii="Times New Roman" w:hAnsi="Times New Roman"/>
          <w:sz w:val="24"/>
          <w:szCs w:val="24"/>
        </w:rPr>
        <w:t>the Ninth Circuit</w:t>
      </w:r>
      <w:r w:rsidRPr="009837B3">
        <w:rPr>
          <w:rFonts w:ascii="Times New Roman" w:hAnsi="Times New Roman"/>
          <w:sz w:val="24"/>
          <w:szCs w:val="24"/>
        </w:rPr>
        <w:t xml:space="preserve"> </w:t>
      </w:r>
      <w:r>
        <w:rPr>
          <w:rFonts w:ascii="Times New Roman" w:hAnsi="Times New Roman"/>
          <w:sz w:val="24"/>
          <w:szCs w:val="24"/>
        </w:rPr>
        <w:t>found</w:t>
      </w:r>
      <w:r w:rsidRPr="009837B3">
        <w:rPr>
          <w:rFonts w:ascii="Times New Roman" w:hAnsi="Times New Roman"/>
          <w:sz w:val="24"/>
          <w:szCs w:val="24"/>
        </w:rPr>
        <w:t xml:space="preserve"> that the BIA’s </w:t>
      </w:r>
      <w:r>
        <w:rPr>
          <w:rFonts w:ascii="Times New Roman" w:hAnsi="Times New Roman"/>
          <w:sz w:val="24"/>
          <w:szCs w:val="24"/>
        </w:rPr>
        <w:t>holding</w:t>
      </w:r>
      <w:r w:rsidRPr="009837B3">
        <w:rPr>
          <w:rFonts w:ascii="Times New Roman" w:hAnsi="Times New Roman"/>
          <w:sz w:val="24"/>
          <w:szCs w:val="24"/>
        </w:rPr>
        <w:t xml:space="preserve"> in </w:t>
      </w:r>
      <w:r w:rsidRPr="009837B3">
        <w:rPr>
          <w:rFonts w:ascii="Times New Roman" w:hAnsi="Times New Roman"/>
          <w:i/>
          <w:sz w:val="24"/>
          <w:szCs w:val="24"/>
        </w:rPr>
        <w:t>Perdomo</w:t>
      </w:r>
      <w:r w:rsidRPr="009837B3">
        <w:rPr>
          <w:rFonts w:ascii="Times New Roman" w:hAnsi="Times New Roman"/>
          <w:sz w:val="24"/>
          <w:szCs w:val="24"/>
        </w:rPr>
        <w:t xml:space="preserve"> was in opposition to the Board’s own precedent in the 1985 decision in </w:t>
      </w:r>
      <w:r w:rsidRPr="00454CE7">
        <w:rPr>
          <w:rFonts w:ascii="Times New Roman" w:hAnsi="Times New Roman"/>
          <w:i/>
          <w:sz w:val="24"/>
          <w:szCs w:val="24"/>
        </w:rPr>
        <w:t>Matter of Acosta</w:t>
      </w:r>
      <w:r w:rsidRPr="009837B3">
        <w:rPr>
          <w:rFonts w:ascii="Times New Roman" w:hAnsi="Times New Roman"/>
          <w:sz w:val="24"/>
          <w:szCs w:val="24"/>
        </w:rPr>
        <w:t xml:space="preserve">, the Ninth Circuit implied that the BIA’s definition of “particular social group” in </w:t>
      </w:r>
      <w:r w:rsidRPr="00454CE7">
        <w:rPr>
          <w:rFonts w:ascii="Times New Roman" w:hAnsi="Times New Roman"/>
          <w:i/>
          <w:sz w:val="24"/>
          <w:szCs w:val="24"/>
        </w:rPr>
        <w:t>Acosta</w:t>
      </w:r>
      <w:r w:rsidRPr="009837B3">
        <w:rPr>
          <w:rFonts w:ascii="Times New Roman" w:hAnsi="Times New Roman"/>
          <w:sz w:val="24"/>
          <w:szCs w:val="24"/>
        </w:rPr>
        <w:t xml:space="preserve"> should be read expansively.</w:t>
      </w:r>
      <w:r>
        <w:rPr>
          <w:rStyle w:val="FootnoteReference"/>
          <w:rFonts w:ascii="Times New Roman" w:hAnsi="Times New Roman"/>
          <w:sz w:val="24"/>
          <w:szCs w:val="24"/>
        </w:rPr>
        <w:footnoteReference w:id="24"/>
      </w:r>
      <w:r w:rsidRPr="009837B3">
        <w:rPr>
          <w:rFonts w:ascii="Times New Roman" w:hAnsi="Times New Roman"/>
          <w:sz w:val="24"/>
          <w:szCs w:val="24"/>
        </w:rPr>
        <w:t xml:space="preserve"> Second, the court pointed to its own decisions as presenting a trend towards explicitly recognizing groups unified solely by gender as “particular social groups.”</w:t>
      </w:r>
      <w:r>
        <w:rPr>
          <w:rStyle w:val="FootnoteReference"/>
          <w:rFonts w:ascii="Times New Roman" w:hAnsi="Times New Roman"/>
          <w:sz w:val="24"/>
          <w:szCs w:val="24"/>
        </w:rPr>
        <w:footnoteReference w:id="25"/>
      </w:r>
      <w:r w:rsidRPr="009837B3">
        <w:rPr>
          <w:rFonts w:ascii="Times New Roman" w:hAnsi="Times New Roman"/>
          <w:sz w:val="24"/>
          <w:szCs w:val="24"/>
        </w:rPr>
        <w:t xml:space="preserve"> Third, the court expressly rejected the notion that a group may not constitute a “particular social group” merely because all of its group members may qualify for asylum.</w:t>
      </w:r>
      <w:r>
        <w:rPr>
          <w:rStyle w:val="FootnoteReference"/>
          <w:rFonts w:ascii="Times New Roman" w:hAnsi="Times New Roman"/>
          <w:sz w:val="24"/>
          <w:szCs w:val="24"/>
        </w:rPr>
        <w:footnoteReference w:id="26"/>
      </w:r>
      <w:r w:rsidRPr="009837B3">
        <w:rPr>
          <w:rFonts w:ascii="Times New Roman" w:hAnsi="Times New Roman"/>
          <w:sz w:val="24"/>
          <w:szCs w:val="24"/>
        </w:rPr>
        <w:t xml:space="preserve"> </w:t>
      </w:r>
      <w:r>
        <w:rPr>
          <w:rFonts w:ascii="Times New Roman" w:hAnsi="Times New Roman"/>
          <w:sz w:val="24"/>
          <w:szCs w:val="24"/>
        </w:rPr>
        <w:t xml:space="preserve">Citing its previous </w:t>
      </w:r>
      <w:r w:rsidRPr="009837B3">
        <w:rPr>
          <w:rFonts w:ascii="Times New Roman" w:hAnsi="Times New Roman"/>
          <w:sz w:val="24"/>
          <w:szCs w:val="24"/>
        </w:rPr>
        <w:t xml:space="preserve">decision, </w:t>
      </w:r>
      <w:r w:rsidRPr="00454CE7">
        <w:rPr>
          <w:rFonts w:ascii="Times New Roman" w:hAnsi="Times New Roman"/>
          <w:i/>
          <w:sz w:val="24"/>
          <w:szCs w:val="24"/>
        </w:rPr>
        <w:t>Singh v. INS</w:t>
      </w:r>
      <w:r w:rsidRPr="009837B3">
        <w:rPr>
          <w:rFonts w:ascii="Times New Roman" w:hAnsi="Times New Roman"/>
          <w:sz w:val="24"/>
          <w:szCs w:val="24"/>
        </w:rPr>
        <w:t xml:space="preserve">, the Ninth Circuit </w:t>
      </w:r>
      <w:r>
        <w:rPr>
          <w:rFonts w:ascii="Times New Roman" w:hAnsi="Times New Roman"/>
          <w:sz w:val="24"/>
          <w:szCs w:val="24"/>
        </w:rPr>
        <w:t>held that the</w:t>
      </w:r>
      <w:r w:rsidRPr="009837B3">
        <w:rPr>
          <w:rFonts w:ascii="Times New Roman" w:hAnsi="Times New Roman"/>
          <w:sz w:val="24"/>
          <w:szCs w:val="24"/>
        </w:rPr>
        <w:t xml:space="preserve"> fear of inundating immigration courts with asylum claims should not be an issue of central concern in deciding whether a group qualifies as a “particular social group.”</w:t>
      </w:r>
      <w:r>
        <w:rPr>
          <w:rStyle w:val="FootnoteReference"/>
          <w:rFonts w:ascii="Times New Roman" w:hAnsi="Times New Roman"/>
          <w:sz w:val="24"/>
          <w:szCs w:val="24"/>
        </w:rPr>
        <w:footnoteReference w:id="27"/>
      </w:r>
    </w:p>
    <w:p w14:paraId="29DD5B39" w14:textId="77777777" w:rsidR="00446696" w:rsidRDefault="00446696" w:rsidP="00446696">
      <w:pPr>
        <w:spacing w:after="0" w:line="360" w:lineRule="auto"/>
        <w:ind w:firstLine="720"/>
        <w:rPr>
          <w:rFonts w:ascii="Times New Roman" w:hAnsi="Times New Roman"/>
          <w:sz w:val="24"/>
          <w:szCs w:val="24"/>
        </w:rPr>
      </w:pPr>
    </w:p>
    <w:p w14:paraId="2C015B0C"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 xml:space="preserve">Applying the Ninth Circuit’s holding in </w:t>
      </w:r>
      <w:r w:rsidRPr="00AB2010">
        <w:rPr>
          <w:rFonts w:ascii="Times New Roman" w:hAnsi="Times New Roman"/>
          <w:i/>
          <w:sz w:val="24"/>
          <w:szCs w:val="24"/>
        </w:rPr>
        <w:t>Perdomo</w:t>
      </w:r>
      <w:r>
        <w:rPr>
          <w:rFonts w:ascii="Times New Roman" w:hAnsi="Times New Roman"/>
          <w:sz w:val="24"/>
          <w:szCs w:val="24"/>
        </w:rPr>
        <w:t xml:space="preserve">, Ms. XXX remains eligible for asylum relief as a member of a PSG.  The following is a list of possible PSGs that the Respondent may be able to demonstrate under the reasoning of </w:t>
      </w:r>
      <w:r w:rsidRPr="007B314C">
        <w:rPr>
          <w:rFonts w:ascii="Times New Roman" w:hAnsi="Times New Roman"/>
          <w:i/>
          <w:sz w:val="24"/>
          <w:szCs w:val="24"/>
        </w:rPr>
        <w:t>Perdomo</w:t>
      </w:r>
      <w:r>
        <w:rPr>
          <w:rFonts w:ascii="Times New Roman" w:hAnsi="Times New Roman"/>
          <w:sz w:val="24"/>
          <w:szCs w:val="24"/>
        </w:rPr>
        <w:t>:</w:t>
      </w:r>
    </w:p>
    <w:p w14:paraId="4B0E9DD2" w14:textId="77777777" w:rsidR="00446696" w:rsidRDefault="00446696" w:rsidP="00446696">
      <w:pPr>
        <w:spacing w:after="0" w:line="360" w:lineRule="auto"/>
        <w:ind w:firstLine="720"/>
        <w:rPr>
          <w:rFonts w:ascii="Times New Roman" w:hAnsi="Times New Roman"/>
          <w:sz w:val="24"/>
          <w:szCs w:val="24"/>
        </w:rPr>
      </w:pPr>
    </w:p>
    <w:p w14:paraId="0AC95F8D"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 xml:space="preserve">(1) Honduran women who are treated as property and held against their will by the abuser; </w:t>
      </w:r>
    </w:p>
    <w:p w14:paraId="6A636B07"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 xml:space="preserve">(2) Honduran women and girls from a lower </w:t>
      </w:r>
      <w:r w:rsidRPr="00AA4068">
        <w:rPr>
          <w:rFonts w:ascii="Times New Roman" w:hAnsi="Times New Roman"/>
          <w:noProof/>
          <w:sz w:val="24"/>
          <w:szCs w:val="24"/>
        </w:rPr>
        <w:t>social</w:t>
      </w:r>
      <w:r>
        <w:rPr>
          <w:rFonts w:ascii="Times New Roman" w:hAnsi="Times New Roman"/>
          <w:noProof/>
          <w:sz w:val="24"/>
          <w:szCs w:val="24"/>
        </w:rPr>
        <w:t>,</w:t>
      </w:r>
      <w:r>
        <w:rPr>
          <w:rFonts w:ascii="Times New Roman" w:hAnsi="Times New Roman"/>
          <w:sz w:val="24"/>
          <w:szCs w:val="24"/>
        </w:rPr>
        <w:t xml:space="preserve"> economic class;</w:t>
      </w:r>
    </w:p>
    <w:p w14:paraId="030DDE56" w14:textId="77777777" w:rsidR="00446696" w:rsidRPr="007B314C"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(3) All Honduran women.</w:t>
      </w:r>
    </w:p>
    <w:p w14:paraId="46174735" w14:textId="77777777" w:rsidR="00446696" w:rsidRDefault="00446696" w:rsidP="00446696">
      <w:pPr>
        <w:spacing w:after="0" w:line="360" w:lineRule="auto"/>
        <w:ind w:firstLine="720"/>
        <w:rPr>
          <w:rFonts w:ascii="Times New Roman" w:hAnsi="Times New Roman"/>
          <w:sz w:val="24"/>
          <w:szCs w:val="24"/>
        </w:rPr>
      </w:pPr>
    </w:p>
    <w:p w14:paraId="06139E6B"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 xml:space="preserve">In </w:t>
      </w:r>
      <w:r w:rsidRPr="00931300">
        <w:rPr>
          <w:rFonts w:ascii="Times New Roman" w:hAnsi="Times New Roman"/>
          <w:i/>
          <w:sz w:val="24"/>
          <w:szCs w:val="24"/>
        </w:rPr>
        <w:t>Henriquez-Rivas</w:t>
      </w:r>
      <w:r>
        <w:rPr>
          <w:rFonts w:ascii="Times New Roman" w:hAnsi="Times New Roman"/>
          <w:i/>
          <w:sz w:val="24"/>
          <w:szCs w:val="24"/>
        </w:rPr>
        <w:t xml:space="preserve"> v. Holder,</w:t>
      </w:r>
      <w:r>
        <w:rPr>
          <w:rFonts w:ascii="Times New Roman" w:hAnsi="Times New Roman"/>
          <w:sz w:val="24"/>
          <w:szCs w:val="24"/>
        </w:rPr>
        <w:t xml:space="preserve"> 707 F.3d 1081 (9th Cir. 2013), the Ninth Circuit held that the “social visibility” requirement for establishing membership in a particular social group does not require “on-sight” or ocular visibility.</w:t>
      </w:r>
      <w:r>
        <w:rPr>
          <w:rStyle w:val="FootnoteReference"/>
          <w:rFonts w:ascii="Times New Roman" w:hAnsi="Times New Roman"/>
          <w:sz w:val="24"/>
          <w:szCs w:val="24"/>
        </w:rPr>
        <w:footnoteReference w:id="28"/>
      </w:r>
      <w:r>
        <w:rPr>
          <w:rFonts w:ascii="Times New Roman" w:hAnsi="Times New Roman"/>
          <w:sz w:val="24"/>
          <w:szCs w:val="24"/>
        </w:rPr>
        <w:t xml:space="preserve">  Furthermore, the </w:t>
      </w:r>
      <w:r w:rsidRPr="00A33BF4">
        <w:rPr>
          <w:rFonts w:ascii="Times New Roman" w:hAnsi="Times New Roman"/>
          <w:i/>
          <w:sz w:val="24"/>
          <w:szCs w:val="24"/>
        </w:rPr>
        <w:t>Henriquez</w:t>
      </w:r>
      <w:r>
        <w:rPr>
          <w:rFonts w:ascii="Times New Roman" w:hAnsi="Times New Roman"/>
          <w:i/>
          <w:sz w:val="24"/>
          <w:szCs w:val="24"/>
        </w:rPr>
        <w:t xml:space="preserve"> </w:t>
      </w:r>
      <w:r>
        <w:rPr>
          <w:rFonts w:ascii="Times New Roman" w:hAnsi="Times New Roman"/>
          <w:sz w:val="24"/>
          <w:szCs w:val="24"/>
        </w:rPr>
        <w:t>court found that the perception of the persecutor may matter the most in establishing the nexus between the persecution and the protected ground.</w:t>
      </w:r>
      <w:r>
        <w:rPr>
          <w:rStyle w:val="FootnoteReference"/>
          <w:rFonts w:ascii="Times New Roman" w:hAnsi="Times New Roman"/>
          <w:sz w:val="24"/>
          <w:szCs w:val="24"/>
        </w:rPr>
        <w:footnoteReference w:id="29"/>
      </w:r>
      <w:r>
        <w:rPr>
          <w:rFonts w:ascii="Times New Roman" w:hAnsi="Times New Roman"/>
          <w:sz w:val="24"/>
          <w:szCs w:val="24"/>
        </w:rPr>
        <w:t xml:space="preserve">  In the present case, the Respondent will demonstrate through the testimony of witnesses that she was held captive by the persecutor for several years, during which her freedom was restricted while being subjected to physical and sexual violence on a regular basis.  Respondent believes she was persecuted precisely because of her persecutors, namely the father of her daughter and his siblings, considered her as their personal property.  The Ninth Circuit court found that the perception on the part of the persecutors that recognized the existence of the social group is relevant to the PSG analysis.</w:t>
      </w:r>
      <w:r>
        <w:rPr>
          <w:rStyle w:val="FootnoteReference"/>
          <w:rFonts w:ascii="Times New Roman" w:hAnsi="Times New Roman"/>
          <w:sz w:val="24"/>
          <w:szCs w:val="24"/>
        </w:rPr>
        <w:footnoteReference w:id="30"/>
      </w:r>
    </w:p>
    <w:p w14:paraId="39B1110A" w14:textId="77777777" w:rsidR="00446696" w:rsidRDefault="00446696" w:rsidP="00446696">
      <w:pPr>
        <w:spacing w:after="0" w:line="360" w:lineRule="auto"/>
        <w:ind w:firstLine="720"/>
        <w:rPr>
          <w:rFonts w:ascii="Times New Roman" w:hAnsi="Times New Roman"/>
          <w:sz w:val="24"/>
          <w:szCs w:val="24"/>
        </w:rPr>
      </w:pPr>
    </w:p>
    <w:p w14:paraId="58E77FE0" w14:textId="77777777" w:rsidR="00446696" w:rsidRDefault="00446696" w:rsidP="00446696">
      <w:pPr>
        <w:spacing w:after="0"/>
        <w:rPr>
          <w:rFonts w:ascii="Times New Roman" w:hAnsi="Times New Roman"/>
          <w:b/>
          <w:sz w:val="24"/>
          <w:szCs w:val="24"/>
        </w:rPr>
      </w:pPr>
      <w:r w:rsidRPr="00E6172F">
        <w:rPr>
          <w:rFonts w:ascii="Times New Roman" w:hAnsi="Times New Roman"/>
          <w:b/>
          <w:sz w:val="24"/>
          <w:szCs w:val="24"/>
        </w:rPr>
        <w:t xml:space="preserve">4. THE RESPONDENT’S SEVERE POST-TRAUMATIC </w:t>
      </w:r>
      <w:r>
        <w:rPr>
          <w:rFonts w:ascii="Times New Roman" w:hAnsi="Times New Roman"/>
          <w:b/>
          <w:sz w:val="24"/>
          <w:szCs w:val="24"/>
        </w:rPr>
        <w:t>DISTRESS</w:t>
      </w:r>
      <w:r w:rsidRPr="00E6172F">
        <w:rPr>
          <w:rFonts w:ascii="Times New Roman" w:hAnsi="Times New Roman"/>
          <w:b/>
          <w:sz w:val="24"/>
          <w:szCs w:val="24"/>
        </w:rPr>
        <w:t xml:space="preserve"> IN THE INITIAL YEARS</w:t>
      </w:r>
      <w:r>
        <w:rPr>
          <w:rFonts w:ascii="Times New Roman" w:hAnsi="Times New Roman"/>
          <w:b/>
          <w:sz w:val="24"/>
          <w:szCs w:val="24"/>
        </w:rPr>
        <w:t xml:space="preserve"> OF HER ARRIVAL IS AN EXTRAORDINARY CIRCUMSTANCE THAT EXCUSES HER FROM THE ONE-YEAR FILING DEADLINE</w:t>
      </w:r>
    </w:p>
    <w:p w14:paraId="4421AD02" w14:textId="77777777" w:rsidR="00446696" w:rsidRPr="00E6172F" w:rsidRDefault="00446696" w:rsidP="00446696">
      <w:pPr>
        <w:spacing w:after="0" w:line="360" w:lineRule="auto"/>
        <w:rPr>
          <w:rFonts w:ascii="Times New Roman" w:hAnsi="Times New Roman"/>
          <w:b/>
          <w:sz w:val="24"/>
          <w:szCs w:val="24"/>
        </w:rPr>
      </w:pPr>
      <w:r w:rsidRPr="00E6172F">
        <w:rPr>
          <w:rFonts w:ascii="Times New Roman" w:hAnsi="Times New Roman"/>
          <w:b/>
          <w:sz w:val="24"/>
          <w:szCs w:val="24"/>
        </w:rPr>
        <w:t xml:space="preserve"> </w:t>
      </w:r>
    </w:p>
    <w:p w14:paraId="5AF71080" w14:textId="77777777" w:rsidR="00446696" w:rsidRDefault="00446696" w:rsidP="00446696">
      <w:pPr>
        <w:spacing w:after="0" w:line="360" w:lineRule="auto"/>
        <w:ind w:firstLine="720"/>
        <w:rPr>
          <w:rFonts w:ascii="Times New Roman" w:hAnsi="Times New Roman"/>
          <w:sz w:val="24"/>
          <w:szCs w:val="24"/>
        </w:rPr>
      </w:pPr>
      <w:r>
        <w:rPr>
          <w:rFonts w:ascii="Times New Roman" w:hAnsi="Times New Roman"/>
          <w:sz w:val="24"/>
          <w:szCs w:val="24"/>
        </w:rPr>
        <w:t>The Respondent intends to show that her mental condition in the years after she escaped her captivity in Honduras constitute as</w:t>
      </w:r>
      <w:r w:rsidRPr="008C6376">
        <w:rPr>
          <w:rFonts w:ascii="Times New Roman" w:hAnsi="Times New Roman"/>
          <w:sz w:val="24"/>
          <w:szCs w:val="24"/>
        </w:rPr>
        <w:t xml:space="preserve"> “extraordinary circumstances” under</w:t>
      </w:r>
      <w:r>
        <w:rPr>
          <w:rFonts w:ascii="Times New Roman" w:hAnsi="Times New Roman"/>
          <w:sz w:val="24"/>
          <w:szCs w:val="24"/>
        </w:rPr>
        <w:t xml:space="preserve"> </w:t>
      </w:r>
      <w:r w:rsidRPr="008C6376">
        <w:rPr>
          <w:rFonts w:ascii="Times New Roman" w:hAnsi="Times New Roman"/>
          <w:sz w:val="24"/>
          <w:szCs w:val="24"/>
        </w:rPr>
        <w:t xml:space="preserve">8 CFR § 1208.4(a)(5)(iv), which enumerates </w:t>
      </w:r>
      <w:r>
        <w:rPr>
          <w:rFonts w:ascii="Times New Roman" w:hAnsi="Times New Roman"/>
          <w:sz w:val="24"/>
          <w:szCs w:val="24"/>
        </w:rPr>
        <w:t>“s</w:t>
      </w:r>
      <w:r w:rsidRPr="008C6376">
        <w:rPr>
          <w:rFonts w:ascii="Times New Roman" w:hAnsi="Times New Roman"/>
          <w:sz w:val="24"/>
          <w:szCs w:val="24"/>
        </w:rPr>
        <w:t>erious illness or mental or physical disability, including any effects of persecution or violent harm suffered in the past</w:t>
      </w:r>
      <w:r>
        <w:rPr>
          <w:rFonts w:ascii="Times New Roman" w:hAnsi="Times New Roman"/>
          <w:sz w:val="24"/>
          <w:szCs w:val="24"/>
        </w:rPr>
        <w:t>” a</w:t>
      </w:r>
      <w:r w:rsidRPr="008C6376">
        <w:rPr>
          <w:rFonts w:ascii="Times New Roman" w:hAnsi="Times New Roman"/>
          <w:sz w:val="24"/>
          <w:szCs w:val="24"/>
        </w:rPr>
        <w:t>s a possible extraordinary circumstance</w:t>
      </w:r>
      <w:r>
        <w:rPr>
          <w:rFonts w:ascii="Times New Roman" w:hAnsi="Times New Roman"/>
          <w:sz w:val="24"/>
          <w:szCs w:val="24"/>
        </w:rPr>
        <w:t xml:space="preserve"> that excuses her from the one-year filing deadline.</w:t>
      </w:r>
      <w:r w:rsidRPr="002B0FC1">
        <w:t xml:space="preserve"> </w:t>
      </w:r>
      <w:r w:rsidRPr="002B0FC1">
        <w:rPr>
          <w:rFonts w:ascii="Times New Roman" w:hAnsi="Times New Roman"/>
          <w:sz w:val="24"/>
          <w:szCs w:val="24"/>
        </w:rPr>
        <w:t xml:space="preserve">The </w:t>
      </w:r>
      <w:r>
        <w:rPr>
          <w:rFonts w:ascii="Times New Roman" w:hAnsi="Times New Roman"/>
          <w:sz w:val="24"/>
          <w:szCs w:val="24"/>
        </w:rPr>
        <w:t>Respondent will provide</w:t>
      </w:r>
      <w:r w:rsidRPr="002B0FC1">
        <w:rPr>
          <w:rFonts w:ascii="Times New Roman" w:hAnsi="Times New Roman"/>
          <w:sz w:val="24"/>
          <w:szCs w:val="24"/>
        </w:rPr>
        <w:t xml:space="preserve"> </w:t>
      </w:r>
      <w:r>
        <w:rPr>
          <w:rFonts w:ascii="Times New Roman" w:hAnsi="Times New Roman"/>
          <w:sz w:val="24"/>
          <w:szCs w:val="24"/>
        </w:rPr>
        <w:t xml:space="preserve">a mental evaluation report from the Program for Torture Victims, a nonprofit organization </w:t>
      </w:r>
      <w:r>
        <w:rPr>
          <w:rFonts w:ascii="Times New Roman" w:hAnsi="Times New Roman"/>
          <w:sz w:val="24"/>
          <w:szCs w:val="24"/>
        </w:rPr>
        <w:lastRenderedPageBreak/>
        <w:t>providing free mental and physical evaluation to torture victims, to establish that her mental condition meets</w:t>
      </w:r>
      <w:r w:rsidRPr="002B0FC1">
        <w:rPr>
          <w:rFonts w:ascii="Times New Roman" w:hAnsi="Times New Roman"/>
          <w:sz w:val="24"/>
          <w:szCs w:val="24"/>
        </w:rPr>
        <w:t xml:space="preserve"> the satisfaction of</w:t>
      </w:r>
      <w:r>
        <w:rPr>
          <w:rFonts w:ascii="Times New Roman" w:hAnsi="Times New Roman"/>
          <w:sz w:val="24"/>
          <w:szCs w:val="24"/>
        </w:rPr>
        <w:t xml:space="preserve"> the Attorney General, as required by the statute</w:t>
      </w:r>
      <w:r w:rsidRPr="002B0FC1">
        <w:rPr>
          <w:rFonts w:ascii="Times New Roman" w:hAnsi="Times New Roman"/>
          <w:sz w:val="24"/>
          <w:szCs w:val="24"/>
        </w:rPr>
        <w:t>.</w:t>
      </w:r>
      <w:r>
        <w:rPr>
          <w:rStyle w:val="FootnoteReference"/>
          <w:rFonts w:ascii="Times New Roman" w:hAnsi="Times New Roman"/>
          <w:sz w:val="24"/>
          <w:szCs w:val="24"/>
        </w:rPr>
        <w:footnoteReference w:id="31"/>
      </w:r>
      <w:r>
        <w:rPr>
          <w:rFonts w:ascii="Times New Roman" w:hAnsi="Times New Roman"/>
          <w:sz w:val="24"/>
          <w:szCs w:val="24"/>
        </w:rPr>
        <w:t xml:space="preserve">  </w:t>
      </w:r>
      <w:r w:rsidRPr="002B0FC1">
        <w:rPr>
          <w:rFonts w:ascii="Times New Roman" w:hAnsi="Times New Roman"/>
          <w:sz w:val="24"/>
          <w:szCs w:val="24"/>
        </w:rPr>
        <w:t>Th</w:t>
      </w:r>
      <w:r>
        <w:rPr>
          <w:rFonts w:ascii="Times New Roman" w:hAnsi="Times New Roman"/>
          <w:sz w:val="24"/>
          <w:szCs w:val="24"/>
        </w:rPr>
        <w:t>e “to the satisfaction of the Attorney General”</w:t>
      </w:r>
      <w:r w:rsidRPr="002B0FC1">
        <w:rPr>
          <w:rFonts w:ascii="Times New Roman" w:hAnsi="Times New Roman"/>
          <w:sz w:val="24"/>
          <w:szCs w:val="24"/>
        </w:rPr>
        <w:t xml:space="preserve"> standard has been interpreted as "credible evidence sufficiently persuasive to satisfy the </w:t>
      </w:r>
      <w:r>
        <w:rPr>
          <w:rFonts w:ascii="Times New Roman" w:hAnsi="Times New Roman"/>
          <w:sz w:val="24"/>
          <w:szCs w:val="24"/>
        </w:rPr>
        <w:t>Attorney General</w:t>
      </w:r>
      <w:r w:rsidRPr="002B0FC1">
        <w:rPr>
          <w:rFonts w:ascii="Times New Roman" w:hAnsi="Times New Roman"/>
          <w:sz w:val="24"/>
          <w:szCs w:val="24"/>
        </w:rPr>
        <w:t xml:space="preserve"> in the exercise of his reasonable judgment, considering the proof fairly and impartially.</w:t>
      </w:r>
      <w:r>
        <w:rPr>
          <w:rFonts w:ascii="Times New Roman" w:hAnsi="Times New Roman"/>
          <w:sz w:val="24"/>
          <w:szCs w:val="24"/>
        </w:rPr>
        <w:t>”</w:t>
      </w:r>
      <w:r>
        <w:rPr>
          <w:rStyle w:val="FootnoteReference"/>
          <w:rFonts w:ascii="Times New Roman" w:hAnsi="Times New Roman"/>
          <w:sz w:val="24"/>
          <w:szCs w:val="24"/>
        </w:rPr>
        <w:footnoteReference w:id="32"/>
      </w:r>
    </w:p>
    <w:p w14:paraId="5340D21E" w14:textId="77777777" w:rsidR="00446696" w:rsidRPr="00931300" w:rsidRDefault="00446696" w:rsidP="00446696">
      <w:pPr>
        <w:spacing w:after="0" w:line="360" w:lineRule="auto"/>
        <w:ind w:firstLine="720"/>
        <w:rPr>
          <w:rFonts w:ascii="Times New Roman" w:hAnsi="Times New Roman"/>
          <w:sz w:val="24"/>
          <w:szCs w:val="24"/>
        </w:rPr>
      </w:pPr>
    </w:p>
    <w:p w14:paraId="78C9BE02" w14:textId="77777777" w:rsidR="00446696" w:rsidRDefault="00446696" w:rsidP="00446696">
      <w:pPr>
        <w:spacing w:after="0" w:line="480" w:lineRule="auto"/>
        <w:ind w:left="5040"/>
        <w:rPr>
          <w:rFonts w:ascii="Times New Roman" w:hAnsi="Times New Roman"/>
          <w:sz w:val="24"/>
          <w:szCs w:val="24"/>
        </w:rPr>
      </w:pPr>
      <w:r>
        <w:rPr>
          <w:rFonts w:ascii="Times New Roman" w:hAnsi="Times New Roman"/>
          <w:sz w:val="24"/>
          <w:szCs w:val="24"/>
        </w:rPr>
        <w:t>Respectfully submitted,</w:t>
      </w:r>
    </w:p>
    <w:p w14:paraId="6E8B4F41" w14:textId="77777777" w:rsidR="00446696" w:rsidRDefault="00446696" w:rsidP="00446696">
      <w:pPr>
        <w:spacing w:after="0" w:line="480" w:lineRule="auto"/>
        <w:jc w:val="both"/>
        <w:rPr>
          <w:rFonts w:ascii="Times New Roman" w:hAnsi="Times New Roman"/>
          <w:sz w:val="24"/>
          <w:szCs w:val="24"/>
        </w:rPr>
      </w:pPr>
    </w:p>
    <w:p w14:paraId="716C6C9E" w14:textId="77777777" w:rsidR="00446696" w:rsidRDefault="00446696" w:rsidP="00446696">
      <w:pPr>
        <w:spacing w:after="0" w:line="480" w:lineRule="auto"/>
        <w:jc w:val="both"/>
        <w:rPr>
          <w:rFonts w:ascii="Times New Roman" w:hAnsi="Times New Roman"/>
          <w:sz w:val="24"/>
          <w:szCs w:val="24"/>
        </w:rPr>
      </w:pPr>
    </w:p>
    <w:p w14:paraId="678FDAEA" w14:textId="77777777" w:rsidR="00446696" w:rsidRPr="00F7126D" w:rsidRDefault="00446696" w:rsidP="00446696">
      <w:pPr>
        <w:spacing w:after="0" w:line="480" w:lineRule="auto"/>
        <w:jc w:val="both"/>
        <w:rPr>
          <w:rFonts w:ascii="Times New Roman" w:hAnsi="Times New Roman"/>
          <w:sz w:val="24"/>
          <w:szCs w:val="24"/>
        </w:rPr>
      </w:pPr>
    </w:p>
    <w:p w14:paraId="14CE240B" w14:textId="77777777" w:rsidR="00446696" w:rsidRPr="00F7126D" w:rsidRDefault="00446696" w:rsidP="00446696">
      <w:pPr>
        <w:spacing w:after="0"/>
        <w:ind w:left="5040"/>
        <w:jc w:val="both"/>
        <w:rPr>
          <w:rFonts w:ascii="Times New Roman" w:hAnsi="Times New Roman"/>
          <w:sz w:val="24"/>
          <w:szCs w:val="24"/>
        </w:rPr>
      </w:pPr>
      <w:r w:rsidRPr="00F7126D">
        <w:rPr>
          <w:rFonts w:ascii="Times New Roman" w:hAnsi="Times New Roman"/>
          <w:sz w:val="24"/>
          <w:szCs w:val="24"/>
        </w:rPr>
        <w:t xml:space="preserve">Daniel T. </w:t>
      </w:r>
      <w:r>
        <w:rPr>
          <w:rFonts w:ascii="Times New Roman" w:hAnsi="Times New Roman"/>
          <w:sz w:val="24"/>
          <w:szCs w:val="24"/>
        </w:rPr>
        <w:t>Huang</w:t>
      </w:r>
    </w:p>
    <w:p w14:paraId="43497617" w14:textId="77777777" w:rsidR="00446696" w:rsidRDefault="00446696" w:rsidP="00446696">
      <w:pPr>
        <w:spacing w:after="0"/>
        <w:ind w:left="5040"/>
        <w:jc w:val="both"/>
        <w:rPr>
          <w:rFonts w:ascii="Times New Roman" w:hAnsi="Times New Roman"/>
          <w:sz w:val="24"/>
          <w:szCs w:val="24"/>
        </w:rPr>
      </w:pPr>
      <w:r>
        <w:rPr>
          <w:rFonts w:ascii="Times New Roman" w:hAnsi="Times New Roman"/>
          <w:sz w:val="24"/>
          <w:szCs w:val="24"/>
        </w:rPr>
        <w:t>Attorney at Law</w:t>
      </w:r>
    </w:p>
    <w:p w14:paraId="74441DC1" w14:textId="77777777" w:rsidR="00446696" w:rsidRPr="00346D33" w:rsidRDefault="00446696" w:rsidP="00446696">
      <w:pPr>
        <w:rPr>
          <w:rFonts w:ascii="Times New Roman" w:eastAsia="Times New Roman" w:hAnsi="Times New Roman"/>
          <w:b/>
          <w:color w:val="000000"/>
          <w:sz w:val="24"/>
          <w:szCs w:val="24"/>
          <w:lang w:eastAsia="zh-CN"/>
        </w:rPr>
      </w:pPr>
      <w:r>
        <w:rPr>
          <w:rFonts w:ascii="Times New Roman" w:hAnsi="Times New Roman"/>
          <w:sz w:val="24"/>
          <w:szCs w:val="24"/>
        </w:rPr>
        <w:br w:type="page"/>
      </w:r>
      <w:r w:rsidRPr="00346D33">
        <w:rPr>
          <w:rFonts w:ascii="Times New Roman" w:eastAsia="Times New Roman" w:hAnsi="Times New Roman"/>
          <w:b/>
          <w:color w:val="000000"/>
          <w:sz w:val="24"/>
          <w:szCs w:val="24"/>
          <w:lang w:eastAsia="zh-CN"/>
        </w:rPr>
        <w:lastRenderedPageBreak/>
        <w:t xml:space="preserve">In the Matter </w:t>
      </w:r>
      <w:r w:rsidRPr="00346D33">
        <w:rPr>
          <w:rFonts w:ascii="Times New Roman" w:eastAsia="Times New Roman" w:hAnsi="Times New Roman"/>
          <w:b/>
          <w:noProof/>
          <w:color w:val="000000"/>
          <w:sz w:val="24"/>
          <w:szCs w:val="24"/>
          <w:lang w:eastAsia="zh-CN"/>
        </w:rPr>
        <w:t xml:space="preserve">of </w:t>
      </w:r>
      <w:r>
        <w:rPr>
          <w:rFonts w:ascii="Times New Roman" w:eastAsia="Times New Roman" w:hAnsi="Times New Roman"/>
          <w:b/>
          <w:noProof/>
          <w:color w:val="000000"/>
          <w:sz w:val="24"/>
          <w:szCs w:val="24"/>
          <w:lang w:eastAsia="zh-CN"/>
        </w:rPr>
        <w:t>XXX</w:t>
      </w:r>
      <w:r w:rsidRPr="00346D33">
        <w:rPr>
          <w:rFonts w:ascii="Times New Roman" w:eastAsia="Times New Roman" w:hAnsi="Times New Roman"/>
          <w:b/>
          <w:noProof/>
          <w:color w:val="000000"/>
          <w:sz w:val="24"/>
          <w:szCs w:val="24"/>
          <w:lang w:eastAsia="zh-CN"/>
        </w:rPr>
        <w:t xml:space="preserve">, A </w:t>
      </w:r>
      <w:r w:rsidRPr="002F14DB">
        <w:rPr>
          <w:rFonts w:ascii="Times New Roman" w:hAnsi="Times New Roman"/>
          <w:bCs/>
          <w:sz w:val="24"/>
          <w:szCs w:val="24"/>
        </w:rPr>
        <w:t>000 000 000</w:t>
      </w:r>
    </w:p>
    <w:p w14:paraId="7436674D"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eastAsia="zh-CN"/>
        </w:rPr>
      </w:pPr>
    </w:p>
    <w:p w14:paraId="6625EE48"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b/>
          <w:color w:val="000000"/>
          <w:sz w:val="24"/>
          <w:szCs w:val="24"/>
          <w:u w:val="single"/>
          <w:lang w:eastAsia="zh-CN"/>
        </w:rPr>
      </w:pPr>
    </w:p>
    <w:p w14:paraId="58331CFE" w14:textId="77777777" w:rsidR="00446696" w:rsidRPr="00D62386" w:rsidRDefault="00446696" w:rsidP="00446696">
      <w:pPr>
        <w:pBdr>
          <w:top w:val="nil"/>
          <w:left w:val="nil"/>
          <w:bottom w:val="nil"/>
          <w:right w:val="nil"/>
          <w:between w:val="nil"/>
        </w:pBdr>
        <w:spacing w:after="0"/>
        <w:jc w:val="center"/>
        <w:rPr>
          <w:rFonts w:ascii="Times New Roman" w:eastAsia="Times New Roman" w:hAnsi="Times New Roman"/>
          <w:color w:val="000000"/>
          <w:sz w:val="24"/>
          <w:szCs w:val="24"/>
          <w:u w:val="single"/>
          <w:lang w:eastAsia="zh-CN"/>
        </w:rPr>
      </w:pPr>
      <w:r w:rsidRPr="00D62386">
        <w:rPr>
          <w:rFonts w:ascii="Times New Roman" w:eastAsia="Times New Roman" w:hAnsi="Times New Roman"/>
          <w:b/>
          <w:color w:val="000000"/>
          <w:sz w:val="24"/>
          <w:szCs w:val="24"/>
          <w:u w:val="single"/>
          <w:lang w:eastAsia="zh-CN"/>
        </w:rPr>
        <w:t>CERTIFICATE OF SERVICE</w:t>
      </w:r>
    </w:p>
    <w:p w14:paraId="3BEC1823" w14:textId="77777777" w:rsidR="00446696" w:rsidRPr="00D62386" w:rsidRDefault="00446696" w:rsidP="00446696">
      <w:pPr>
        <w:pBdr>
          <w:top w:val="nil"/>
          <w:left w:val="nil"/>
          <w:bottom w:val="nil"/>
          <w:right w:val="nil"/>
          <w:between w:val="nil"/>
        </w:pBdr>
        <w:spacing w:after="0"/>
        <w:jc w:val="center"/>
        <w:rPr>
          <w:rFonts w:ascii="Times New Roman" w:eastAsia="Times New Roman" w:hAnsi="Times New Roman"/>
          <w:color w:val="000000"/>
          <w:sz w:val="24"/>
          <w:szCs w:val="24"/>
          <w:lang w:eastAsia="zh-CN"/>
        </w:rPr>
      </w:pPr>
    </w:p>
    <w:p w14:paraId="6B66C4B6"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eastAsia="zh-CN"/>
        </w:rPr>
      </w:pPr>
      <w:r w:rsidRPr="00D62386">
        <w:rPr>
          <w:rFonts w:ascii="Times New Roman" w:eastAsia="Times New Roman" w:hAnsi="Times New Roman"/>
          <w:color w:val="000000"/>
          <w:sz w:val="24"/>
          <w:szCs w:val="24"/>
          <w:lang w:eastAsia="zh-CN"/>
        </w:rPr>
        <w:t xml:space="preserve">I, Daniel T. </w:t>
      </w:r>
      <w:r>
        <w:rPr>
          <w:rFonts w:ascii="Times New Roman" w:eastAsia="Times New Roman" w:hAnsi="Times New Roman"/>
          <w:color w:val="000000"/>
          <w:sz w:val="24"/>
          <w:szCs w:val="24"/>
          <w:lang w:eastAsia="zh-CN"/>
        </w:rPr>
        <w:t>Huang</w:t>
      </w:r>
      <w:r w:rsidRPr="00D62386">
        <w:rPr>
          <w:rFonts w:ascii="Times New Roman" w:eastAsia="Times New Roman" w:hAnsi="Times New Roman"/>
          <w:color w:val="000000"/>
          <w:sz w:val="24"/>
          <w:szCs w:val="24"/>
          <w:lang w:eastAsia="zh-CN"/>
        </w:rPr>
        <w:t>, hereby certify that on</w:t>
      </w:r>
      <w:r>
        <w:rPr>
          <w:rFonts w:ascii="Times New Roman" w:eastAsia="Times New Roman" w:hAnsi="Times New Roman"/>
          <w:sz w:val="24"/>
          <w:szCs w:val="24"/>
          <w:lang w:eastAsia="zh-CN"/>
        </w:rPr>
        <w:t xml:space="preserve"> September 14</w:t>
      </w:r>
      <w:r w:rsidRPr="00D62386">
        <w:rPr>
          <w:rFonts w:ascii="Times New Roman" w:eastAsia="Times New Roman" w:hAnsi="Times New Roman"/>
          <w:sz w:val="24"/>
          <w:szCs w:val="24"/>
          <w:lang w:eastAsia="zh-CN"/>
        </w:rPr>
        <w:t>, 2018</w:t>
      </w:r>
      <w:r w:rsidRPr="00D62386">
        <w:rPr>
          <w:rFonts w:ascii="Times New Roman" w:eastAsia="Times New Roman" w:hAnsi="Times New Roman"/>
          <w:color w:val="000000"/>
          <w:sz w:val="24"/>
          <w:szCs w:val="24"/>
          <w:lang w:eastAsia="zh-CN"/>
        </w:rPr>
        <w:t xml:space="preserve">, I served a true and correct copy of the </w:t>
      </w:r>
      <w:r>
        <w:rPr>
          <w:rFonts w:ascii="Times New Roman" w:eastAsia="Times New Roman" w:hAnsi="Times New Roman"/>
          <w:color w:val="000000"/>
          <w:sz w:val="24"/>
          <w:szCs w:val="24"/>
          <w:lang w:eastAsia="zh-CN"/>
        </w:rPr>
        <w:t>respondent’s Trial Brief</w:t>
      </w:r>
      <w:r w:rsidRPr="00D62386">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 xml:space="preserve">via certified U.S. mail service to: </w:t>
      </w:r>
    </w:p>
    <w:p w14:paraId="60957DB1"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eastAsia="zh-CN"/>
        </w:rPr>
      </w:pPr>
    </w:p>
    <w:p w14:paraId="6203C7A4"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eastAsia="zh-CN"/>
        </w:rPr>
      </w:pPr>
      <w:r w:rsidRPr="00D62386">
        <w:rPr>
          <w:rFonts w:ascii="Times New Roman" w:eastAsia="Times New Roman" w:hAnsi="Times New Roman"/>
          <w:color w:val="000000"/>
          <w:sz w:val="24"/>
          <w:szCs w:val="24"/>
          <w:lang w:eastAsia="zh-CN"/>
        </w:rPr>
        <w:t>Date</w:t>
      </w:r>
      <w:r w:rsidRPr="00D62386">
        <w:rPr>
          <w:rFonts w:ascii="Times New Roman" w:eastAsia="Times New Roman" w:hAnsi="Times New Roman"/>
          <w:noProof/>
          <w:color w:val="000000"/>
          <w:sz w:val="24"/>
          <w:szCs w:val="24"/>
          <w:lang w:eastAsia="zh-CN"/>
        </w:rPr>
        <w:t>:</w:t>
      </w:r>
      <w:r>
        <w:rPr>
          <w:rFonts w:ascii="Times New Roman" w:eastAsia="Times New Roman" w:hAnsi="Times New Roman"/>
          <w:noProof/>
          <w:color w:val="000000"/>
          <w:sz w:val="24"/>
          <w:szCs w:val="24"/>
          <w:lang w:eastAsia="zh-CN"/>
        </w:rPr>
        <w:t xml:space="preserve"> September 14</w:t>
      </w:r>
      <w:r w:rsidRPr="00D62386">
        <w:rPr>
          <w:rFonts w:ascii="Times New Roman" w:eastAsia="Times New Roman" w:hAnsi="Times New Roman"/>
          <w:noProof/>
          <w:color w:val="000000"/>
          <w:sz w:val="24"/>
          <w:szCs w:val="24"/>
          <w:lang w:eastAsia="zh-CN"/>
        </w:rPr>
        <w:t>,</w:t>
      </w:r>
      <w:r w:rsidRPr="00D62386">
        <w:rPr>
          <w:rFonts w:ascii="Times New Roman" w:eastAsia="Times New Roman" w:hAnsi="Times New Roman"/>
          <w:color w:val="000000"/>
          <w:sz w:val="24"/>
          <w:szCs w:val="24"/>
          <w:lang w:eastAsia="zh-CN"/>
        </w:rPr>
        <w:t xml:space="preserve"> 2018</w:t>
      </w:r>
    </w:p>
    <w:p w14:paraId="460EBE56"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eastAsia="zh-CN"/>
        </w:rPr>
      </w:pPr>
    </w:p>
    <w:p w14:paraId="3EA8C854" w14:textId="77777777" w:rsidR="00446696" w:rsidRPr="00D62386" w:rsidRDefault="00446696" w:rsidP="00446696">
      <w:pPr>
        <w:pBdr>
          <w:top w:val="nil"/>
          <w:left w:val="nil"/>
          <w:bottom w:val="nil"/>
          <w:right w:val="nil"/>
          <w:between w:val="nil"/>
        </w:pBdr>
        <w:spacing w:after="0"/>
        <w:ind w:left="720"/>
        <w:rPr>
          <w:rFonts w:ascii="Times New Roman" w:eastAsia="Times New Roman" w:hAnsi="Times New Roman"/>
          <w:color w:val="000000"/>
          <w:sz w:val="24"/>
          <w:szCs w:val="24"/>
          <w:lang w:eastAsia="zh-CN"/>
        </w:rPr>
      </w:pPr>
      <w:r w:rsidRPr="00D62386">
        <w:rPr>
          <w:rFonts w:ascii="Times New Roman" w:eastAsia="Times New Roman" w:hAnsi="Times New Roman"/>
          <w:color w:val="000000"/>
          <w:sz w:val="24"/>
          <w:szCs w:val="24"/>
          <w:lang w:eastAsia="zh-CN"/>
        </w:rPr>
        <w:t xml:space="preserve">ICE Office of the Chief Counsel </w:t>
      </w:r>
    </w:p>
    <w:p w14:paraId="6C1A053F" w14:textId="77777777" w:rsidR="00446696" w:rsidRPr="00D62386" w:rsidRDefault="00446696" w:rsidP="00446696">
      <w:pPr>
        <w:pBdr>
          <w:top w:val="nil"/>
          <w:left w:val="nil"/>
          <w:bottom w:val="nil"/>
          <w:right w:val="nil"/>
          <w:between w:val="nil"/>
        </w:pBdr>
        <w:spacing w:after="0"/>
        <w:ind w:left="720"/>
        <w:rPr>
          <w:rFonts w:ascii="Times New Roman" w:eastAsia="Times New Roman" w:hAnsi="Times New Roman"/>
          <w:color w:val="000000"/>
          <w:sz w:val="24"/>
          <w:szCs w:val="24"/>
          <w:lang w:eastAsia="zh-CN"/>
        </w:rPr>
      </w:pPr>
      <w:r w:rsidRPr="00D62386">
        <w:rPr>
          <w:rFonts w:ascii="Times New Roman" w:eastAsia="Times New Roman" w:hAnsi="Times New Roman"/>
          <w:color w:val="000000"/>
          <w:sz w:val="24"/>
          <w:szCs w:val="24"/>
          <w:lang w:eastAsia="zh-CN"/>
        </w:rPr>
        <w:t xml:space="preserve">606 S. Olive Street, 8th </w:t>
      </w:r>
      <w:proofErr w:type="spellStart"/>
      <w:r w:rsidRPr="00D62386">
        <w:rPr>
          <w:rFonts w:ascii="Times New Roman" w:eastAsia="Times New Roman" w:hAnsi="Times New Roman"/>
          <w:color w:val="000000"/>
          <w:sz w:val="24"/>
          <w:szCs w:val="24"/>
          <w:lang w:eastAsia="zh-CN"/>
        </w:rPr>
        <w:t>Flr</w:t>
      </w:r>
      <w:proofErr w:type="spellEnd"/>
      <w:r w:rsidRPr="00D62386">
        <w:rPr>
          <w:rFonts w:ascii="Times New Roman" w:eastAsia="Times New Roman" w:hAnsi="Times New Roman"/>
          <w:color w:val="000000"/>
          <w:sz w:val="24"/>
          <w:szCs w:val="24"/>
          <w:lang w:eastAsia="zh-CN"/>
        </w:rPr>
        <w:t>.</w:t>
      </w:r>
    </w:p>
    <w:p w14:paraId="3D482DB6" w14:textId="77777777" w:rsidR="00446696" w:rsidRPr="00D62386" w:rsidRDefault="00446696" w:rsidP="00446696">
      <w:pPr>
        <w:pBdr>
          <w:top w:val="nil"/>
          <w:left w:val="nil"/>
          <w:bottom w:val="nil"/>
          <w:right w:val="nil"/>
          <w:between w:val="nil"/>
        </w:pBdr>
        <w:spacing w:after="0"/>
        <w:ind w:left="720"/>
        <w:rPr>
          <w:rFonts w:ascii="Times New Roman" w:eastAsia="Times New Roman" w:hAnsi="Times New Roman"/>
          <w:color w:val="000000"/>
          <w:sz w:val="24"/>
          <w:szCs w:val="24"/>
          <w:lang w:val="es-MX" w:eastAsia="zh-CN"/>
        </w:rPr>
      </w:pPr>
      <w:r w:rsidRPr="00D62386">
        <w:rPr>
          <w:rFonts w:ascii="Times New Roman" w:eastAsia="Times New Roman" w:hAnsi="Times New Roman"/>
          <w:color w:val="000000"/>
          <w:sz w:val="24"/>
          <w:szCs w:val="24"/>
          <w:lang w:val="es-MX" w:eastAsia="zh-CN"/>
        </w:rPr>
        <w:t>Los Angeles, CA 90014</w:t>
      </w:r>
    </w:p>
    <w:p w14:paraId="150E6148" w14:textId="77777777" w:rsidR="00446696" w:rsidRPr="00D6238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63B6C98A" w14:textId="77777777" w:rsidR="00446696" w:rsidRPr="00D6238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765EB0C9" w14:textId="77777777" w:rsidR="00446696" w:rsidRPr="00D6238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29B10050" w14:textId="77777777" w:rsidR="0044669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0665C91E" w14:textId="77777777" w:rsidR="0044669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09E14564" w14:textId="77777777" w:rsidR="00446696" w:rsidRPr="00D6238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222FB75D" w14:textId="77777777" w:rsidR="00446696" w:rsidRPr="00D62386" w:rsidRDefault="00446696" w:rsidP="00446696">
      <w:pPr>
        <w:pBdr>
          <w:top w:val="nil"/>
          <w:left w:val="nil"/>
          <w:bottom w:val="nil"/>
          <w:right w:val="nil"/>
          <w:between w:val="nil"/>
        </w:pBdr>
        <w:spacing w:after="0"/>
        <w:ind w:left="2160" w:firstLine="720"/>
        <w:rPr>
          <w:rFonts w:ascii="Times New Roman" w:eastAsia="Times New Roman" w:hAnsi="Times New Roman"/>
          <w:color w:val="000000"/>
          <w:sz w:val="24"/>
          <w:szCs w:val="24"/>
          <w:lang w:val="es-MX" w:eastAsia="zh-CN"/>
        </w:rPr>
      </w:pPr>
    </w:p>
    <w:p w14:paraId="1B9A40CE" w14:textId="77777777" w:rsidR="00446696" w:rsidRPr="00D62386" w:rsidRDefault="00446696" w:rsidP="00446696">
      <w:pPr>
        <w:pBdr>
          <w:top w:val="nil"/>
          <w:left w:val="nil"/>
          <w:bottom w:val="nil"/>
          <w:right w:val="nil"/>
          <w:between w:val="nil"/>
        </w:pBdr>
        <w:spacing w:after="0"/>
        <w:ind w:left="3600" w:firstLine="720"/>
        <w:rPr>
          <w:rFonts w:ascii="Times New Roman" w:eastAsia="Times New Roman" w:hAnsi="Times New Roman"/>
          <w:color w:val="000000"/>
          <w:sz w:val="24"/>
          <w:szCs w:val="24"/>
          <w:lang w:val="es-MX" w:eastAsia="zh-CN"/>
        </w:rPr>
      </w:pPr>
      <w:r w:rsidRPr="00D62386">
        <w:rPr>
          <w:rFonts w:ascii="Times New Roman" w:eastAsia="Times New Roman" w:hAnsi="Times New Roman"/>
          <w:color w:val="000000"/>
          <w:sz w:val="24"/>
          <w:szCs w:val="24"/>
          <w:lang w:val="es-MX" w:eastAsia="zh-CN"/>
        </w:rPr>
        <w:t>_______________________________</w:t>
      </w:r>
    </w:p>
    <w:p w14:paraId="07B4E665" w14:textId="77777777" w:rsidR="00446696" w:rsidRPr="00D62386" w:rsidRDefault="00446696" w:rsidP="00446696">
      <w:pPr>
        <w:pBdr>
          <w:top w:val="nil"/>
          <w:left w:val="nil"/>
          <w:bottom w:val="nil"/>
          <w:right w:val="nil"/>
          <w:between w:val="nil"/>
        </w:pBdr>
        <w:spacing w:after="0"/>
        <w:ind w:left="360"/>
        <w:rPr>
          <w:rFonts w:ascii="Times New Roman" w:eastAsia="Times New Roman" w:hAnsi="Times New Roman"/>
          <w:color w:val="000000"/>
          <w:sz w:val="24"/>
          <w:szCs w:val="24"/>
          <w:lang w:val="es-MX" w:eastAsia="zh-CN"/>
        </w:rPr>
      </w:pPr>
      <w:r w:rsidRPr="00D62386">
        <w:rPr>
          <w:rFonts w:ascii="Times New Roman" w:eastAsia="Times New Roman" w:hAnsi="Times New Roman"/>
          <w:color w:val="000000"/>
          <w:sz w:val="24"/>
          <w:szCs w:val="24"/>
          <w:lang w:val="es-MX" w:eastAsia="zh-CN"/>
        </w:rPr>
        <w:tab/>
      </w:r>
      <w:r w:rsidRPr="00D62386">
        <w:rPr>
          <w:rFonts w:ascii="Times New Roman" w:eastAsia="Times New Roman" w:hAnsi="Times New Roman"/>
          <w:color w:val="000000"/>
          <w:sz w:val="24"/>
          <w:szCs w:val="24"/>
          <w:lang w:val="es-MX" w:eastAsia="zh-CN"/>
        </w:rPr>
        <w:tab/>
      </w:r>
      <w:r w:rsidRPr="00D62386">
        <w:rPr>
          <w:rFonts w:ascii="Times New Roman" w:eastAsia="Times New Roman" w:hAnsi="Times New Roman"/>
          <w:color w:val="000000"/>
          <w:sz w:val="24"/>
          <w:szCs w:val="24"/>
          <w:lang w:val="es-MX" w:eastAsia="zh-CN"/>
        </w:rPr>
        <w:tab/>
      </w:r>
      <w:r w:rsidRPr="00D62386">
        <w:rPr>
          <w:rFonts w:ascii="Times New Roman" w:eastAsia="Times New Roman" w:hAnsi="Times New Roman"/>
          <w:color w:val="000000"/>
          <w:sz w:val="24"/>
          <w:szCs w:val="24"/>
          <w:lang w:val="es-MX" w:eastAsia="zh-CN"/>
        </w:rPr>
        <w:tab/>
      </w:r>
      <w:r w:rsidRPr="00D62386">
        <w:rPr>
          <w:rFonts w:ascii="Times New Roman" w:eastAsia="Times New Roman" w:hAnsi="Times New Roman"/>
          <w:color w:val="000000"/>
          <w:sz w:val="24"/>
          <w:szCs w:val="24"/>
          <w:lang w:val="es-MX" w:eastAsia="zh-CN"/>
        </w:rPr>
        <w:tab/>
      </w:r>
      <w:r w:rsidRPr="00D62386">
        <w:rPr>
          <w:rFonts w:ascii="Times New Roman" w:eastAsia="Times New Roman" w:hAnsi="Times New Roman"/>
          <w:color w:val="000000"/>
          <w:sz w:val="24"/>
          <w:szCs w:val="24"/>
          <w:lang w:val="es-MX" w:eastAsia="zh-CN"/>
        </w:rPr>
        <w:tab/>
        <w:t xml:space="preserve">Daniel T. </w:t>
      </w:r>
      <w:r>
        <w:rPr>
          <w:rFonts w:ascii="Times New Roman" w:eastAsia="Times New Roman" w:hAnsi="Times New Roman"/>
          <w:color w:val="000000"/>
          <w:sz w:val="24"/>
          <w:szCs w:val="24"/>
          <w:lang w:val="es-MX" w:eastAsia="zh-CN"/>
        </w:rPr>
        <w:t>Huang</w:t>
      </w:r>
    </w:p>
    <w:p w14:paraId="41F77613" w14:textId="77777777" w:rsidR="00446696" w:rsidRPr="00D62386" w:rsidRDefault="00446696" w:rsidP="00446696">
      <w:pPr>
        <w:pBdr>
          <w:top w:val="nil"/>
          <w:left w:val="nil"/>
          <w:bottom w:val="nil"/>
          <w:right w:val="nil"/>
          <w:between w:val="nil"/>
        </w:pBdr>
        <w:spacing w:after="0"/>
        <w:rPr>
          <w:rFonts w:ascii="Times New Roman" w:eastAsia="Times New Roman" w:hAnsi="Times New Roman"/>
          <w:color w:val="000000"/>
          <w:sz w:val="24"/>
          <w:szCs w:val="24"/>
          <w:lang w:val="es-MX" w:eastAsia="zh-CN"/>
        </w:rPr>
      </w:pPr>
    </w:p>
    <w:p w14:paraId="674BD81D" w14:textId="77777777" w:rsidR="00B91F6E" w:rsidRPr="00446696" w:rsidRDefault="00B91F6E">
      <w:pPr>
        <w:rPr>
          <w:lang w:val="es-MX"/>
        </w:rPr>
      </w:pPr>
    </w:p>
    <w:sectPr w:rsidR="00B91F6E" w:rsidRPr="00446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14EE" w14:textId="77777777" w:rsidR="004C242C" w:rsidRDefault="004C242C" w:rsidP="00446696">
      <w:pPr>
        <w:spacing w:after="0"/>
      </w:pPr>
      <w:r>
        <w:separator/>
      </w:r>
    </w:p>
  </w:endnote>
  <w:endnote w:type="continuationSeparator" w:id="0">
    <w:p w14:paraId="172F07D8" w14:textId="77777777" w:rsidR="004C242C" w:rsidRDefault="004C242C" w:rsidP="00446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33B9" w14:textId="77777777" w:rsidR="004C242C" w:rsidRDefault="004C242C" w:rsidP="00446696">
      <w:pPr>
        <w:spacing w:after="0"/>
      </w:pPr>
      <w:r>
        <w:separator/>
      </w:r>
    </w:p>
  </w:footnote>
  <w:footnote w:type="continuationSeparator" w:id="0">
    <w:p w14:paraId="5D1FAB81" w14:textId="77777777" w:rsidR="004C242C" w:rsidRDefault="004C242C" w:rsidP="00446696">
      <w:pPr>
        <w:spacing w:after="0"/>
      </w:pPr>
      <w:r>
        <w:continuationSeparator/>
      </w:r>
    </w:p>
  </w:footnote>
  <w:footnote w:id="1">
    <w:p w14:paraId="4D799862" w14:textId="77777777" w:rsidR="00446696" w:rsidRPr="00176015" w:rsidRDefault="00446696" w:rsidP="00446696">
      <w:pPr>
        <w:pStyle w:val="FootnoteText"/>
      </w:pPr>
      <w:r>
        <w:rPr>
          <w:rStyle w:val="FootnoteReference"/>
        </w:rPr>
        <w:footnoteRef/>
      </w:r>
      <w:r>
        <w:t xml:space="preserve"> </w:t>
      </w:r>
      <w:r w:rsidRPr="00176015">
        <w:rPr>
          <w:i/>
        </w:rPr>
        <w:t>Matter of A-B-</w:t>
      </w:r>
      <w:r>
        <w:rPr>
          <w:i/>
        </w:rPr>
        <w:t xml:space="preserve">, </w:t>
      </w:r>
      <w:r>
        <w:t>27 I&amp;N Dec. 316 (A.G. 2018).</w:t>
      </w:r>
    </w:p>
  </w:footnote>
  <w:footnote w:id="2">
    <w:p w14:paraId="4CD7CD81" w14:textId="77777777" w:rsidR="00446696" w:rsidRDefault="00446696" w:rsidP="00446696">
      <w:pPr>
        <w:pStyle w:val="FootnoteText"/>
      </w:pPr>
      <w:r>
        <w:rPr>
          <w:rStyle w:val="FootnoteReference"/>
        </w:rPr>
        <w:footnoteRef/>
      </w:r>
      <w:r>
        <w:t xml:space="preserve"> INA §§101(a)(42)(A), 208(b)(1)(a), (b)(</w:t>
      </w:r>
      <w:proofErr w:type="spellStart"/>
      <w:r>
        <w:t>i</w:t>
      </w:r>
      <w:proofErr w:type="spellEnd"/>
      <w:r>
        <w:t>).</w:t>
      </w:r>
    </w:p>
  </w:footnote>
  <w:footnote w:id="3">
    <w:p w14:paraId="0DF3A8E8" w14:textId="77777777" w:rsidR="00446696" w:rsidRDefault="00446696" w:rsidP="00446696">
      <w:pPr>
        <w:pStyle w:val="FootnoteText"/>
      </w:pPr>
      <w:r>
        <w:rPr>
          <w:rStyle w:val="FootnoteReference"/>
        </w:rPr>
        <w:footnoteRef/>
      </w:r>
      <w:r>
        <w:t xml:space="preserve"> </w:t>
      </w:r>
      <w:r w:rsidRPr="00BB758A">
        <w:rPr>
          <w:i/>
        </w:rPr>
        <w:t>Hernandez v. Ashcroft</w:t>
      </w:r>
      <w:r w:rsidRPr="00BB758A">
        <w:t>, 345 F.3d 824, 84</w:t>
      </w:r>
      <w:r>
        <w:t>1</w:t>
      </w:r>
      <w:r w:rsidRPr="00BB758A">
        <w:t xml:space="preserve"> (9th Cir. 2003).</w:t>
      </w:r>
    </w:p>
  </w:footnote>
  <w:footnote w:id="4">
    <w:p w14:paraId="57A373FE" w14:textId="0B4B8853" w:rsidR="00446696" w:rsidRDefault="00446696" w:rsidP="00446696">
      <w:pPr>
        <w:pStyle w:val="FootnoteText"/>
      </w:pPr>
      <w:r>
        <w:rPr>
          <w:rStyle w:val="FootnoteReference"/>
        </w:rPr>
        <w:footnoteRef/>
      </w:r>
      <w:r>
        <w:t xml:space="preserve"> </w:t>
      </w:r>
      <w:r w:rsidRPr="002747B5">
        <w:rPr>
          <w:i/>
        </w:rPr>
        <w:t>Hernandez</w:t>
      </w:r>
      <w:r>
        <w:t xml:space="preserve">, at 840, citing </w:t>
      </w:r>
      <w:r w:rsidRPr="002747B5">
        <w:rPr>
          <w:i/>
        </w:rPr>
        <w:t>United States v. Sanchez–Guzman</w:t>
      </w:r>
      <w:r w:rsidRPr="002747B5">
        <w:t>, 744 F.</w:t>
      </w:r>
      <w:r w:rsidR="006B02B5">
        <w:t xml:space="preserve"> </w:t>
      </w:r>
      <w:r w:rsidRPr="002747B5">
        <w:t>Supp. 997, 1002 (E.D.Wash.1990)</w:t>
      </w:r>
      <w:r>
        <w:t xml:space="preserve"> and</w:t>
      </w:r>
      <w:r w:rsidRPr="002747B5">
        <w:t xml:space="preserve"> </w:t>
      </w:r>
      <w:r w:rsidRPr="002747B5">
        <w:rPr>
          <w:i/>
        </w:rPr>
        <w:t>Matter of Vizcaino</w:t>
      </w:r>
      <w:r w:rsidRPr="002747B5">
        <w:t>, 19 I. &amp; N. Dec. 644, 648 (BIA 1988)</w:t>
      </w:r>
      <w:r>
        <w:t>.</w:t>
      </w:r>
    </w:p>
  </w:footnote>
  <w:footnote w:id="5">
    <w:p w14:paraId="34A5BB74" w14:textId="77777777" w:rsidR="00446696" w:rsidRDefault="00446696" w:rsidP="00446696">
      <w:pPr>
        <w:pStyle w:val="FootnoteText"/>
      </w:pPr>
      <w:r>
        <w:rPr>
          <w:rStyle w:val="FootnoteReference"/>
        </w:rPr>
        <w:footnoteRef/>
      </w:r>
      <w:r>
        <w:t xml:space="preserve"> See Exhibit 2, unpublished BIA decision granting VAWA Cancellation after death of abused child.</w:t>
      </w:r>
    </w:p>
  </w:footnote>
  <w:footnote w:id="6">
    <w:p w14:paraId="5515255C" w14:textId="77777777" w:rsidR="00446696" w:rsidRDefault="00446696" w:rsidP="00446696">
      <w:pPr>
        <w:pStyle w:val="FootnoteText"/>
      </w:pPr>
      <w:r>
        <w:rPr>
          <w:rStyle w:val="FootnoteReference"/>
        </w:rPr>
        <w:footnoteRef/>
      </w:r>
      <w:r>
        <w:t xml:space="preserve"> INA §240A(b)(4)(A)(ii).</w:t>
      </w:r>
    </w:p>
  </w:footnote>
  <w:footnote w:id="7">
    <w:p w14:paraId="27471A8F" w14:textId="77777777" w:rsidR="00446696" w:rsidRDefault="00446696" w:rsidP="00446696">
      <w:pPr>
        <w:pStyle w:val="FootnoteText"/>
      </w:pPr>
      <w:r>
        <w:rPr>
          <w:rStyle w:val="FootnoteReference"/>
        </w:rPr>
        <w:footnoteRef/>
      </w:r>
      <w:r>
        <w:t xml:space="preserve"> INA §240A(b)(4)(B).</w:t>
      </w:r>
    </w:p>
  </w:footnote>
  <w:footnote w:id="8">
    <w:p w14:paraId="6DD29525" w14:textId="77777777" w:rsidR="00446696" w:rsidRDefault="00446696" w:rsidP="00446696">
      <w:pPr>
        <w:pStyle w:val="FootnoteText"/>
      </w:pPr>
      <w:r>
        <w:rPr>
          <w:rStyle w:val="FootnoteReference"/>
        </w:rPr>
        <w:footnoteRef/>
      </w:r>
      <w:r>
        <w:t xml:space="preserve"> Id.</w:t>
      </w:r>
    </w:p>
  </w:footnote>
  <w:footnote w:id="9">
    <w:p w14:paraId="42B0AB4C" w14:textId="77777777" w:rsidR="00446696" w:rsidRDefault="00446696" w:rsidP="00446696">
      <w:pPr>
        <w:pStyle w:val="FootnoteText"/>
      </w:pPr>
      <w:r>
        <w:rPr>
          <w:rStyle w:val="FootnoteReference"/>
        </w:rPr>
        <w:footnoteRef/>
      </w:r>
      <w:r>
        <w:t xml:space="preserve"> </w:t>
      </w:r>
      <w:r w:rsidRPr="003E40C5">
        <w:rPr>
          <w:i/>
        </w:rPr>
        <w:t>Lopez-</w:t>
      </w:r>
      <w:proofErr w:type="spellStart"/>
      <w:r w:rsidRPr="003E40C5">
        <w:rPr>
          <w:i/>
        </w:rPr>
        <w:t>Birrueta</w:t>
      </w:r>
      <w:proofErr w:type="spellEnd"/>
      <w:r w:rsidRPr="003E40C5">
        <w:rPr>
          <w:i/>
        </w:rPr>
        <w:t xml:space="preserve"> v. Holder</w:t>
      </w:r>
      <w:r w:rsidRPr="003E40C5">
        <w:t>, 2011 U.S. App. 2820 (9th Cir. Jan. 13, 2011)</w:t>
      </w:r>
    </w:p>
  </w:footnote>
  <w:footnote w:id="10">
    <w:p w14:paraId="0EA84A05" w14:textId="77777777" w:rsidR="00446696" w:rsidRDefault="00446696" w:rsidP="00446696">
      <w:pPr>
        <w:pStyle w:val="FootnoteText"/>
      </w:pPr>
      <w:r>
        <w:rPr>
          <w:rStyle w:val="FootnoteReference"/>
        </w:rPr>
        <w:footnoteRef/>
      </w:r>
      <w:r>
        <w:t xml:space="preserve"> </w:t>
      </w:r>
      <w:r w:rsidRPr="001841EE">
        <w:rPr>
          <w:i/>
        </w:rPr>
        <w:t>Hernandez</w:t>
      </w:r>
      <w:r>
        <w:rPr>
          <w:i/>
        </w:rPr>
        <w:t>, supra, at</w:t>
      </w:r>
      <w:r w:rsidRPr="001841EE">
        <w:t xml:space="preserve"> 840.</w:t>
      </w:r>
    </w:p>
  </w:footnote>
  <w:footnote w:id="11">
    <w:p w14:paraId="692C5943" w14:textId="77777777" w:rsidR="00446696" w:rsidRDefault="00446696" w:rsidP="00446696">
      <w:pPr>
        <w:pStyle w:val="FootnoteText"/>
      </w:pPr>
      <w:r>
        <w:rPr>
          <w:rStyle w:val="FootnoteReference"/>
        </w:rPr>
        <w:footnoteRef/>
      </w:r>
      <w:r>
        <w:t xml:space="preserve"> Id.</w:t>
      </w:r>
    </w:p>
  </w:footnote>
  <w:footnote w:id="12">
    <w:p w14:paraId="65694910" w14:textId="77777777" w:rsidR="00446696" w:rsidRDefault="00446696" w:rsidP="00446696">
      <w:pPr>
        <w:pStyle w:val="FootnoteText"/>
      </w:pPr>
      <w:r>
        <w:rPr>
          <w:rStyle w:val="FootnoteReference"/>
        </w:rPr>
        <w:footnoteRef/>
      </w:r>
      <w:r>
        <w:t xml:space="preserve"> </w:t>
      </w:r>
      <w:r w:rsidRPr="00343DDD">
        <w:rPr>
          <w:i/>
        </w:rPr>
        <w:t>Hernandez</w:t>
      </w:r>
      <w:r>
        <w:t xml:space="preserve"> at 841.</w:t>
      </w:r>
    </w:p>
  </w:footnote>
  <w:footnote w:id="13">
    <w:p w14:paraId="1324CFF8" w14:textId="77777777" w:rsidR="00446696" w:rsidRDefault="00446696" w:rsidP="00446696">
      <w:pPr>
        <w:pStyle w:val="FootnoteText"/>
      </w:pPr>
      <w:r>
        <w:rPr>
          <w:rStyle w:val="FootnoteReference"/>
        </w:rPr>
        <w:footnoteRef/>
      </w:r>
      <w:r>
        <w:t xml:space="preserve"> </w:t>
      </w:r>
      <w:r w:rsidRPr="006D3734">
        <w:rPr>
          <w:i/>
        </w:rPr>
        <w:t>Hernandez</w:t>
      </w:r>
      <w:r>
        <w:t xml:space="preserve">, id., citing </w:t>
      </w:r>
      <w:r w:rsidRPr="006D3734">
        <w:t>H.R. REP. NO. 103–395, at 25 (stating that the goal of the bill is to “permit[ ] battered immigrant women to leave their batterers without fearing deportation”)</w:t>
      </w:r>
      <w:r>
        <w:t>.</w:t>
      </w:r>
    </w:p>
  </w:footnote>
  <w:footnote w:id="14">
    <w:p w14:paraId="064B18D1" w14:textId="77777777" w:rsidR="00446696" w:rsidRDefault="00446696" w:rsidP="00446696">
      <w:pPr>
        <w:pStyle w:val="FootnoteText"/>
      </w:pPr>
      <w:r>
        <w:rPr>
          <w:rStyle w:val="FootnoteReference"/>
        </w:rPr>
        <w:footnoteRef/>
      </w:r>
      <w:r>
        <w:t xml:space="preserve"> Exhibit 1, unpublished BIA decision from Nov. 29, 2001 at page 2.</w:t>
      </w:r>
    </w:p>
  </w:footnote>
  <w:footnote w:id="15">
    <w:p w14:paraId="0A03B47D" w14:textId="77777777" w:rsidR="00446696" w:rsidRDefault="00446696" w:rsidP="00446696">
      <w:pPr>
        <w:pStyle w:val="FootnoteText"/>
      </w:pPr>
      <w:r>
        <w:rPr>
          <w:rStyle w:val="FootnoteReference"/>
        </w:rPr>
        <w:footnoteRef/>
      </w:r>
      <w:r>
        <w:t xml:space="preserve"> Id.</w:t>
      </w:r>
    </w:p>
  </w:footnote>
  <w:footnote w:id="16">
    <w:p w14:paraId="4B2FD97B" w14:textId="77777777" w:rsidR="00446696" w:rsidRDefault="00446696" w:rsidP="00446696">
      <w:pPr>
        <w:pStyle w:val="FootnoteText"/>
      </w:pPr>
      <w:r>
        <w:rPr>
          <w:rStyle w:val="FootnoteReference"/>
        </w:rPr>
        <w:footnoteRef/>
      </w:r>
      <w:r>
        <w:t xml:space="preserve"> 26 I&amp;N Dec. at 240-241.</w:t>
      </w:r>
    </w:p>
  </w:footnote>
  <w:footnote w:id="17">
    <w:p w14:paraId="05B714C3" w14:textId="77777777" w:rsidR="00446696" w:rsidRDefault="00446696" w:rsidP="00446696">
      <w:pPr>
        <w:pStyle w:val="FootnoteText"/>
      </w:pPr>
      <w:r>
        <w:rPr>
          <w:rStyle w:val="FootnoteReference"/>
        </w:rPr>
        <w:footnoteRef/>
      </w:r>
      <w:r>
        <w:t xml:space="preserve"> </w:t>
      </w:r>
      <w:r w:rsidRPr="007F62B0">
        <w:rPr>
          <w:i/>
        </w:rPr>
        <w:t>Perdomo v. Holder</w:t>
      </w:r>
      <w:r>
        <w:rPr>
          <w:i/>
        </w:rPr>
        <w:t xml:space="preserve">, </w:t>
      </w:r>
      <w:r w:rsidRPr="007F62B0">
        <w:t>611 F.3d 662, 663, 666-69 (9th Cir. 2010).</w:t>
      </w:r>
    </w:p>
  </w:footnote>
  <w:footnote w:id="18">
    <w:p w14:paraId="5BA41E7B" w14:textId="77777777" w:rsidR="00446696" w:rsidRDefault="00446696" w:rsidP="00446696">
      <w:pPr>
        <w:pStyle w:val="FootnoteText"/>
      </w:pPr>
      <w:r>
        <w:rPr>
          <w:rStyle w:val="FootnoteReference"/>
        </w:rPr>
        <w:footnoteRef/>
      </w:r>
      <w:r>
        <w:t xml:space="preserve"> </w:t>
      </w:r>
      <w:r w:rsidRPr="006F59A8">
        <w:rPr>
          <w:i/>
        </w:rPr>
        <w:t>Id</w:t>
      </w:r>
      <w:r>
        <w:t>. at 664.</w:t>
      </w:r>
    </w:p>
  </w:footnote>
  <w:footnote w:id="19">
    <w:p w14:paraId="423243E1" w14:textId="77777777" w:rsidR="00446696" w:rsidRDefault="00446696" w:rsidP="00446696">
      <w:pPr>
        <w:pStyle w:val="FootnoteText"/>
      </w:pPr>
      <w:r>
        <w:rPr>
          <w:rStyle w:val="FootnoteReference"/>
        </w:rPr>
        <w:footnoteRef/>
      </w:r>
      <w:r>
        <w:t xml:space="preserve"> </w:t>
      </w:r>
      <w:r w:rsidRPr="006F59A8">
        <w:rPr>
          <w:i/>
        </w:rPr>
        <w:t>Perdomo</w:t>
      </w:r>
      <w:r>
        <w:t>, 611 F.3d. at 664.</w:t>
      </w:r>
    </w:p>
  </w:footnote>
  <w:footnote w:id="20">
    <w:p w14:paraId="1D62D77F" w14:textId="77777777" w:rsidR="00446696" w:rsidRDefault="00446696" w:rsidP="00446696">
      <w:pPr>
        <w:pStyle w:val="FootnoteText"/>
      </w:pPr>
      <w:r>
        <w:rPr>
          <w:rStyle w:val="FootnoteReference"/>
        </w:rPr>
        <w:footnoteRef/>
      </w:r>
      <w:r>
        <w:t xml:space="preserve"> </w:t>
      </w:r>
      <w:r w:rsidRPr="009837B3">
        <w:rPr>
          <w:i/>
        </w:rPr>
        <w:t>Id.</w:t>
      </w:r>
    </w:p>
  </w:footnote>
  <w:footnote w:id="21">
    <w:p w14:paraId="73F1E4EC" w14:textId="0824D5E1" w:rsidR="00446696" w:rsidRDefault="00446696" w:rsidP="00446696">
      <w:pPr>
        <w:pStyle w:val="FootnoteText"/>
      </w:pPr>
      <w:r>
        <w:rPr>
          <w:rStyle w:val="FootnoteReference"/>
        </w:rPr>
        <w:footnoteRef/>
      </w:r>
      <w:r>
        <w:t xml:space="preserve"> </w:t>
      </w:r>
      <w:r w:rsidRPr="009837B3">
        <w:rPr>
          <w:i/>
        </w:rPr>
        <w:t>Per</w:t>
      </w:r>
      <w:r>
        <w:rPr>
          <w:i/>
        </w:rPr>
        <w:t>d</w:t>
      </w:r>
      <w:r w:rsidRPr="009837B3">
        <w:rPr>
          <w:i/>
        </w:rPr>
        <w:t>omo</w:t>
      </w:r>
      <w:r>
        <w:t>, ever 611 F.3d. at 665.</w:t>
      </w:r>
    </w:p>
  </w:footnote>
  <w:footnote w:id="22">
    <w:p w14:paraId="21E81E02" w14:textId="77777777" w:rsidR="00446696" w:rsidRDefault="00446696" w:rsidP="00446696">
      <w:pPr>
        <w:pStyle w:val="FootnoteText"/>
      </w:pPr>
      <w:r>
        <w:rPr>
          <w:rStyle w:val="FootnoteReference"/>
        </w:rPr>
        <w:footnoteRef/>
      </w:r>
      <w:r>
        <w:t xml:space="preserve"> Id., at 669.</w:t>
      </w:r>
    </w:p>
  </w:footnote>
  <w:footnote w:id="23">
    <w:p w14:paraId="60D3F855" w14:textId="77777777" w:rsidR="00446696" w:rsidRDefault="00446696" w:rsidP="00446696">
      <w:pPr>
        <w:pStyle w:val="FootnoteText"/>
      </w:pPr>
      <w:r>
        <w:rPr>
          <w:rStyle w:val="FootnoteReference"/>
        </w:rPr>
        <w:footnoteRef/>
      </w:r>
      <w:r>
        <w:t xml:space="preserve"> Id., at 665-69.</w:t>
      </w:r>
    </w:p>
  </w:footnote>
  <w:footnote w:id="24">
    <w:p w14:paraId="3EEACB44" w14:textId="77777777" w:rsidR="00446696" w:rsidRDefault="00446696" w:rsidP="00446696">
      <w:pPr>
        <w:pStyle w:val="FootnoteText"/>
      </w:pPr>
      <w:r>
        <w:rPr>
          <w:rStyle w:val="FootnoteReference"/>
        </w:rPr>
        <w:footnoteRef/>
      </w:r>
      <w:r>
        <w:t xml:space="preserve"> Id. at 669 (citing </w:t>
      </w:r>
      <w:r w:rsidRPr="00454CE7">
        <w:rPr>
          <w:i/>
        </w:rPr>
        <w:t>Matter of Acosta</w:t>
      </w:r>
      <w:r>
        <w:t xml:space="preserve">, 19 I&amp;N Dec. 211, 233 (BIA 1985)). </w:t>
      </w:r>
    </w:p>
  </w:footnote>
  <w:footnote w:id="25">
    <w:p w14:paraId="5084C93E" w14:textId="77777777" w:rsidR="00446696" w:rsidRDefault="00446696" w:rsidP="00446696">
      <w:pPr>
        <w:pStyle w:val="FootnoteText"/>
      </w:pPr>
      <w:r>
        <w:rPr>
          <w:rStyle w:val="FootnoteReference"/>
        </w:rPr>
        <w:footnoteRef/>
      </w:r>
      <w:r>
        <w:t xml:space="preserve"> See </w:t>
      </w:r>
      <w:r w:rsidRPr="00454CE7">
        <w:rPr>
          <w:i/>
        </w:rPr>
        <w:t>Perdomo</w:t>
      </w:r>
      <w:r>
        <w:t>, 611 F.3d at 666-67.</w:t>
      </w:r>
    </w:p>
  </w:footnote>
  <w:footnote w:id="26">
    <w:p w14:paraId="11292BB0" w14:textId="77777777" w:rsidR="00446696" w:rsidRDefault="00446696" w:rsidP="00446696">
      <w:pPr>
        <w:pStyle w:val="FootnoteText"/>
      </w:pPr>
      <w:r>
        <w:rPr>
          <w:rStyle w:val="FootnoteReference"/>
        </w:rPr>
        <w:footnoteRef/>
      </w:r>
      <w:r>
        <w:t xml:space="preserve"> Id. at 669.</w:t>
      </w:r>
    </w:p>
  </w:footnote>
  <w:footnote w:id="27">
    <w:p w14:paraId="737DC272" w14:textId="77777777" w:rsidR="00446696" w:rsidRDefault="00446696" w:rsidP="00446696">
      <w:pPr>
        <w:pStyle w:val="FootnoteText"/>
      </w:pPr>
      <w:r>
        <w:rPr>
          <w:rStyle w:val="FootnoteReference"/>
        </w:rPr>
        <w:footnoteRef/>
      </w:r>
      <w:r>
        <w:t xml:space="preserve"> </w:t>
      </w:r>
      <w:r w:rsidRPr="00454CE7">
        <w:rPr>
          <w:i/>
        </w:rPr>
        <w:t xml:space="preserve">Id. </w:t>
      </w:r>
    </w:p>
  </w:footnote>
  <w:footnote w:id="28">
    <w:p w14:paraId="3A998281" w14:textId="77777777" w:rsidR="00446696" w:rsidRDefault="00446696" w:rsidP="00446696">
      <w:pPr>
        <w:pStyle w:val="FootnoteText"/>
      </w:pPr>
      <w:r>
        <w:rPr>
          <w:rStyle w:val="FootnoteReference"/>
        </w:rPr>
        <w:footnoteRef/>
      </w:r>
      <w:r>
        <w:t xml:space="preserve"> </w:t>
      </w:r>
      <w:r w:rsidRPr="00B14FA0">
        <w:rPr>
          <w:i/>
        </w:rPr>
        <w:t>Henriquez-Rivas v. Holder</w:t>
      </w:r>
      <w:r w:rsidRPr="00B14FA0">
        <w:t>,</w:t>
      </w:r>
      <w:r>
        <w:t xml:space="preserve"> at 1083.</w:t>
      </w:r>
    </w:p>
  </w:footnote>
  <w:footnote w:id="29">
    <w:p w14:paraId="2E3068B4" w14:textId="77777777" w:rsidR="00446696" w:rsidRDefault="00446696" w:rsidP="00446696">
      <w:pPr>
        <w:pStyle w:val="FootnoteText"/>
      </w:pPr>
      <w:r>
        <w:rPr>
          <w:rStyle w:val="FootnoteReference"/>
        </w:rPr>
        <w:footnoteRef/>
      </w:r>
      <w:r>
        <w:t xml:space="preserve"> </w:t>
      </w:r>
      <w:r w:rsidRPr="00A33BF4">
        <w:rPr>
          <w:i/>
        </w:rPr>
        <w:t>Id.</w:t>
      </w:r>
      <w:r>
        <w:t xml:space="preserve"> at 1089.</w:t>
      </w:r>
    </w:p>
  </w:footnote>
  <w:footnote w:id="30">
    <w:p w14:paraId="122D9311" w14:textId="77777777" w:rsidR="00446696" w:rsidRDefault="00446696" w:rsidP="00446696">
      <w:pPr>
        <w:pStyle w:val="FootnoteText"/>
      </w:pPr>
      <w:r>
        <w:rPr>
          <w:rStyle w:val="FootnoteReference"/>
        </w:rPr>
        <w:footnoteRef/>
      </w:r>
      <w:r>
        <w:t xml:space="preserve"> </w:t>
      </w:r>
      <w:r>
        <w:rPr>
          <w:i/>
        </w:rPr>
        <w:t>Henriquez</w:t>
      </w:r>
      <w:r>
        <w:t xml:space="preserve">, at 1089, citing </w:t>
      </w:r>
      <w:r w:rsidRPr="000320F4">
        <w:rPr>
          <w:i/>
        </w:rPr>
        <w:t>Sanchez-Trujillo v. INS</w:t>
      </w:r>
      <w:r>
        <w:t>, 801 F.2d. at 1571 (9th Cir. 1986).</w:t>
      </w:r>
    </w:p>
  </w:footnote>
  <w:footnote w:id="31">
    <w:p w14:paraId="796FA633" w14:textId="77777777" w:rsidR="00446696" w:rsidRDefault="00446696" w:rsidP="00446696">
      <w:pPr>
        <w:pStyle w:val="FootnoteText"/>
      </w:pPr>
      <w:r>
        <w:rPr>
          <w:rStyle w:val="FootnoteReference"/>
        </w:rPr>
        <w:footnoteRef/>
      </w:r>
      <w:r>
        <w:t xml:space="preserve"> </w:t>
      </w:r>
      <w:r w:rsidRPr="00B61FFB">
        <w:t>INA §208(a)(2)(D).</w:t>
      </w:r>
    </w:p>
  </w:footnote>
  <w:footnote w:id="32">
    <w:p w14:paraId="4B47E71E" w14:textId="77777777" w:rsidR="00446696" w:rsidRDefault="00446696" w:rsidP="00446696">
      <w:pPr>
        <w:pStyle w:val="FootnoteText"/>
      </w:pPr>
      <w:r>
        <w:rPr>
          <w:rStyle w:val="FootnoteReference"/>
        </w:rPr>
        <w:footnoteRef/>
      </w:r>
      <w:r>
        <w:t xml:space="preserve"> </w:t>
      </w:r>
      <w:r w:rsidRPr="00B61FFB">
        <w:rPr>
          <w:i/>
        </w:rPr>
        <w:t xml:space="preserve">See Matter of </w:t>
      </w:r>
      <w:proofErr w:type="spellStart"/>
      <w:r w:rsidRPr="00B61FFB">
        <w:rPr>
          <w:i/>
        </w:rPr>
        <w:t>Bufalino</w:t>
      </w:r>
      <w:proofErr w:type="spellEnd"/>
      <w:r w:rsidRPr="00B61FFB">
        <w:t>, 12 I&amp;N Dec. 277, 282 (BIA 1967).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yNTQ3NTUysjQwsjBR0lEKTi0uzszPAykwqgUAb731aSwAAAA="/>
  </w:docVars>
  <w:rsids>
    <w:rsidRoot w:val="00446696"/>
    <w:rsid w:val="00281DF4"/>
    <w:rsid w:val="00446696"/>
    <w:rsid w:val="004C242C"/>
    <w:rsid w:val="006B02B5"/>
    <w:rsid w:val="006E05B0"/>
    <w:rsid w:val="008C0C6F"/>
    <w:rsid w:val="00B91F6E"/>
    <w:rsid w:val="00C72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B447"/>
  <w15:chartTrackingRefBased/>
  <w15:docId w15:val="{5B7C1591-1776-4F4E-A5CB-6420426C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96"/>
    <w:pPr>
      <w:spacing w:after="200" w:line="240" w:lineRule="auto"/>
    </w:pPr>
    <w:rPr>
      <w:rFonts w:ascii="Calibri" w:eastAsia="SimSun" w:hAnsi="Calibri" w:cs="Times New Roman"/>
      <w:lang w:eastAsia="zh-TW"/>
    </w:rPr>
  </w:style>
  <w:style w:type="paragraph" w:styleId="Heading4">
    <w:name w:val="heading 4"/>
    <w:basedOn w:val="Normal"/>
    <w:next w:val="Normal"/>
    <w:link w:val="Heading4Char"/>
    <w:qFormat/>
    <w:rsid w:val="00446696"/>
    <w:pPr>
      <w:keepNext/>
      <w:spacing w:after="0"/>
      <w:outlineLvl w:val="3"/>
    </w:pPr>
    <w:rPr>
      <w:rFonts w:ascii="Times New Roman" w:hAnsi="Times New Roman"/>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46696"/>
    <w:rPr>
      <w:rFonts w:ascii="Times New Roman" w:eastAsia="SimSun" w:hAnsi="Times New Roman" w:cs="Times New Roman"/>
      <w:sz w:val="28"/>
      <w:szCs w:val="24"/>
    </w:rPr>
  </w:style>
  <w:style w:type="paragraph" w:styleId="FootnoteText">
    <w:name w:val="footnote text"/>
    <w:basedOn w:val="Normal"/>
    <w:link w:val="FootnoteTextChar"/>
    <w:uiPriority w:val="99"/>
    <w:semiHidden/>
    <w:unhideWhenUsed/>
    <w:rsid w:val="00446696"/>
    <w:rPr>
      <w:sz w:val="20"/>
      <w:szCs w:val="20"/>
    </w:rPr>
  </w:style>
  <w:style w:type="character" w:customStyle="1" w:styleId="FootnoteTextChar">
    <w:name w:val="Footnote Text Char"/>
    <w:basedOn w:val="DefaultParagraphFont"/>
    <w:link w:val="FootnoteText"/>
    <w:uiPriority w:val="99"/>
    <w:semiHidden/>
    <w:rsid w:val="00446696"/>
    <w:rPr>
      <w:rFonts w:ascii="Calibri" w:eastAsia="SimSun" w:hAnsi="Calibri" w:cs="Times New Roman"/>
      <w:sz w:val="20"/>
      <w:szCs w:val="20"/>
      <w:lang w:eastAsia="zh-TW"/>
    </w:rPr>
  </w:style>
  <w:style w:type="character" w:styleId="FootnoteReference">
    <w:name w:val="footnote reference"/>
    <w:uiPriority w:val="99"/>
    <w:semiHidden/>
    <w:unhideWhenUsed/>
    <w:rsid w:val="0044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12</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Masuma Pataer</dc:creator>
  <cp:keywords/>
  <dc:description/>
  <cp:lastModifiedBy>Microsoft Office User</cp:lastModifiedBy>
  <cp:revision>4</cp:revision>
  <dcterms:created xsi:type="dcterms:W3CDTF">2019-12-20T01:04:00Z</dcterms:created>
  <dcterms:modified xsi:type="dcterms:W3CDTF">2022-03-18T22:14:00Z</dcterms:modified>
</cp:coreProperties>
</file>