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41B1" w:rsidR="00A27AD9" w:rsidP="00A27AD9" w:rsidRDefault="00220CE7" w14:paraId="49962F2E" w14:textId="4B75A24B">
      <w:pPr>
        <w:widowControl w:val="0"/>
        <w:jc w:val="center"/>
        <w:rPr>
          <w:sz w:val="28"/>
          <w:szCs w:val="28"/>
        </w:rPr>
      </w:pPr>
      <w:bookmarkStart w:name="_Hlk1053360" w:id="0"/>
      <w:bookmarkStart w:name="_Hlk432748" w:id="1"/>
      <w:bookmarkStart w:name="_BA_ScanRange_Skip_PreScanRange_E43650_0" w:id="2"/>
      <w:r w:rsidRPr="00BD41B1">
        <w:rPr>
          <w:sz w:val="28"/>
          <w:szCs w:val="28"/>
        </w:rPr>
        <w:t>Amicus Invitation No. 22-16-03</w:t>
      </w:r>
    </w:p>
    <w:bookmarkEnd w:id="0"/>
    <w:p w:rsidRPr="00BD41B1" w:rsidR="00A27AD9" w:rsidP="00A27AD9" w:rsidRDefault="00A27AD9" w14:paraId="219CD2E7" w14:textId="77777777">
      <w:pPr>
        <w:widowControl w:val="0"/>
        <w:spacing w:after="120"/>
        <w:jc w:val="center"/>
        <w:rPr>
          <w:sz w:val="28"/>
          <w:szCs w:val="28"/>
        </w:rPr>
      </w:pPr>
    </w:p>
    <w:p w:rsidRPr="00BD41B1" w:rsidR="00A27AD9" w:rsidP="00A27AD9" w:rsidRDefault="00A27AD9" w14:paraId="60F82253" w14:textId="77777777">
      <w:pPr>
        <w:widowControl w:val="0"/>
        <w:pBdr>
          <w:top w:val="double" w:color="auto" w:sz="6" w:space="1"/>
        </w:pBdr>
        <w:jc w:val="center"/>
        <w:rPr>
          <w:b/>
          <w:sz w:val="28"/>
          <w:szCs w:val="28"/>
        </w:rPr>
      </w:pPr>
    </w:p>
    <w:p w:rsidRPr="00BD41B1" w:rsidR="00A27AD9" w:rsidP="00A27AD9" w:rsidRDefault="00A27AD9" w14:paraId="18539D92" w14:textId="354D18BF">
      <w:pPr>
        <w:widowControl w:val="0"/>
        <w:pBdr>
          <w:top w:val="double" w:color="auto" w:sz="6" w:space="1"/>
        </w:pBdr>
        <w:jc w:val="center"/>
        <w:rPr>
          <w:b/>
          <w:sz w:val="28"/>
          <w:szCs w:val="28"/>
        </w:rPr>
      </w:pPr>
      <w:r w:rsidRPr="00BD41B1">
        <w:rPr>
          <w:b/>
          <w:sz w:val="28"/>
          <w:szCs w:val="28"/>
        </w:rPr>
        <w:t>BOARD OF IMMIGRATION APPEALS</w:t>
      </w:r>
    </w:p>
    <w:p w:rsidRPr="00BD41B1" w:rsidR="00A27AD9" w:rsidP="00A27AD9" w:rsidRDefault="00A27AD9" w14:paraId="5AD09F9D" w14:textId="765430A0">
      <w:pPr>
        <w:widowControl w:val="0"/>
        <w:pBdr>
          <w:bottom w:val="double" w:color="auto" w:sz="6" w:space="1"/>
        </w:pBdr>
        <w:rPr>
          <w:b/>
          <w:sz w:val="28"/>
          <w:szCs w:val="28"/>
        </w:rPr>
      </w:pPr>
    </w:p>
    <w:p w:rsidRPr="00BD41B1" w:rsidR="00A27AD9" w:rsidP="00A27AD9" w:rsidRDefault="00A27AD9" w14:paraId="06098E56" w14:textId="77777777">
      <w:pPr>
        <w:widowControl w:val="0"/>
        <w:pBdr>
          <w:top w:val="double" w:color="auto" w:sz="6" w:space="1"/>
        </w:pBdr>
        <w:jc w:val="center"/>
        <w:rPr>
          <w:b/>
          <w:sz w:val="20"/>
        </w:rPr>
      </w:pPr>
    </w:p>
    <w:p w:rsidRPr="00BD41B1" w:rsidR="00A27AD9" w:rsidP="00A27AD9" w:rsidRDefault="00A27AD9" w14:paraId="37A628F9" w14:textId="50A73CC6">
      <w:pPr>
        <w:widowControl w:val="0"/>
        <w:jc w:val="center"/>
        <w:rPr>
          <w:sz w:val="28"/>
          <w:szCs w:val="28"/>
        </w:rPr>
      </w:pPr>
      <w:r w:rsidRPr="00BD41B1">
        <w:rPr>
          <w:sz w:val="28"/>
          <w:szCs w:val="28"/>
        </w:rPr>
        <w:t xml:space="preserve">On </w:t>
      </w:r>
      <w:r w:rsidRPr="00BD41B1" w:rsidR="00220CE7">
        <w:rPr>
          <w:sz w:val="28"/>
          <w:szCs w:val="28"/>
        </w:rPr>
        <w:t>Amicus Invitation on Vacatur of a Criminal Conviction, Amicus Invitation</w:t>
      </w:r>
      <w:r w:rsidRPr="00BD41B1">
        <w:rPr>
          <w:sz w:val="28"/>
          <w:szCs w:val="28"/>
        </w:rPr>
        <w:t xml:space="preserve"> No. </w:t>
      </w:r>
      <w:r w:rsidRPr="00BD41B1" w:rsidR="00220CE7">
        <w:rPr>
          <w:sz w:val="28"/>
          <w:szCs w:val="28"/>
        </w:rPr>
        <w:t>22-16-03</w:t>
      </w:r>
    </w:p>
    <w:p w:rsidRPr="00BD41B1" w:rsidR="00A27AD9" w:rsidP="00A27AD9" w:rsidRDefault="00A27AD9" w14:paraId="7C7EA6FB" w14:textId="77777777">
      <w:pPr>
        <w:widowControl w:val="0"/>
        <w:jc w:val="center"/>
        <w:rPr>
          <w:sz w:val="20"/>
        </w:rPr>
      </w:pPr>
    </w:p>
    <w:p w:rsidRPr="00BD41B1" w:rsidR="00A27AD9" w:rsidP="00A27AD9" w:rsidRDefault="00A27AD9" w14:paraId="21D8D2D0" w14:textId="77777777">
      <w:pPr>
        <w:widowControl w:val="0"/>
        <w:pBdr>
          <w:top w:val="double" w:color="auto" w:sz="6" w:space="1"/>
        </w:pBdr>
        <w:jc w:val="center"/>
        <w:rPr>
          <w:b/>
          <w:sz w:val="20"/>
        </w:rPr>
      </w:pPr>
    </w:p>
    <w:p w:rsidRPr="00BD41B1" w:rsidR="0028731B" w:rsidP="00A27AD9" w:rsidRDefault="00A27AD9" w14:paraId="3306041D" w14:textId="69BB1BF2">
      <w:pPr>
        <w:widowControl w:val="0"/>
        <w:jc w:val="center"/>
        <w:rPr>
          <w:b/>
          <w:caps/>
          <w:sz w:val="28"/>
          <w:szCs w:val="28"/>
        </w:rPr>
      </w:pPr>
      <w:r w:rsidRPr="00BD41B1">
        <w:rPr>
          <w:b/>
          <w:caps/>
          <w:sz w:val="28"/>
          <w:szCs w:val="28"/>
        </w:rPr>
        <w:t xml:space="preserve">Brief of </w:t>
      </w:r>
      <w:r w:rsidRPr="00BD41B1">
        <w:rPr>
          <w:b/>
          <w:i/>
          <w:caps/>
          <w:sz w:val="28"/>
          <w:szCs w:val="28"/>
        </w:rPr>
        <w:t>AmicI Curiae</w:t>
      </w:r>
      <w:r w:rsidRPr="00BD41B1">
        <w:rPr>
          <w:b/>
          <w:caps/>
          <w:sz w:val="28"/>
          <w:szCs w:val="28"/>
        </w:rPr>
        <w:t xml:space="preserve"> </w:t>
      </w:r>
      <w:r w:rsidRPr="00BD41B1">
        <w:rPr>
          <w:b/>
          <w:caps/>
          <w:sz w:val="28"/>
          <w:szCs w:val="28"/>
        </w:rPr>
        <w:br/>
      </w:r>
      <w:r w:rsidRPr="00BD41B1" w:rsidR="0028731B">
        <w:rPr>
          <w:b/>
          <w:caps/>
          <w:sz w:val="28"/>
          <w:szCs w:val="28"/>
        </w:rPr>
        <w:t>asista immigration assistance,</w:t>
      </w:r>
    </w:p>
    <w:p w:rsidRPr="00BD41B1" w:rsidR="00A27AD9" w:rsidP="00DE1245" w:rsidRDefault="00A27AD9" w14:paraId="161C3122" w14:textId="4A2BF478">
      <w:pPr>
        <w:widowControl w:val="0"/>
        <w:jc w:val="center"/>
        <w:rPr>
          <w:b/>
          <w:caps/>
          <w:sz w:val="28"/>
          <w:szCs w:val="28"/>
        </w:rPr>
      </w:pPr>
      <w:r w:rsidRPr="00BD41B1">
        <w:rPr>
          <w:b/>
          <w:caps/>
          <w:sz w:val="28"/>
          <w:szCs w:val="28"/>
        </w:rPr>
        <w:t>Asian Pacific Institute on Gender-Based Violence,</w:t>
      </w:r>
      <w:r w:rsidRPr="00BD41B1">
        <w:rPr>
          <w:b/>
          <w:caps/>
          <w:sz w:val="28"/>
          <w:szCs w:val="28"/>
        </w:rPr>
        <w:br/>
      </w:r>
      <w:r w:rsidRPr="00BD41B1" w:rsidR="0028731B">
        <w:rPr>
          <w:b/>
          <w:caps/>
          <w:sz w:val="28"/>
          <w:szCs w:val="28"/>
        </w:rPr>
        <w:t>eSPERANZA uNITED,</w:t>
      </w:r>
      <w:r w:rsidRPr="00BD41B1" w:rsidR="00DE1245">
        <w:rPr>
          <w:b/>
          <w:caps/>
          <w:sz w:val="28"/>
          <w:szCs w:val="28"/>
        </w:rPr>
        <w:t xml:space="preserve"> AND tAHIRIH jUSTICE CENTER </w:t>
      </w:r>
      <w:r w:rsidRPr="00BD41B1">
        <w:rPr>
          <w:b/>
          <w:caps/>
          <w:sz w:val="28"/>
          <w:szCs w:val="28"/>
        </w:rPr>
        <w:t>in Support of THE BOARD OF IMMIGRATION APPEALS</w:t>
      </w:r>
      <w:r w:rsidRPr="00BD41B1" w:rsidR="001A2135">
        <w:rPr>
          <w:b/>
          <w:caps/>
          <w:sz w:val="28"/>
          <w:szCs w:val="28"/>
        </w:rPr>
        <w:t>’</w:t>
      </w:r>
      <w:r w:rsidRPr="00BD41B1" w:rsidR="002C3372">
        <w:rPr>
          <w:b/>
          <w:caps/>
          <w:sz w:val="28"/>
          <w:szCs w:val="28"/>
        </w:rPr>
        <w:t xml:space="preserve"> </w:t>
      </w:r>
      <w:r w:rsidRPr="00BD41B1" w:rsidR="00341D32">
        <w:rPr>
          <w:b/>
          <w:caps/>
          <w:sz w:val="28"/>
          <w:szCs w:val="28"/>
        </w:rPr>
        <w:t xml:space="preserve">CONSIDERATION OF </w:t>
      </w:r>
      <w:r w:rsidRPr="00BD41B1" w:rsidR="002C3372">
        <w:rPr>
          <w:b/>
          <w:caps/>
          <w:sz w:val="28"/>
          <w:szCs w:val="28"/>
        </w:rPr>
        <w:t>the impacts of domestic violence, sexual assault, human trafficking, or other forms of gender-based violence when determining whether to grant an untimely motion to reopen premised on a vacatur of a criminal conviction</w:t>
      </w:r>
    </w:p>
    <w:p w:rsidRPr="00BD41B1" w:rsidR="00A27AD9" w:rsidP="00A27AD9" w:rsidRDefault="00A27AD9" w14:paraId="5295A856" w14:textId="77777777">
      <w:pPr>
        <w:widowControl w:val="0"/>
        <w:jc w:val="center"/>
        <w:rPr>
          <w:b/>
          <w:sz w:val="20"/>
        </w:rPr>
      </w:pPr>
    </w:p>
    <w:p w:rsidRPr="00BD41B1" w:rsidR="00A27AD9" w:rsidP="00A27AD9" w:rsidRDefault="00A27AD9" w14:paraId="5267D3EB" w14:textId="77777777">
      <w:pPr>
        <w:widowControl w:val="0"/>
        <w:pBdr>
          <w:top w:val="double" w:color="auto" w:sz="6" w:space="1"/>
        </w:pBdr>
        <w:jc w:val="center"/>
        <w:rPr>
          <w:b/>
          <w:sz w:val="20"/>
        </w:rPr>
      </w:pPr>
    </w:p>
    <w:tbl>
      <w:tblPr>
        <w:tblW w:w="0" w:type="auto"/>
        <w:tblLook w:val="01E0" w:firstRow="1" w:lastRow="1" w:firstColumn="1" w:lastColumn="1" w:noHBand="0" w:noVBand="0"/>
      </w:tblPr>
      <w:tblGrid>
        <w:gridCol w:w="4608"/>
        <w:gridCol w:w="4464"/>
      </w:tblGrid>
      <w:tr w:rsidRPr="00BD41B1" w:rsidR="00A27AD9" w:rsidTr="00F20357" w14:paraId="273E9E6F" w14:textId="77777777">
        <w:tc>
          <w:tcPr>
            <w:tcW w:w="4608" w:type="dxa"/>
            <w:shd w:val="clear" w:color="auto" w:fill="auto"/>
          </w:tcPr>
          <w:p w:rsidRPr="00BD41B1" w:rsidR="00A27AD9" w:rsidP="00A27AD9" w:rsidRDefault="00A27AD9" w14:paraId="7439AEB1" w14:textId="77777777">
            <w:pPr>
              <w:widowControl w:val="0"/>
              <w:jc w:val="both"/>
              <w:rPr>
                <w:sz w:val="28"/>
                <w:szCs w:val="28"/>
              </w:rPr>
            </w:pPr>
          </w:p>
          <w:p w:rsidRPr="00BD41B1" w:rsidR="00A27AD9" w:rsidP="00260052" w:rsidRDefault="00A27AD9" w14:paraId="63EFB1B6" w14:textId="77777777">
            <w:pPr>
              <w:spacing w:line="480" w:lineRule="auto"/>
              <w:jc w:val="both"/>
              <w:rPr>
                <w:sz w:val="28"/>
                <w:szCs w:val="28"/>
              </w:rPr>
            </w:pPr>
          </w:p>
          <w:p w:rsidRPr="00BD41B1" w:rsidR="00A27AD9" w:rsidP="00260052" w:rsidRDefault="00A27AD9" w14:paraId="7D81853B" w14:textId="77777777">
            <w:pPr>
              <w:spacing w:line="480" w:lineRule="auto"/>
              <w:jc w:val="both"/>
              <w:rPr>
                <w:sz w:val="28"/>
                <w:szCs w:val="28"/>
              </w:rPr>
            </w:pPr>
          </w:p>
          <w:p w:rsidRPr="00BD41B1" w:rsidR="00A27AD9" w:rsidP="00A27AD9" w:rsidRDefault="00A27AD9" w14:paraId="6CE11AC6" w14:textId="77777777">
            <w:pPr>
              <w:spacing w:line="480" w:lineRule="auto"/>
              <w:ind w:firstLine="720"/>
              <w:jc w:val="both"/>
              <w:rPr>
                <w:sz w:val="28"/>
                <w:szCs w:val="28"/>
              </w:rPr>
            </w:pPr>
          </w:p>
        </w:tc>
        <w:tc>
          <w:tcPr>
            <w:tcW w:w="4464" w:type="dxa"/>
            <w:shd w:val="clear" w:color="auto" w:fill="auto"/>
          </w:tcPr>
          <w:p w:rsidRPr="00BD41B1" w:rsidR="00A27AD9" w:rsidP="00A27AD9" w:rsidRDefault="00A27AD9" w14:paraId="12CCFEF7" w14:textId="463D9A5E">
            <w:pPr>
              <w:widowControl w:val="0"/>
              <w:jc w:val="both"/>
              <w:rPr>
                <w:sz w:val="28"/>
                <w:szCs w:val="28"/>
              </w:rPr>
            </w:pPr>
            <w:r w:rsidRPr="00BD41B1">
              <w:rPr>
                <w:sz w:val="28"/>
                <w:szCs w:val="28"/>
              </w:rPr>
              <w:t>Kristen C. Kuan</w:t>
            </w:r>
          </w:p>
          <w:p w:rsidRPr="00BD41B1" w:rsidR="00A27AD9" w:rsidP="00A27AD9" w:rsidRDefault="00522042" w14:paraId="5D5E05E5" w14:textId="76494A06">
            <w:pPr>
              <w:widowControl w:val="0"/>
              <w:jc w:val="both"/>
              <w:rPr>
                <w:sz w:val="28"/>
                <w:szCs w:val="28"/>
              </w:rPr>
            </w:pPr>
            <w:r w:rsidRPr="00BD41B1">
              <w:rPr>
                <w:sz w:val="28"/>
                <w:szCs w:val="28"/>
              </w:rPr>
              <w:t>Taylor Lin</w:t>
            </w:r>
          </w:p>
          <w:p w:rsidRPr="00BD41B1" w:rsidR="00522042" w:rsidP="00A27AD9" w:rsidRDefault="00522042" w14:paraId="74A9C36F" w14:textId="0F2159C5">
            <w:pPr>
              <w:widowControl w:val="0"/>
              <w:jc w:val="both"/>
              <w:rPr>
                <w:sz w:val="28"/>
                <w:szCs w:val="28"/>
              </w:rPr>
            </w:pPr>
            <w:r w:rsidRPr="00BD41B1">
              <w:rPr>
                <w:sz w:val="28"/>
                <w:szCs w:val="28"/>
              </w:rPr>
              <w:t>Kristen E. Bartolotta</w:t>
            </w:r>
          </w:p>
          <w:p w:rsidRPr="00BD41B1" w:rsidR="00A27AD9" w:rsidP="00A27AD9" w:rsidRDefault="00522042" w14:paraId="7B151CEC" w14:textId="78FA2A96">
            <w:pPr>
              <w:widowControl w:val="0"/>
              <w:jc w:val="both"/>
              <w:rPr>
                <w:sz w:val="28"/>
                <w:szCs w:val="28"/>
              </w:rPr>
            </w:pPr>
            <w:r w:rsidRPr="00BD41B1">
              <w:rPr>
                <w:sz w:val="28"/>
                <w:szCs w:val="28"/>
              </w:rPr>
              <w:t>Alston &amp; Bird</w:t>
            </w:r>
            <w:r w:rsidRPr="00BD41B1" w:rsidR="00A27AD9">
              <w:rPr>
                <w:sz w:val="28"/>
                <w:szCs w:val="28"/>
              </w:rPr>
              <w:t>, LLP</w:t>
            </w:r>
          </w:p>
          <w:p w:rsidRPr="00BD41B1" w:rsidR="00A27AD9" w:rsidP="00A27AD9" w:rsidRDefault="00C23DF7" w14:paraId="740377CD" w14:textId="134E8C78">
            <w:pPr>
              <w:widowControl w:val="0"/>
              <w:jc w:val="both"/>
              <w:rPr>
                <w:sz w:val="28"/>
                <w:szCs w:val="28"/>
              </w:rPr>
            </w:pPr>
            <w:r w:rsidRPr="00BD41B1">
              <w:rPr>
                <w:sz w:val="28"/>
                <w:szCs w:val="28"/>
              </w:rPr>
              <w:t>950 F Street, N.W.</w:t>
            </w:r>
          </w:p>
          <w:p w:rsidRPr="00BD41B1" w:rsidR="00A27AD9" w:rsidP="00A27AD9" w:rsidRDefault="004B1599" w14:paraId="4417ED3B" w14:textId="476F8826">
            <w:pPr>
              <w:widowControl w:val="0"/>
              <w:jc w:val="both"/>
              <w:rPr>
                <w:sz w:val="28"/>
                <w:szCs w:val="28"/>
              </w:rPr>
            </w:pPr>
            <w:r w:rsidRPr="00BD41B1">
              <w:rPr>
                <w:sz w:val="28"/>
                <w:szCs w:val="28"/>
              </w:rPr>
              <w:t>Washington, D.C. 20004</w:t>
            </w:r>
          </w:p>
          <w:p w:rsidRPr="00BD41B1" w:rsidR="00A27AD9" w:rsidP="00A27AD9" w:rsidRDefault="00A27AD9" w14:paraId="64F4D0B7" w14:textId="7A68BB50">
            <w:pPr>
              <w:widowControl w:val="0"/>
              <w:jc w:val="both"/>
              <w:rPr>
                <w:sz w:val="28"/>
                <w:szCs w:val="28"/>
              </w:rPr>
            </w:pPr>
            <w:r w:rsidRPr="00BD41B1">
              <w:rPr>
                <w:sz w:val="28"/>
                <w:szCs w:val="28"/>
              </w:rPr>
              <w:t>(</w:t>
            </w:r>
            <w:r w:rsidRPr="00BD41B1" w:rsidR="004B1599">
              <w:rPr>
                <w:sz w:val="28"/>
                <w:szCs w:val="28"/>
              </w:rPr>
              <w:t>202)-239-3300</w:t>
            </w:r>
          </w:p>
          <w:p w:rsidRPr="00BD41B1" w:rsidR="00A27AD9" w:rsidP="00A27AD9" w:rsidRDefault="00A27AD9" w14:paraId="1EF7E5FB" w14:textId="77777777">
            <w:pPr>
              <w:widowControl w:val="0"/>
              <w:jc w:val="both"/>
              <w:rPr>
                <w:sz w:val="28"/>
                <w:szCs w:val="28"/>
              </w:rPr>
            </w:pPr>
            <w:r w:rsidRPr="00BD41B1">
              <w:rPr>
                <w:i/>
                <w:sz w:val="16"/>
                <w:szCs w:val="16"/>
              </w:rPr>
              <w:br/>
            </w:r>
            <w:r w:rsidRPr="00BD41B1">
              <w:rPr>
                <w:i/>
                <w:sz w:val="28"/>
                <w:szCs w:val="28"/>
              </w:rPr>
              <w:t>Counsel for Amici Curiae</w:t>
            </w:r>
          </w:p>
        </w:tc>
      </w:tr>
      <w:bookmarkEnd w:id="1"/>
    </w:tbl>
    <w:p w:rsidRPr="00260052" w:rsidR="004D14A4" w:rsidP="00524969" w:rsidRDefault="004D14A4" w14:paraId="1B3299F2" w14:textId="73E1E1B7">
      <w:pPr>
        <w:widowControl w:val="0"/>
        <w:spacing w:line="480" w:lineRule="auto"/>
        <w:jc w:val="center"/>
        <w:rPr>
          <w:szCs w:val="24"/>
        </w:rPr>
      </w:pPr>
    </w:p>
    <w:p w:rsidR="00260052" w:rsidRDefault="00260052" w14:paraId="2558CCDA" w14:textId="77777777">
      <w:pPr>
        <w:spacing w:after="160" w:line="259" w:lineRule="auto"/>
        <w:rPr>
          <w:b/>
          <w:bCs/>
          <w:szCs w:val="24"/>
          <w:u w:val="single"/>
        </w:rPr>
        <w:sectPr w:rsidR="00260052" w:rsidSect="002600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Pr="002A4052" w:rsidR="00260052" w:rsidP="00260052" w:rsidRDefault="00260052" w14:paraId="7AE1DAF4" w14:textId="6D9417F6">
      <w:pPr>
        <w:widowControl w:val="0"/>
        <w:spacing w:line="480" w:lineRule="auto"/>
        <w:jc w:val="center"/>
        <w:rPr>
          <w:b/>
          <w:bCs/>
          <w:szCs w:val="24"/>
          <w:u w:val="single"/>
        </w:rPr>
      </w:pPr>
      <w:r w:rsidRPr="002A4052">
        <w:rPr>
          <w:b/>
          <w:bCs/>
          <w:szCs w:val="24"/>
          <w:u w:val="single"/>
        </w:rPr>
        <w:lastRenderedPageBreak/>
        <w:t>TABLE OF CONTENTS</w:t>
      </w:r>
    </w:p>
    <w:p w:rsidRPr="002A4052" w:rsidR="00260052" w:rsidP="00260052" w:rsidRDefault="00260052" w14:paraId="34DDA0C6" w14:textId="558E249F">
      <w:pPr>
        <w:widowControl w:val="0"/>
        <w:spacing w:line="480" w:lineRule="auto"/>
        <w:jc w:val="right"/>
        <w:rPr>
          <w:b/>
          <w:bCs/>
          <w:szCs w:val="24"/>
        </w:rPr>
      </w:pPr>
      <w:r w:rsidRPr="002A4052">
        <w:rPr>
          <w:b/>
          <w:bCs/>
          <w:szCs w:val="24"/>
        </w:rPr>
        <w:t>Page(s)</w:t>
      </w:r>
    </w:p>
    <w:bookmarkStart w:name="_BA_ScanRange_TOCTOA_Skip_E43650_000000" w:id="3"/>
    <w:p w:rsidR="00CE76D8" w:rsidP="00E96310" w:rsidRDefault="00CE76D8" w14:paraId="5C3B806A" w14:textId="4F461225">
      <w:pPr>
        <w:pStyle w:val="TOC1"/>
        <w:tabs>
          <w:tab w:val="right" w:leader="dot" w:pos="9350"/>
        </w:tabs>
        <w:spacing w:before="120" w:after="120"/>
        <w:rPr>
          <w:noProof/>
        </w:rPr>
      </w:pPr>
      <w:r>
        <w:rPr>
          <w:szCs w:val="24"/>
        </w:rPr>
        <w:fldChar w:fldCharType="begin"/>
      </w:r>
      <w:r>
        <w:rPr>
          <w:szCs w:val="24"/>
        </w:rPr>
        <w:instrText xml:space="preserve"> TOC \o "1-3" \u </w:instrText>
      </w:r>
      <w:r>
        <w:rPr>
          <w:szCs w:val="24"/>
        </w:rPr>
        <w:fldChar w:fldCharType="separate"/>
      </w:r>
      <w:r>
        <w:rPr>
          <w:noProof/>
        </w:rPr>
        <w:t>INTRODUCTION</w:t>
      </w:r>
      <w:r>
        <w:rPr>
          <w:noProof/>
        </w:rPr>
        <w:tab/>
      </w:r>
      <w:r>
        <w:rPr>
          <w:noProof/>
        </w:rPr>
        <w:fldChar w:fldCharType="begin"/>
      </w:r>
      <w:r>
        <w:rPr>
          <w:noProof/>
        </w:rPr>
        <w:instrText xml:space="preserve"> PAGEREF _Toc101944973 \h </w:instrText>
      </w:r>
      <w:r>
        <w:rPr>
          <w:noProof/>
        </w:rPr>
      </w:r>
      <w:r>
        <w:rPr>
          <w:noProof/>
        </w:rPr>
        <w:fldChar w:fldCharType="separate"/>
      </w:r>
      <w:r>
        <w:rPr>
          <w:noProof/>
        </w:rPr>
        <w:t>1</w:t>
      </w:r>
      <w:r>
        <w:rPr>
          <w:noProof/>
        </w:rPr>
        <w:fldChar w:fldCharType="end"/>
      </w:r>
    </w:p>
    <w:p w:rsidR="00CE76D8" w:rsidP="00E96310" w:rsidRDefault="00CE76D8" w14:paraId="71BA4D0E" w14:textId="252FD8FF">
      <w:pPr>
        <w:pStyle w:val="TOC1"/>
        <w:tabs>
          <w:tab w:val="right" w:leader="dot" w:pos="9350"/>
        </w:tabs>
        <w:spacing w:before="120" w:after="120"/>
        <w:rPr>
          <w:noProof/>
        </w:rPr>
      </w:pPr>
      <w:r>
        <w:rPr>
          <w:noProof/>
        </w:rPr>
        <w:t>DISCUSSION</w:t>
      </w:r>
      <w:r>
        <w:rPr>
          <w:noProof/>
        </w:rPr>
        <w:tab/>
      </w:r>
      <w:r>
        <w:rPr>
          <w:noProof/>
        </w:rPr>
        <w:fldChar w:fldCharType="begin"/>
      </w:r>
      <w:r>
        <w:rPr>
          <w:noProof/>
        </w:rPr>
        <w:instrText xml:space="preserve"> PAGEREF _Toc101944974 \h </w:instrText>
      </w:r>
      <w:r>
        <w:rPr>
          <w:noProof/>
        </w:rPr>
      </w:r>
      <w:r>
        <w:rPr>
          <w:noProof/>
        </w:rPr>
        <w:fldChar w:fldCharType="separate"/>
      </w:r>
      <w:r>
        <w:rPr>
          <w:noProof/>
        </w:rPr>
        <w:t>3</w:t>
      </w:r>
      <w:r>
        <w:rPr>
          <w:noProof/>
        </w:rPr>
        <w:fldChar w:fldCharType="end"/>
      </w:r>
    </w:p>
    <w:p w:rsidR="00CE76D8" w:rsidP="00E96310" w:rsidRDefault="00CE76D8" w14:paraId="132AF72B" w14:textId="28A0A87F">
      <w:pPr>
        <w:pStyle w:val="TOC2"/>
        <w:rPr>
          <w:noProof/>
        </w:rPr>
      </w:pPr>
      <w:r>
        <w:rPr>
          <w:noProof/>
        </w:rPr>
        <w:t>I.</w:t>
      </w:r>
      <w:r>
        <w:rPr>
          <w:noProof/>
        </w:rPr>
        <w:tab/>
        <w:t>The BIA Should Consider The Fact That Survivors’ Criminal Convictions Are Often The Result Of The Victimization</w:t>
      </w:r>
      <w:r>
        <w:rPr>
          <w:noProof/>
        </w:rPr>
        <w:tab/>
      </w:r>
      <w:r>
        <w:rPr>
          <w:noProof/>
        </w:rPr>
        <w:fldChar w:fldCharType="begin"/>
      </w:r>
      <w:r>
        <w:rPr>
          <w:noProof/>
        </w:rPr>
        <w:instrText xml:space="preserve"> PAGEREF _Toc101944975 \h </w:instrText>
      </w:r>
      <w:r>
        <w:rPr>
          <w:noProof/>
        </w:rPr>
      </w:r>
      <w:r>
        <w:rPr>
          <w:noProof/>
        </w:rPr>
        <w:fldChar w:fldCharType="separate"/>
      </w:r>
      <w:r>
        <w:rPr>
          <w:noProof/>
        </w:rPr>
        <w:t>3</w:t>
      </w:r>
      <w:r>
        <w:rPr>
          <w:noProof/>
        </w:rPr>
        <w:fldChar w:fldCharType="end"/>
      </w:r>
    </w:p>
    <w:p w:rsidR="00CE76D8" w:rsidP="00E96310" w:rsidRDefault="00CE76D8" w14:paraId="7258E171" w14:textId="179D7853">
      <w:pPr>
        <w:pStyle w:val="TOC2"/>
        <w:rPr>
          <w:noProof/>
        </w:rPr>
      </w:pPr>
      <w:r>
        <w:rPr>
          <w:noProof/>
        </w:rPr>
        <w:t>II.</w:t>
      </w:r>
      <w:r>
        <w:rPr>
          <w:noProof/>
        </w:rPr>
        <w:tab/>
        <w:t>The BIA Should Consider Why Survivors Of Gender-Based Violence Might File Untimely Motions to Reopen</w:t>
      </w:r>
      <w:r>
        <w:rPr>
          <w:noProof/>
        </w:rPr>
        <w:tab/>
      </w:r>
      <w:r>
        <w:rPr>
          <w:noProof/>
        </w:rPr>
        <w:fldChar w:fldCharType="begin"/>
      </w:r>
      <w:r>
        <w:rPr>
          <w:noProof/>
        </w:rPr>
        <w:instrText xml:space="preserve"> PAGEREF _Toc101944976 \h </w:instrText>
      </w:r>
      <w:r>
        <w:rPr>
          <w:noProof/>
        </w:rPr>
      </w:r>
      <w:r>
        <w:rPr>
          <w:noProof/>
        </w:rPr>
        <w:fldChar w:fldCharType="separate"/>
      </w:r>
      <w:r>
        <w:rPr>
          <w:noProof/>
        </w:rPr>
        <w:t>7</w:t>
      </w:r>
      <w:r>
        <w:rPr>
          <w:noProof/>
        </w:rPr>
        <w:fldChar w:fldCharType="end"/>
      </w:r>
    </w:p>
    <w:p w:rsidR="00CE76D8" w:rsidP="00E96310" w:rsidRDefault="00CE76D8" w14:paraId="56CDAE6D" w14:textId="0A86F31B">
      <w:pPr>
        <w:pStyle w:val="TOC3"/>
        <w:rPr>
          <w:noProof/>
        </w:rPr>
      </w:pPr>
      <w:r>
        <w:rPr>
          <w:noProof/>
        </w:rPr>
        <w:t>A.</w:t>
      </w:r>
      <w:r>
        <w:rPr>
          <w:noProof/>
        </w:rPr>
        <w:tab/>
        <w:t>The Legal System Perpetuates the Trauma of Gender-Based Violence</w:t>
      </w:r>
      <w:r>
        <w:rPr>
          <w:noProof/>
        </w:rPr>
        <w:tab/>
      </w:r>
      <w:r>
        <w:rPr>
          <w:noProof/>
        </w:rPr>
        <w:fldChar w:fldCharType="begin"/>
      </w:r>
      <w:r>
        <w:rPr>
          <w:noProof/>
        </w:rPr>
        <w:instrText xml:space="preserve"> PAGEREF _Toc101944977 \h </w:instrText>
      </w:r>
      <w:r>
        <w:rPr>
          <w:noProof/>
        </w:rPr>
      </w:r>
      <w:r>
        <w:rPr>
          <w:noProof/>
        </w:rPr>
        <w:fldChar w:fldCharType="separate"/>
      </w:r>
      <w:r>
        <w:rPr>
          <w:noProof/>
        </w:rPr>
        <w:t>7</w:t>
      </w:r>
      <w:r>
        <w:rPr>
          <w:noProof/>
        </w:rPr>
        <w:fldChar w:fldCharType="end"/>
      </w:r>
    </w:p>
    <w:p w:rsidR="00CE76D8" w:rsidP="00E96310" w:rsidRDefault="00CE76D8" w14:paraId="2BA96789" w14:textId="75399348">
      <w:pPr>
        <w:pStyle w:val="TOC3"/>
        <w:rPr>
          <w:noProof/>
        </w:rPr>
      </w:pPr>
      <w:r>
        <w:rPr>
          <w:noProof/>
        </w:rPr>
        <w:t>B.</w:t>
      </w:r>
      <w:r>
        <w:rPr>
          <w:noProof/>
        </w:rPr>
        <w:tab/>
        <w:t>Survivors Are Forced to Navigate a Foreign and Complicated Justice System on Their Own</w:t>
      </w:r>
      <w:r>
        <w:rPr>
          <w:noProof/>
        </w:rPr>
        <w:tab/>
      </w:r>
      <w:r>
        <w:rPr>
          <w:noProof/>
        </w:rPr>
        <w:fldChar w:fldCharType="begin"/>
      </w:r>
      <w:r>
        <w:rPr>
          <w:noProof/>
        </w:rPr>
        <w:instrText xml:space="preserve"> PAGEREF _Toc101944978 \h </w:instrText>
      </w:r>
      <w:r>
        <w:rPr>
          <w:noProof/>
        </w:rPr>
      </w:r>
      <w:r>
        <w:rPr>
          <w:noProof/>
        </w:rPr>
        <w:fldChar w:fldCharType="separate"/>
      </w:r>
      <w:r>
        <w:rPr>
          <w:noProof/>
        </w:rPr>
        <w:t>8</w:t>
      </w:r>
      <w:r>
        <w:rPr>
          <w:noProof/>
        </w:rPr>
        <w:fldChar w:fldCharType="end"/>
      </w:r>
    </w:p>
    <w:p w:rsidR="00CE76D8" w:rsidP="00E96310" w:rsidRDefault="00CE76D8" w14:paraId="1CF5C7BE" w14:textId="590D86B3">
      <w:pPr>
        <w:pStyle w:val="TOC2"/>
        <w:rPr>
          <w:noProof/>
        </w:rPr>
      </w:pPr>
      <w:r>
        <w:rPr>
          <w:noProof/>
        </w:rPr>
        <w:t>III.</w:t>
      </w:r>
      <w:r>
        <w:rPr>
          <w:noProof/>
        </w:rPr>
        <w:tab/>
        <w:t>The BIA Should Consider Other Immigration Laws That Have Expanded Protections To Survivors Of Gender-Based Violence</w:t>
      </w:r>
      <w:r>
        <w:rPr>
          <w:noProof/>
        </w:rPr>
        <w:tab/>
      </w:r>
      <w:r>
        <w:rPr>
          <w:noProof/>
        </w:rPr>
        <w:fldChar w:fldCharType="begin"/>
      </w:r>
      <w:r>
        <w:rPr>
          <w:noProof/>
        </w:rPr>
        <w:instrText xml:space="preserve"> PAGEREF _Toc101944979 \h </w:instrText>
      </w:r>
      <w:r>
        <w:rPr>
          <w:noProof/>
        </w:rPr>
      </w:r>
      <w:r>
        <w:rPr>
          <w:noProof/>
        </w:rPr>
        <w:fldChar w:fldCharType="separate"/>
      </w:r>
      <w:r>
        <w:rPr>
          <w:noProof/>
        </w:rPr>
        <w:t>9</w:t>
      </w:r>
      <w:r>
        <w:rPr>
          <w:noProof/>
        </w:rPr>
        <w:fldChar w:fldCharType="end"/>
      </w:r>
    </w:p>
    <w:p w:rsidR="00CE76D8" w:rsidP="00E96310" w:rsidRDefault="00CE76D8" w14:paraId="1BFC76C1" w14:textId="5C5A4678">
      <w:pPr>
        <w:pStyle w:val="TOC3"/>
        <w:rPr>
          <w:noProof/>
        </w:rPr>
      </w:pPr>
      <w:r>
        <w:rPr>
          <w:noProof/>
        </w:rPr>
        <w:t>A.</w:t>
      </w:r>
      <w:r>
        <w:rPr>
          <w:noProof/>
        </w:rPr>
        <w:tab/>
        <w:t>Federal Immigration Laws Provide Additional Assistance to Survivors of Domestic Violence, Sexual Assault, and Human Trafficking</w:t>
      </w:r>
      <w:r>
        <w:rPr>
          <w:noProof/>
        </w:rPr>
        <w:tab/>
      </w:r>
      <w:r>
        <w:rPr>
          <w:noProof/>
        </w:rPr>
        <w:fldChar w:fldCharType="begin"/>
      </w:r>
      <w:r>
        <w:rPr>
          <w:noProof/>
        </w:rPr>
        <w:instrText xml:space="preserve"> PAGEREF _Toc101944980 \h </w:instrText>
      </w:r>
      <w:r>
        <w:rPr>
          <w:noProof/>
        </w:rPr>
      </w:r>
      <w:r>
        <w:rPr>
          <w:noProof/>
        </w:rPr>
        <w:fldChar w:fldCharType="separate"/>
      </w:r>
      <w:r>
        <w:rPr>
          <w:noProof/>
        </w:rPr>
        <w:t>9</w:t>
      </w:r>
      <w:r>
        <w:rPr>
          <w:noProof/>
        </w:rPr>
        <w:fldChar w:fldCharType="end"/>
      </w:r>
    </w:p>
    <w:p w:rsidR="00CE76D8" w:rsidP="00E96310" w:rsidRDefault="00CE76D8" w14:paraId="3F647C77" w14:textId="38672D62">
      <w:pPr>
        <w:pStyle w:val="TOC3"/>
        <w:rPr>
          <w:noProof/>
        </w:rPr>
      </w:pPr>
      <w:r>
        <w:rPr>
          <w:noProof/>
        </w:rPr>
        <w:t>B.</w:t>
      </w:r>
      <w:r>
        <w:rPr>
          <w:noProof/>
        </w:rPr>
        <w:tab/>
        <w:t>State Laws Similarly Provide Additional Assistance to Survivors of Domestic Violence, Sexual Assault, and Human Trafficking</w:t>
      </w:r>
      <w:r>
        <w:rPr>
          <w:noProof/>
        </w:rPr>
        <w:tab/>
      </w:r>
      <w:r>
        <w:rPr>
          <w:noProof/>
        </w:rPr>
        <w:fldChar w:fldCharType="begin"/>
      </w:r>
      <w:r>
        <w:rPr>
          <w:noProof/>
        </w:rPr>
        <w:instrText xml:space="preserve"> PAGEREF _Toc101944981 \h </w:instrText>
      </w:r>
      <w:r>
        <w:rPr>
          <w:noProof/>
        </w:rPr>
      </w:r>
      <w:r>
        <w:rPr>
          <w:noProof/>
        </w:rPr>
        <w:fldChar w:fldCharType="separate"/>
      </w:r>
      <w:r>
        <w:rPr>
          <w:noProof/>
        </w:rPr>
        <w:t>13</w:t>
      </w:r>
      <w:r>
        <w:rPr>
          <w:noProof/>
        </w:rPr>
        <w:fldChar w:fldCharType="end"/>
      </w:r>
    </w:p>
    <w:p w:rsidR="00CE76D8" w:rsidP="00E96310" w:rsidRDefault="00CE76D8" w14:paraId="0D07BD78" w14:textId="3E35185A">
      <w:pPr>
        <w:pStyle w:val="TOC1"/>
        <w:tabs>
          <w:tab w:val="right" w:leader="dot" w:pos="9350"/>
        </w:tabs>
        <w:spacing w:before="120" w:after="120"/>
        <w:rPr>
          <w:noProof/>
        </w:rPr>
      </w:pPr>
      <w:r>
        <w:rPr>
          <w:noProof/>
        </w:rPr>
        <w:t>CONCLUSION</w:t>
      </w:r>
      <w:r>
        <w:rPr>
          <w:noProof/>
        </w:rPr>
        <w:tab/>
      </w:r>
      <w:r>
        <w:rPr>
          <w:noProof/>
        </w:rPr>
        <w:fldChar w:fldCharType="begin"/>
      </w:r>
      <w:r>
        <w:rPr>
          <w:noProof/>
        </w:rPr>
        <w:instrText xml:space="preserve"> PAGEREF _Toc101944982 \h </w:instrText>
      </w:r>
      <w:r>
        <w:rPr>
          <w:noProof/>
        </w:rPr>
      </w:r>
      <w:r>
        <w:rPr>
          <w:noProof/>
        </w:rPr>
        <w:fldChar w:fldCharType="separate"/>
      </w:r>
      <w:r>
        <w:rPr>
          <w:noProof/>
        </w:rPr>
        <w:t>15</w:t>
      </w:r>
      <w:r>
        <w:rPr>
          <w:noProof/>
        </w:rPr>
        <w:fldChar w:fldCharType="end"/>
      </w:r>
    </w:p>
    <w:p w:rsidRPr="00260052" w:rsidR="00260052" w:rsidP="00E96310" w:rsidRDefault="00CE76D8" w14:paraId="491FC127" w14:textId="7CFC6F12">
      <w:pPr>
        <w:widowControl w:val="0"/>
        <w:spacing w:before="120" w:after="120" w:line="480" w:lineRule="auto"/>
        <w:rPr>
          <w:szCs w:val="24"/>
        </w:rPr>
      </w:pPr>
      <w:r>
        <w:rPr>
          <w:szCs w:val="24"/>
        </w:rPr>
        <w:fldChar w:fldCharType="end"/>
      </w:r>
      <w:bookmarkEnd w:id="3"/>
    </w:p>
    <w:p w:rsidRPr="00260052" w:rsidR="00260052" w:rsidP="00260052" w:rsidRDefault="00260052" w14:paraId="4943F656" w14:textId="77777777">
      <w:pPr>
        <w:widowControl w:val="0"/>
        <w:spacing w:line="480" w:lineRule="auto"/>
        <w:rPr>
          <w:szCs w:val="24"/>
        </w:rPr>
      </w:pPr>
    </w:p>
    <w:p w:rsidR="00260052" w:rsidP="00260052" w:rsidRDefault="00260052" w14:paraId="413F1DAE" w14:textId="356D9D9A">
      <w:pPr>
        <w:widowControl w:val="0"/>
        <w:spacing w:line="480" w:lineRule="auto"/>
        <w:rPr>
          <w:b/>
          <w:bCs/>
          <w:szCs w:val="24"/>
          <w:u w:val="single"/>
        </w:rPr>
        <w:sectPr w:rsidR="00260052" w:rsidSect="00EF79F8">
          <w:footerReference w:type="first" r:id="rId14"/>
          <w:pgSz w:w="12240" w:h="15840"/>
          <w:pgMar w:top="1440" w:right="1440" w:bottom="1440" w:left="1440" w:header="720" w:footer="720" w:gutter="0"/>
          <w:pgNumType w:fmt="lowerRoman" w:start="1"/>
          <w:cols w:space="720"/>
          <w:titlePg/>
          <w:docGrid w:linePitch="360"/>
        </w:sectPr>
      </w:pPr>
    </w:p>
    <w:p w:rsidR="003E75EA" w:rsidP="003E75EA" w:rsidRDefault="003E75EA" w14:paraId="7F8A8AC7" w14:textId="77777777">
      <w:pPr>
        <w:pStyle w:val="BATOATitle"/>
        <w:spacing w:before="240"/>
        <w:rPr>
          <w:noProof/>
        </w:rPr>
      </w:pPr>
      <w:bookmarkStart w:name="_BA_Bookmark_BuildOutput" w:id="4"/>
      <w:bookmarkStart w:name="_BA_ScanRange_TOCTOA_Skip_E43650_000001" w:id="5"/>
      <w:r>
        <w:rPr>
          <w:noProof/>
        </w:rPr>
        <w:lastRenderedPageBreak/>
        <w:t>Table of Authorities</w:t>
      </w:r>
    </w:p>
    <w:p w:rsidR="003E75EA" w:rsidP="003E75EA" w:rsidRDefault="003E75EA" w14:paraId="00FAE570" w14:textId="77777777">
      <w:pPr>
        <w:pStyle w:val="BATOAPageHeading"/>
        <w:rPr>
          <w:noProof/>
        </w:rPr>
      </w:pPr>
      <w:r>
        <w:rPr>
          <w:noProof/>
        </w:rPr>
        <w:tab/>
        <w:t>Page(s)</w:t>
      </w:r>
    </w:p>
    <w:p w:rsidR="003E75EA" w:rsidP="003E75EA" w:rsidRDefault="003E75EA" w14:paraId="3440B7F4" w14:textId="77A1446B">
      <w:pPr>
        <w:pStyle w:val="BATOAHeading"/>
        <w:rPr>
          <w:noProof/>
        </w:rPr>
      </w:pPr>
      <w:r>
        <w:rPr>
          <w:noProof/>
        </w:rPr>
        <w:t>Cases</w:t>
      </w:r>
    </w:p>
    <w:p w:rsidR="003E75EA" w:rsidP="003E75EA" w:rsidRDefault="003E75EA" w14:paraId="31DDE34F" w14:textId="77777777">
      <w:pPr>
        <w:pStyle w:val="BATOAEntry"/>
        <w:tabs>
          <w:tab w:val="left" w:pos="10080"/>
          <w:tab w:val="left" w:pos="10800"/>
          <w:tab w:val="left" w:pos="11520"/>
          <w:tab w:val="left" w:pos="12240"/>
        </w:tabs>
        <w:rPr>
          <w:noProof/>
        </w:rPr>
      </w:pPr>
      <w:r>
        <w:rPr>
          <w:i/>
          <w:iCs/>
          <w:noProof/>
        </w:rPr>
        <w:t>United States v. Booker</w:t>
      </w:r>
      <w:r>
        <w:rPr>
          <w:noProof/>
        </w:rPr>
        <w:t>,</w:t>
      </w:r>
      <w:r>
        <w:rPr>
          <w:noProof/>
        </w:rPr>
        <w:br/>
        <w:t>644 F.3d 12 (1st Cir. 2011)</w:t>
      </w:r>
      <w:r>
        <w:rPr>
          <w:noProof/>
        </w:rPr>
        <w:tab/>
      </w:r>
      <w:hyperlink w:tooltip="United States v. Booker" w:history="1" w:anchor="_BA_Cite_E43650_000182">
        <w:r>
          <w:rPr>
            <w:noProof/>
          </w:rPr>
          <w:t>5</w:t>
        </w:r>
      </w:hyperlink>
    </w:p>
    <w:p w:rsidR="003E75EA" w:rsidP="003E75EA" w:rsidRDefault="003E75EA" w14:paraId="52BF3757" w14:textId="77777777">
      <w:pPr>
        <w:pStyle w:val="BATOAHeading"/>
        <w:rPr>
          <w:noProof/>
        </w:rPr>
      </w:pPr>
      <w:r>
        <w:rPr>
          <w:noProof/>
        </w:rPr>
        <w:t>Federal Statutes</w:t>
      </w:r>
    </w:p>
    <w:p w:rsidR="003E75EA" w:rsidP="003E07F6" w:rsidRDefault="003E75EA" w14:paraId="2F3A59C1" w14:textId="631BE7EC">
      <w:pPr>
        <w:pStyle w:val="BATOAEntry"/>
        <w:tabs>
          <w:tab w:val="left" w:pos="10080"/>
          <w:tab w:val="left" w:pos="10800"/>
          <w:tab w:val="left" w:pos="11520"/>
          <w:tab w:val="left" w:pos="12240"/>
        </w:tabs>
        <w:rPr>
          <w:noProof/>
        </w:rPr>
      </w:pPr>
      <w:r>
        <w:rPr>
          <w:noProof/>
        </w:rPr>
        <w:t>8 U.S.C.</w:t>
      </w:r>
      <w:r>
        <w:rPr>
          <w:noProof/>
        </w:rPr>
        <w:br/>
        <w:t>§§ 1101(a)(15)(T)–1101(a)(15)(U)</w:t>
      </w:r>
      <w:r>
        <w:rPr>
          <w:noProof/>
        </w:rPr>
        <w:tab/>
      </w:r>
      <w:hyperlink w:tooltip="Long: 8 U.S.C. §§ 1101(a)(15)(T)–1101(a)(15)(U)" w:history="1" w:anchor="_BA_Cite_E43650_000059">
        <w:r>
          <w:rPr>
            <w:noProof/>
          </w:rPr>
          <w:t>11</w:t>
        </w:r>
      </w:hyperlink>
      <w:r>
        <w:rPr>
          <w:noProof/>
        </w:rPr>
        <w:br/>
        <w:t>§ 1101(a)(15)(U)(iii)</w:t>
      </w:r>
      <w:r>
        <w:rPr>
          <w:noProof/>
        </w:rPr>
        <w:tab/>
      </w:r>
      <w:hyperlink w:tooltip="Long: 8 U.S.C. § 1101(a)(15)(U)(iii)" w:history="1" w:anchor="_BA_Cite_E43650_000061">
        <w:r>
          <w:rPr>
            <w:noProof/>
          </w:rPr>
          <w:t>11</w:t>
        </w:r>
      </w:hyperlink>
      <w:r>
        <w:rPr>
          <w:noProof/>
        </w:rPr>
        <w:br/>
        <w:t>§§ 1154(a)(1)(A)(ii), 1154(a)(1)(B)(ii)</w:t>
      </w:r>
      <w:r>
        <w:rPr>
          <w:noProof/>
        </w:rPr>
        <w:tab/>
      </w:r>
      <w:hyperlink w:tooltip="Long: 8 U.S.C. §§ 1154(a)(1)(A)(ii), 1154(a)(1)(B)(ii)" w:history="1" w:anchor="_BA_Cite_E43650_000055">
        <w:r>
          <w:rPr>
            <w:noProof/>
          </w:rPr>
          <w:t>11</w:t>
        </w:r>
      </w:hyperlink>
      <w:r>
        <w:rPr>
          <w:noProof/>
        </w:rPr>
        <w:br/>
        <w:t>§ 1186a(c)(4)</w:t>
      </w:r>
      <w:r>
        <w:rPr>
          <w:noProof/>
        </w:rPr>
        <w:tab/>
      </w:r>
      <w:hyperlink w:tooltip="Long: 8 U.S.C. § 1186a(c)(4) (the 'Immigration Act')" w:history="1" w:anchor="_BA_Cite_E43650_000045">
        <w:r>
          <w:rPr>
            <w:noProof/>
          </w:rPr>
          <w:t>9</w:t>
        </w:r>
      </w:hyperlink>
      <w:r>
        <w:rPr>
          <w:noProof/>
        </w:rPr>
        <w:t xml:space="preserve">, </w:t>
      </w:r>
      <w:hyperlink w:tooltip="Immigration Act. 8 U.S.C. § 1186a(c)(4)" w:history="1" w:anchor="_BA_Cite_E43650_000049">
        <w:r>
          <w:rPr>
            <w:noProof/>
          </w:rPr>
          <w:t>10</w:t>
        </w:r>
      </w:hyperlink>
      <w:r>
        <w:rPr>
          <w:noProof/>
        </w:rPr>
        <w:br/>
        <w:t>§§ 1227(a)(2), 1182(a)(2)</w:t>
      </w:r>
      <w:r>
        <w:rPr>
          <w:noProof/>
        </w:rPr>
        <w:tab/>
      </w:r>
      <w:hyperlink w:tooltip="Long: 8 U.S.C. §§ 1227(a)(2), 1182(a)(2)" w:history="1" w:anchor="_BA_Cite_E43650_000039">
        <w:r>
          <w:rPr>
            <w:noProof/>
          </w:rPr>
          <w:t>5</w:t>
        </w:r>
      </w:hyperlink>
    </w:p>
    <w:p w:rsidR="003E75EA" w:rsidP="003E75EA" w:rsidRDefault="003E75EA" w14:paraId="6C920ED0" w14:textId="5C0704E9">
      <w:pPr>
        <w:pStyle w:val="BATOAEntry"/>
        <w:tabs>
          <w:tab w:val="left" w:pos="10080"/>
          <w:tab w:val="left" w:pos="10800"/>
          <w:tab w:val="left" w:pos="11520"/>
          <w:tab w:val="left" w:pos="12240"/>
        </w:tabs>
        <w:rPr>
          <w:noProof/>
        </w:rPr>
      </w:pPr>
      <w:r>
        <w:rPr>
          <w:noProof/>
        </w:rPr>
        <w:t>Immigration Act of 1990</w:t>
      </w:r>
      <w:r w:rsidR="005C77CC">
        <w:rPr>
          <w:noProof/>
        </w:rPr>
        <w:t>,</w:t>
      </w:r>
      <w:r>
        <w:rPr>
          <w:noProof/>
        </w:rPr>
        <w:t xml:space="preserve"> Pub. L. No. 101-649, 104 Stat. 4978</w:t>
      </w:r>
      <w:r>
        <w:rPr>
          <w:noProof/>
        </w:rPr>
        <w:tab/>
      </w:r>
      <w:hyperlink w:tooltip="Long: Immigration Act of 1990 Pub. L. No. 101-649, 104 Stat. 497…" w:history="1" w:anchor="_BA_Cite_E43650_000025">
        <w:r>
          <w:rPr>
            <w:noProof/>
          </w:rPr>
          <w:t>9</w:t>
        </w:r>
      </w:hyperlink>
      <w:r w:rsidR="00293C9D">
        <w:rPr>
          <w:noProof/>
        </w:rPr>
        <w:t>, 10</w:t>
      </w:r>
    </w:p>
    <w:p w:rsidR="003E75EA" w:rsidP="003E75EA" w:rsidRDefault="003E75EA" w14:paraId="3A4F2944" w14:textId="409D36CE">
      <w:pPr>
        <w:pStyle w:val="BATOAEntry"/>
        <w:tabs>
          <w:tab w:val="left" w:pos="10080"/>
          <w:tab w:val="left" w:pos="10800"/>
          <w:tab w:val="left" w:pos="11520"/>
          <w:tab w:val="left" w:pos="12240"/>
        </w:tabs>
        <w:rPr>
          <w:noProof/>
        </w:rPr>
      </w:pPr>
      <w:r>
        <w:rPr>
          <w:noProof/>
        </w:rPr>
        <w:t>Immigration and Nationality Act</w:t>
      </w:r>
      <w:r>
        <w:rPr>
          <w:noProof/>
        </w:rPr>
        <w:tab/>
      </w:r>
      <w:hyperlink w:tooltip="Long: INA" w:history="1" w:anchor="_BA_Cite_E43650_000035">
        <w:r>
          <w:rPr>
            <w:noProof/>
          </w:rPr>
          <w:t>1</w:t>
        </w:r>
      </w:hyperlink>
    </w:p>
    <w:p w:rsidR="003E75EA" w:rsidP="003E75EA" w:rsidRDefault="003E75EA" w14:paraId="09EED82B" w14:textId="77777777">
      <w:pPr>
        <w:pStyle w:val="BATOAEntry"/>
        <w:tabs>
          <w:tab w:val="left" w:pos="10080"/>
          <w:tab w:val="left" w:pos="10800"/>
          <w:tab w:val="left" w:pos="11520"/>
          <w:tab w:val="left" w:pos="12240"/>
        </w:tabs>
        <w:rPr>
          <w:noProof/>
        </w:rPr>
      </w:pPr>
      <w:r>
        <w:rPr>
          <w:noProof/>
        </w:rPr>
        <w:t>Pub. L. 106–386, div. B, Title V</w:t>
      </w:r>
      <w:r>
        <w:rPr>
          <w:noProof/>
        </w:rPr>
        <w:br/>
        <w:t>§ 1506(c)(2), Oct. 28, 2000, 114 Stat. 1528</w:t>
      </w:r>
      <w:r>
        <w:rPr>
          <w:noProof/>
        </w:rPr>
        <w:tab/>
      </w:r>
      <w:hyperlink w:tooltip="Long: Pub. L. 106–386, div. B, tit. V, § 1506(c)(2), Oct. 28, 20…" w:history="1" w:anchor="_BA_Cite_E43650_000069">
        <w:r>
          <w:rPr>
            <w:noProof/>
          </w:rPr>
          <w:t>12</w:t>
        </w:r>
      </w:hyperlink>
    </w:p>
    <w:p w:rsidR="003E75EA" w:rsidP="003E75EA" w:rsidRDefault="003E75EA" w14:paraId="2AE7A185" w14:textId="77777777">
      <w:pPr>
        <w:pStyle w:val="BATOAEntry"/>
        <w:tabs>
          <w:tab w:val="left" w:pos="10080"/>
          <w:tab w:val="left" w:pos="10800"/>
          <w:tab w:val="left" w:pos="11520"/>
          <w:tab w:val="left" w:pos="12240"/>
        </w:tabs>
        <w:rPr>
          <w:noProof/>
        </w:rPr>
      </w:pPr>
      <w:r>
        <w:rPr>
          <w:noProof/>
        </w:rPr>
        <w:t>Pub. L. 109–162, Title VIII</w:t>
      </w:r>
      <w:r>
        <w:rPr>
          <w:noProof/>
        </w:rPr>
        <w:br/>
        <w:t>§§ 814(a), 825(b), Jan. 5, 2006, 119 Stat. 3058, 3064</w:t>
      </w:r>
      <w:r>
        <w:rPr>
          <w:noProof/>
        </w:rPr>
        <w:tab/>
      </w:r>
      <w:hyperlink w:tooltip="Long: Pub. L. 109–162, title VIII, §§814(a), 825(b), Jan. 5, 200…" w:history="1" w:anchor="_BA_Cite_E43650_000071">
        <w:r>
          <w:rPr>
            <w:noProof/>
          </w:rPr>
          <w:t>12</w:t>
        </w:r>
      </w:hyperlink>
    </w:p>
    <w:p w:rsidR="003E75EA" w:rsidP="003E75EA" w:rsidRDefault="003E75EA" w14:paraId="09A0510E" w14:textId="77777777">
      <w:pPr>
        <w:pStyle w:val="BATOAEntry"/>
        <w:tabs>
          <w:tab w:val="left" w:pos="10080"/>
          <w:tab w:val="left" w:pos="10800"/>
          <w:tab w:val="left" w:pos="11520"/>
          <w:tab w:val="left" w:pos="12240"/>
        </w:tabs>
        <w:rPr>
          <w:noProof/>
        </w:rPr>
      </w:pPr>
      <w:r>
        <w:rPr>
          <w:noProof/>
        </w:rPr>
        <w:t>Victims of Trafficking and Violence Prevention Act of 2000, Pub. L. No. 106–386, 114 Stat. 1464–1548 (Oct. 28, 2000)</w:t>
      </w:r>
      <w:r>
        <w:rPr>
          <w:noProof/>
        </w:rPr>
        <w:tab/>
      </w:r>
      <w:hyperlink w:tooltip="Long: Victims of Trafficking and Violence Prevention Act of 2000…" w:history="1" w:anchor="_BA_Cite_E43650_000027">
        <w:r>
          <w:rPr>
            <w:noProof/>
          </w:rPr>
          <w:t>9</w:t>
        </w:r>
      </w:hyperlink>
      <w:r>
        <w:rPr>
          <w:noProof/>
        </w:rPr>
        <w:t xml:space="preserve">, </w:t>
      </w:r>
      <w:hyperlink w:tooltip="Victims of Trafficking and Violence Prevention Act of 2000, Pub.…" w:history="1" w:anchor="_BA_Cite_E43650_000029">
        <w:r>
          <w:rPr>
            <w:noProof/>
          </w:rPr>
          <w:t>11</w:t>
        </w:r>
      </w:hyperlink>
    </w:p>
    <w:p w:rsidR="003E75EA" w:rsidP="003E75EA" w:rsidRDefault="003E75EA" w14:paraId="665241E0" w14:textId="14543856">
      <w:pPr>
        <w:pStyle w:val="BATOAEntry"/>
        <w:tabs>
          <w:tab w:val="left" w:pos="10080"/>
          <w:tab w:val="left" w:pos="10800"/>
          <w:tab w:val="left" w:pos="11520"/>
          <w:tab w:val="left" w:pos="12240"/>
        </w:tabs>
        <w:rPr>
          <w:noProof/>
        </w:rPr>
      </w:pPr>
      <w:r>
        <w:rPr>
          <w:noProof/>
        </w:rPr>
        <w:t>Violence Against Women Act of 1994</w:t>
      </w:r>
      <w:r w:rsidR="005C77CC">
        <w:rPr>
          <w:noProof/>
        </w:rPr>
        <w:t>,</w:t>
      </w:r>
      <w:r>
        <w:rPr>
          <w:noProof/>
        </w:rPr>
        <w:t xml:space="preserve"> Pub. L. No. 103-322, Title IV, 108 Stat. 1902 (Sept. 13, 1994)</w:t>
      </w:r>
      <w:r>
        <w:rPr>
          <w:noProof/>
        </w:rPr>
        <w:tab/>
      </w:r>
      <w:hyperlink w:tooltip="Long: Violence Against Women Act of 1994 Pub. L. No. 103-322, ti…" w:history="1" w:anchor="_BA_Cite_E43650_000033">
        <w:r>
          <w:rPr>
            <w:noProof/>
          </w:rPr>
          <w:t>9</w:t>
        </w:r>
      </w:hyperlink>
      <w:r w:rsidR="00293C9D">
        <w:rPr>
          <w:noProof/>
        </w:rPr>
        <w:t>, 10, 11, 12</w:t>
      </w:r>
    </w:p>
    <w:p w:rsidR="003E75EA" w:rsidP="003E75EA" w:rsidRDefault="003E75EA" w14:paraId="7CB62CA0" w14:textId="77777777">
      <w:pPr>
        <w:pStyle w:val="BATOAEntry"/>
        <w:tabs>
          <w:tab w:val="left" w:pos="10080"/>
          <w:tab w:val="left" w:pos="10800"/>
          <w:tab w:val="left" w:pos="11520"/>
          <w:tab w:val="left" w:pos="12240"/>
        </w:tabs>
        <w:rPr>
          <w:noProof/>
        </w:rPr>
      </w:pPr>
      <w:r>
        <w:rPr>
          <w:noProof/>
        </w:rPr>
        <w:t>Violence Against Women Reauthorization Act of 2013, Pub. L. No. 113-4, 127 Stat. 54</w:t>
      </w:r>
      <w:r>
        <w:rPr>
          <w:noProof/>
        </w:rPr>
        <w:tab/>
      </w:r>
      <w:hyperlink w:tooltip="Long: Violence Against Women Reauthorization Act of 2013, Pub. L…" w:history="1" w:anchor="_BA_Cite_E43650_000031">
        <w:r>
          <w:rPr>
            <w:noProof/>
          </w:rPr>
          <w:t>12</w:t>
        </w:r>
      </w:hyperlink>
    </w:p>
    <w:p w:rsidR="003E75EA" w:rsidP="003E75EA" w:rsidRDefault="003E75EA" w14:paraId="185B9F4C" w14:textId="34B719AA">
      <w:pPr>
        <w:pStyle w:val="BATOAHeading"/>
        <w:rPr>
          <w:noProof/>
        </w:rPr>
      </w:pPr>
      <w:r>
        <w:rPr>
          <w:noProof/>
        </w:rPr>
        <w:t>State Statutes</w:t>
      </w:r>
    </w:p>
    <w:p w:rsidR="003E75EA" w:rsidP="003E75EA" w:rsidRDefault="003E75EA" w14:paraId="0DFAE1CE" w14:textId="77777777">
      <w:pPr>
        <w:pStyle w:val="BATOAEntry"/>
        <w:tabs>
          <w:tab w:val="left" w:pos="10080"/>
          <w:tab w:val="left" w:pos="10800"/>
          <w:tab w:val="left" w:pos="11520"/>
          <w:tab w:val="left" w:pos="12240"/>
        </w:tabs>
        <w:rPr>
          <w:noProof/>
        </w:rPr>
      </w:pPr>
      <w:r>
        <w:rPr>
          <w:noProof/>
        </w:rPr>
        <w:t>730 I.L.C.S. 5/5-5-3.1 (2020)</w:t>
      </w:r>
      <w:r>
        <w:rPr>
          <w:noProof/>
        </w:rPr>
        <w:tab/>
      </w:r>
      <w:hyperlink w:tooltip="Long: 730 I.L.C.S. 5/5-5-3.1 (2020)" w:history="1" w:anchor="_BA_Cite_E43650_000143">
        <w:r>
          <w:rPr>
            <w:noProof/>
          </w:rPr>
          <w:t>14</w:t>
        </w:r>
      </w:hyperlink>
    </w:p>
    <w:p w:rsidR="003E75EA" w:rsidP="003E75EA" w:rsidRDefault="003E75EA" w14:paraId="6CB56257" w14:textId="77777777">
      <w:pPr>
        <w:pStyle w:val="BATOAEntry"/>
        <w:tabs>
          <w:tab w:val="left" w:pos="10080"/>
          <w:tab w:val="left" w:pos="10800"/>
          <w:tab w:val="left" w:pos="11520"/>
          <w:tab w:val="left" w:pos="12240"/>
        </w:tabs>
        <w:rPr>
          <w:noProof/>
        </w:rPr>
      </w:pPr>
      <w:r>
        <w:rPr>
          <w:noProof/>
        </w:rPr>
        <w:t>735 I.L.C.S. 5/2-1401 (2020)</w:t>
      </w:r>
      <w:r>
        <w:rPr>
          <w:noProof/>
        </w:rPr>
        <w:tab/>
      </w:r>
      <w:hyperlink w:tooltip="Long: 735 I.L.C.S. 5/2-1401 (2020)" w:history="1" w:anchor="_BA_Cite_E43650_000145">
        <w:r>
          <w:rPr>
            <w:noProof/>
          </w:rPr>
          <w:t>14</w:t>
        </w:r>
      </w:hyperlink>
    </w:p>
    <w:p w:rsidR="003E75EA" w:rsidP="003E75EA" w:rsidRDefault="003E75EA" w14:paraId="058AA0E4" w14:textId="77777777">
      <w:pPr>
        <w:pStyle w:val="BATOAEntry"/>
        <w:tabs>
          <w:tab w:val="left" w:pos="10080"/>
          <w:tab w:val="left" w:pos="10800"/>
          <w:tab w:val="left" w:pos="11520"/>
          <w:tab w:val="left" w:pos="12240"/>
        </w:tabs>
        <w:rPr>
          <w:noProof/>
        </w:rPr>
      </w:pPr>
      <w:r>
        <w:rPr>
          <w:noProof/>
        </w:rPr>
        <w:t>18 PA. Cons. Stat.</w:t>
      </w:r>
      <w:r>
        <w:rPr>
          <w:noProof/>
        </w:rPr>
        <w:br/>
        <w:t>§ 3019</w:t>
      </w:r>
      <w:r>
        <w:rPr>
          <w:noProof/>
        </w:rPr>
        <w:tab/>
      </w:r>
      <w:hyperlink w:tooltip="Long: 18 PA. Cons. Stat. § 3019" w:history="1" w:anchor="_BA_Cite_E43650_000121">
        <w:r>
          <w:rPr>
            <w:noProof/>
          </w:rPr>
          <w:t>14</w:t>
        </w:r>
      </w:hyperlink>
    </w:p>
    <w:p w:rsidR="003E75EA" w:rsidP="003E75EA" w:rsidRDefault="003E75EA" w14:paraId="324AF2EA" w14:textId="464FB895">
      <w:pPr>
        <w:pStyle w:val="BATOAEntry"/>
        <w:tabs>
          <w:tab w:val="left" w:pos="10080"/>
          <w:tab w:val="left" w:pos="10800"/>
          <w:tab w:val="left" w:pos="11520"/>
          <w:tab w:val="left" w:pos="12240"/>
        </w:tabs>
        <w:rPr>
          <w:noProof/>
        </w:rPr>
      </w:pPr>
      <w:r>
        <w:rPr>
          <w:noProof/>
        </w:rPr>
        <w:t>Ariz. Rev. Stat. Ann.</w:t>
      </w:r>
      <w:r>
        <w:rPr>
          <w:noProof/>
        </w:rPr>
        <w:br/>
        <w:t>§ 13-909</w:t>
      </w:r>
      <w:r>
        <w:rPr>
          <w:noProof/>
        </w:rPr>
        <w:tab/>
      </w:r>
      <w:hyperlink w:tooltip="Long: Ariz. Rev. Stat. Ann. § 13-909" w:history="1" w:anchor="_BA_Cite_E43650_000079">
        <w:r>
          <w:rPr>
            <w:noProof/>
          </w:rPr>
          <w:t>14</w:t>
        </w:r>
      </w:hyperlink>
    </w:p>
    <w:p w:rsidR="00FF3B07" w:rsidP="00FF3B07" w:rsidRDefault="00FF3B07" w14:paraId="0F9291A8" w14:textId="77777777">
      <w:pPr>
        <w:pStyle w:val="BATOAEntry"/>
        <w:tabs>
          <w:tab w:val="left" w:pos="10080"/>
          <w:tab w:val="left" w:pos="10800"/>
          <w:tab w:val="left" w:pos="11520"/>
          <w:tab w:val="left" w:pos="12240"/>
        </w:tabs>
        <w:rPr>
          <w:noProof/>
        </w:rPr>
      </w:pPr>
      <w:r>
        <w:rPr>
          <w:noProof/>
        </w:rPr>
        <w:lastRenderedPageBreak/>
        <w:t>Cal. Penal Code</w:t>
      </w:r>
      <w:r>
        <w:rPr>
          <w:noProof/>
        </w:rPr>
        <w:br/>
        <w:t>§ 236.14</w:t>
      </w:r>
      <w:r>
        <w:rPr>
          <w:noProof/>
        </w:rPr>
        <w:tab/>
      </w:r>
      <w:hyperlink w:tooltip="Long: Cal. Penal Code § 236.14" w:history="1" w:anchor="_BA_Cite_E43650_000081">
        <w:r>
          <w:rPr>
            <w:noProof/>
          </w:rPr>
          <w:t>14</w:t>
        </w:r>
      </w:hyperlink>
      <w:r>
        <w:rPr>
          <w:noProof/>
        </w:rPr>
        <w:br/>
        <w:t>§ 4801(a) (2021)</w:t>
      </w:r>
      <w:r>
        <w:rPr>
          <w:noProof/>
        </w:rPr>
        <w:tab/>
      </w:r>
      <w:hyperlink w:tooltip="Long: Cal. Penal Code § 4801(a) (2021)" w:history="1" w:anchor="_BA_Cite_E43650_000141">
        <w:r>
          <w:rPr>
            <w:noProof/>
          </w:rPr>
          <w:t>14</w:t>
        </w:r>
      </w:hyperlink>
    </w:p>
    <w:p w:rsidR="003E75EA" w:rsidP="003E75EA" w:rsidRDefault="003E75EA" w14:paraId="0055DBAB" w14:textId="77777777">
      <w:pPr>
        <w:pStyle w:val="BATOAEntry"/>
        <w:tabs>
          <w:tab w:val="left" w:pos="10080"/>
          <w:tab w:val="left" w:pos="10800"/>
          <w:tab w:val="left" w:pos="11520"/>
          <w:tab w:val="left" w:pos="12240"/>
        </w:tabs>
        <w:rPr>
          <w:noProof/>
        </w:rPr>
      </w:pPr>
      <w:r>
        <w:rPr>
          <w:noProof/>
        </w:rPr>
        <w:t>Conn. Gen. Stat. Ann.</w:t>
      </w:r>
      <w:r>
        <w:rPr>
          <w:noProof/>
        </w:rPr>
        <w:br/>
        <w:t>§ 54-95c</w:t>
      </w:r>
      <w:r>
        <w:rPr>
          <w:noProof/>
        </w:rPr>
        <w:tab/>
      </w:r>
      <w:hyperlink w:tooltip="Long: Conn. Gen. Stat. Ann. § 54-95c" w:history="1" w:anchor="_BA_Cite_E43650_000083">
        <w:r>
          <w:rPr>
            <w:noProof/>
          </w:rPr>
          <w:t>14</w:t>
        </w:r>
      </w:hyperlink>
    </w:p>
    <w:p w:rsidR="003E75EA" w:rsidP="003E75EA" w:rsidRDefault="003E75EA" w14:paraId="78D8EEBB" w14:textId="77777777">
      <w:pPr>
        <w:pStyle w:val="BATOAEntry"/>
        <w:tabs>
          <w:tab w:val="left" w:pos="10080"/>
          <w:tab w:val="left" w:pos="10800"/>
          <w:tab w:val="left" w:pos="11520"/>
          <w:tab w:val="left" w:pos="12240"/>
        </w:tabs>
        <w:rPr>
          <w:noProof/>
        </w:rPr>
      </w:pPr>
      <w:r>
        <w:rPr>
          <w:noProof/>
        </w:rPr>
        <w:t>Del. Code Ann. Title 11</w:t>
      </w:r>
      <w:r>
        <w:rPr>
          <w:noProof/>
        </w:rPr>
        <w:br/>
        <w:t>§ 787</w:t>
      </w:r>
      <w:r>
        <w:rPr>
          <w:noProof/>
        </w:rPr>
        <w:tab/>
      </w:r>
      <w:hyperlink w:tooltip="Long: Del. Code Ann. tit. 11, § 787" w:history="1" w:anchor="_BA_Cite_E43650_000085">
        <w:r>
          <w:rPr>
            <w:noProof/>
          </w:rPr>
          <w:t>14</w:t>
        </w:r>
      </w:hyperlink>
    </w:p>
    <w:p w:rsidR="003E75EA" w:rsidP="003E75EA" w:rsidRDefault="003E75EA" w14:paraId="354B844E" w14:textId="77777777">
      <w:pPr>
        <w:pStyle w:val="BATOAEntry"/>
        <w:tabs>
          <w:tab w:val="left" w:pos="10080"/>
          <w:tab w:val="left" w:pos="10800"/>
          <w:tab w:val="left" w:pos="11520"/>
          <w:tab w:val="left" w:pos="12240"/>
        </w:tabs>
        <w:rPr>
          <w:noProof/>
        </w:rPr>
      </w:pPr>
      <w:r>
        <w:rPr>
          <w:noProof/>
        </w:rPr>
        <w:t>Fla. Stat. Ann.</w:t>
      </w:r>
      <w:r>
        <w:rPr>
          <w:noProof/>
        </w:rPr>
        <w:br/>
        <w:t>§ 943.0583</w:t>
      </w:r>
      <w:r>
        <w:rPr>
          <w:noProof/>
        </w:rPr>
        <w:tab/>
      </w:r>
      <w:hyperlink w:tooltip="Long: Fla. Stat. Ann. § 943.0583" w:history="1" w:anchor="_BA_Cite_E43650_000087">
        <w:r>
          <w:rPr>
            <w:noProof/>
          </w:rPr>
          <w:t>14</w:t>
        </w:r>
      </w:hyperlink>
    </w:p>
    <w:p w:rsidR="003E75EA" w:rsidP="003E75EA" w:rsidRDefault="003E75EA" w14:paraId="2D1F7CAE" w14:textId="77777777">
      <w:pPr>
        <w:pStyle w:val="BATOAEntry"/>
        <w:tabs>
          <w:tab w:val="left" w:pos="10080"/>
          <w:tab w:val="left" w:pos="10800"/>
          <w:tab w:val="left" w:pos="11520"/>
          <w:tab w:val="left" w:pos="12240"/>
        </w:tabs>
        <w:rPr>
          <w:noProof/>
        </w:rPr>
      </w:pPr>
      <w:r>
        <w:rPr>
          <w:noProof/>
        </w:rPr>
        <w:t>Georgia (O.C.G.A.</w:t>
      </w:r>
      <w:r>
        <w:rPr>
          <w:noProof/>
        </w:rPr>
        <w:br/>
        <w:t>§ 15-11-32)</w:t>
      </w:r>
      <w:r>
        <w:rPr>
          <w:noProof/>
        </w:rPr>
        <w:tab/>
      </w:r>
      <w:hyperlink w:tooltip="Long: Georgia (O.C.G.A. § 15-11-32)" w:history="1" w:anchor="_BA_Cite_E43650_000254">
        <w:r>
          <w:rPr>
            <w:noProof/>
          </w:rPr>
          <w:t>14</w:t>
        </w:r>
      </w:hyperlink>
    </w:p>
    <w:p w:rsidR="003E75EA" w:rsidP="003E75EA" w:rsidRDefault="003E75EA" w14:paraId="2BFED89C" w14:textId="77777777">
      <w:pPr>
        <w:pStyle w:val="BATOAEntry"/>
        <w:tabs>
          <w:tab w:val="left" w:pos="10080"/>
          <w:tab w:val="left" w:pos="10800"/>
          <w:tab w:val="left" w:pos="11520"/>
          <w:tab w:val="left" w:pos="12240"/>
        </w:tabs>
        <w:rPr>
          <w:noProof/>
        </w:rPr>
      </w:pPr>
      <w:r>
        <w:rPr>
          <w:noProof/>
        </w:rPr>
        <w:t>Hawaii (HRS</w:t>
      </w:r>
      <w:r>
        <w:rPr>
          <w:noProof/>
        </w:rPr>
        <w:br/>
        <w:t>§ 712-1209.6)</w:t>
      </w:r>
      <w:r>
        <w:rPr>
          <w:noProof/>
        </w:rPr>
        <w:tab/>
      </w:r>
      <w:hyperlink w:tooltip="Long: Hawaii (HRS § 712-1209.6)" w:history="1" w:anchor="_BA_Cite_E43650_000256">
        <w:r>
          <w:rPr>
            <w:noProof/>
          </w:rPr>
          <w:t>14</w:t>
        </w:r>
      </w:hyperlink>
    </w:p>
    <w:p w:rsidR="003E75EA" w:rsidP="003E75EA" w:rsidRDefault="003E75EA" w14:paraId="6AC89164" w14:textId="77777777">
      <w:pPr>
        <w:pStyle w:val="BATOAEntry"/>
        <w:tabs>
          <w:tab w:val="left" w:pos="10080"/>
          <w:tab w:val="left" w:pos="10800"/>
          <w:tab w:val="left" w:pos="11520"/>
          <w:tab w:val="left" w:pos="12240"/>
        </w:tabs>
        <w:rPr>
          <w:noProof/>
        </w:rPr>
      </w:pPr>
      <w:r>
        <w:rPr>
          <w:noProof/>
        </w:rPr>
        <w:t>Idaho (Idaho Code Ann.</w:t>
      </w:r>
      <w:r>
        <w:rPr>
          <w:noProof/>
        </w:rPr>
        <w:br/>
        <w:t>§ 67-3014)</w:t>
      </w:r>
      <w:r>
        <w:rPr>
          <w:noProof/>
        </w:rPr>
        <w:tab/>
      </w:r>
      <w:hyperlink w:tooltip="Long: Idaho (Idaho Code Ann. § 67-3014)" w:history="1" w:anchor="_BA_Cite_E43650_000258">
        <w:r>
          <w:rPr>
            <w:noProof/>
          </w:rPr>
          <w:t>14</w:t>
        </w:r>
      </w:hyperlink>
    </w:p>
    <w:p w:rsidR="003E75EA" w:rsidP="003E75EA" w:rsidRDefault="003E75EA" w14:paraId="2B7E966D" w14:textId="77777777">
      <w:pPr>
        <w:pStyle w:val="BATOAEntry"/>
        <w:tabs>
          <w:tab w:val="left" w:pos="10080"/>
          <w:tab w:val="left" w:pos="10800"/>
          <w:tab w:val="left" w:pos="11520"/>
          <w:tab w:val="left" w:pos="12240"/>
        </w:tabs>
        <w:rPr>
          <w:noProof/>
        </w:rPr>
      </w:pPr>
      <w:r>
        <w:rPr>
          <w:noProof/>
        </w:rPr>
        <w:t>Illinois (725 Ill. Comp. Stat. Ann. 5/116-2.1)</w:t>
      </w:r>
      <w:r>
        <w:rPr>
          <w:noProof/>
        </w:rPr>
        <w:tab/>
      </w:r>
      <w:hyperlink w:tooltip="Long: Illinois (725 Ill. Comp. Stat. Ann. 5/116-2.1)" w:history="1" w:anchor="_BA_Cite_E43650_000238">
        <w:r>
          <w:rPr>
            <w:noProof/>
          </w:rPr>
          <w:t>14</w:t>
        </w:r>
      </w:hyperlink>
      <w:r>
        <w:rPr>
          <w:noProof/>
        </w:rPr>
        <w:t xml:space="preserve">, </w:t>
      </w:r>
      <w:hyperlink w:tooltip="725 ILCS 5/116-2.1" w:history="1" w:anchor="_BA_Cite_E43650_000147">
        <w:r>
          <w:rPr>
            <w:noProof/>
          </w:rPr>
          <w:t>15</w:t>
        </w:r>
      </w:hyperlink>
    </w:p>
    <w:p w:rsidR="003E75EA" w:rsidP="003E75EA" w:rsidRDefault="003E75EA" w14:paraId="325D990F" w14:textId="77777777">
      <w:pPr>
        <w:pStyle w:val="BATOAEntry"/>
        <w:tabs>
          <w:tab w:val="left" w:pos="10080"/>
          <w:tab w:val="left" w:pos="10800"/>
          <w:tab w:val="left" w:pos="11520"/>
          <w:tab w:val="left" w:pos="12240"/>
        </w:tabs>
        <w:rPr>
          <w:noProof/>
        </w:rPr>
      </w:pPr>
      <w:r>
        <w:rPr>
          <w:noProof/>
        </w:rPr>
        <w:t>Indiana (Ind. Code Ann.</w:t>
      </w:r>
      <w:r>
        <w:rPr>
          <w:noProof/>
        </w:rPr>
        <w:br/>
        <w:t>§ 31-37-22-11)</w:t>
      </w:r>
      <w:r>
        <w:rPr>
          <w:noProof/>
        </w:rPr>
        <w:tab/>
      </w:r>
      <w:hyperlink w:tooltip="Long: Indiana (Ind. Code Ann. § 31-37-22-11)" w:history="1" w:anchor="_BA_Cite_E43650_000240">
        <w:r>
          <w:rPr>
            <w:noProof/>
          </w:rPr>
          <w:t>14</w:t>
        </w:r>
      </w:hyperlink>
    </w:p>
    <w:p w:rsidR="003E75EA" w:rsidP="003E75EA" w:rsidRDefault="003E75EA" w14:paraId="4BC59689" w14:textId="77777777">
      <w:pPr>
        <w:pStyle w:val="BATOAEntry"/>
        <w:tabs>
          <w:tab w:val="left" w:pos="10080"/>
          <w:tab w:val="left" w:pos="10800"/>
          <w:tab w:val="left" w:pos="11520"/>
          <w:tab w:val="left" w:pos="12240"/>
        </w:tabs>
        <w:rPr>
          <w:noProof/>
        </w:rPr>
      </w:pPr>
      <w:r>
        <w:rPr>
          <w:noProof/>
        </w:rPr>
        <w:t>Kentucky (Ky. Rev. Stat. Ann.</w:t>
      </w:r>
      <w:r>
        <w:rPr>
          <w:noProof/>
        </w:rPr>
        <w:br/>
        <w:t>§ 610.330)</w:t>
      </w:r>
      <w:r>
        <w:rPr>
          <w:noProof/>
        </w:rPr>
        <w:tab/>
      </w:r>
      <w:hyperlink w:tooltip="Long: Kentucky (Ky. Rev. Stat. Ann. § 610.330)" w:history="1" w:anchor="_BA_Cite_E43650_000242">
        <w:r>
          <w:rPr>
            <w:noProof/>
          </w:rPr>
          <w:t>14</w:t>
        </w:r>
      </w:hyperlink>
    </w:p>
    <w:p w:rsidR="003E75EA" w:rsidP="003E75EA" w:rsidRDefault="003E75EA" w14:paraId="762CE78C" w14:textId="77777777">
      <w:pPr>
        <w:pStyle w:val="BATOAEntry"/>
        <w:tabs>
          <w:tab w:val="left" w:pos="10080"/>
          <w:tab w:val="left" w:pos="10800"/>
          <w:tab w:val="left" w:pos="11520"/>
          <w:tab w:val="left" w:pos="12240"/>
        </w:tabs>
        <w:rPr>
          <w:noProof/>
        </w:rPr>
      </w:pPr>
      <w:r>
        <w:rPr>
          <w:noProof/>
        </w:rPr>
        <w:t>Louisiana (LA. Child Code Ann. Art. 923)</w:t>
      </w:r>
      <w:r>
        <w:rPr>
          <w:noProof/>
        </w:rPr>
        <w:tab/>
      </w:r>
      <w:hyperlink w:tooltip="Long: Louisiana (LA. Child Code Ann. Art. 923)" w:history="1" w:anchor="_BA_Cite_E43650_000288">
        <w:r>
          <w:rPr>
            <w:noProof/>
          </w:rPr>
          <w:t>14</w:t>
        </w:r>
      </w:hyperlink>
    </w:p>
    <w:p w:rsidR="003E75EA" w:rsidP="003E75EA" w:rsidRDefault="003E75EA" w14:paraId="33BBE7A3" w14:textId="77777777">
      <w:pPr>
        <w:pStyle w:val="BATOAEntry"/>
        <w:tabs>
          <w:tab w:val="left" w:pos="10080"/>
          <w:tab w:val="left" w:pos="10800"/>
          <w:tab w:val="left" w:pos="11520"/>
          <w:tab w:val="left" w:pos="12240"/>
        </w:tabs>
        <w:rPr>
          <w:noProof/>
        </w:rPr>
      </w:pPr>
      <w:r>
        <w:rPr>
          <w:noProof/>
        </w:rPr>
        <w:t>Maryland (MD. Code Ann., Crim. Proc.</w:t>
      </w:r>
      <w:r>
        <w:rPr>
          <w:noProof/>
        </w:rPr>
        <w:br/>
        <w:t>§ 8-302)</w:t>
      </w:r>
      <w:r>
        <w:rPr>
          <w:noProof/>
        </w:rPr>
        <w:tab/>
      </w:r>
      <w:hyperlink w:tooltip="Long: Maryland (MD. Code Ann., Crim. Proc. § 8-302)" w:history="1" w:anchor="_BA_Cite_E43650_000244">
        <w:r>
          <w:rPr>
            <w:noProof/>
          </w:rPr>
          <w:t>14</w:t>
        </w:r>
      </w:hyperlink>
    </w:p>
    <w:p w:rsidR="003E75EA" w:rsidP="003E75EA" w:rsidRDefault="003E75EA" w14:paraId="4AB222C5" w14:textId="77777777">
      <w:pPr>
        <w:pStyle w:val="BATOAEntry"/>
        <w:tabs>
          <w:tab w:val="left" w:pos="10080"/>
          <w:tab w:val="left" w:pos="10800"/>
          <w:tab w:val="left" w:pos="11520"/>
          <w:tab w:val="left" w:pos="12240"/>
        </w:tabs>
        <w:rPr>
          <w:noProof/>
        </w:rPr>
      </w:pPr>
      <w:r>
        <w:rPr>
          <w:noProof/>
        </w:rPr>
        <w:t>Michigan (Mich. Comp. Laws Ann.</w:t>
      </w:r>
      <w:r>
        <w:rPr>
          <w:noProof/>
        </w:rPr>
        <w:br/>
        <w:t>§ 712A.18e)</w:t>
      </w:r>
      <w:r>
        <w:rPr>
          <w:noProof/>
        </w:rPr>
        <w:tab/>
      </w:r>
      <w:hyperlink w:tooltip="Long: Michigan (Mich. Comp. Laws Ann. § 712A.18e)" w:history="1" w:anchor="_BA_Cite_E43650_000246">
        <w:r>
          <w:rPr>
            <w:noProof/>
          </w:rPr>
          <w:t>14</w:t>
        </w:r>
      </w:hyperlink>
    </w:p>
    <w:p w:rsidR="003E75EA" w:rsidP="003E75EA" w:rsidRDefault="003E75EA" w14:paraId="2EECAF24" w14:textId="77777777">
      <w:pPr>
        <w:pStyle w:val="BATOAEntry"/>
        <w:tabs>
          <w:tab w:val="left" w:pos="10080"/>
          <w:tab w:val="left" w:pos="10800"/>
          <w:tab w:val="left" w:pos="11520"/>
          <w:tab w:val="left" w:pos="12240"/>
        </w:tabs>
        <w:rPr>
          <w:noProof/>
        </w:rPr>
      </w:pPr>
      <w:r>
        <w:rPr>
          <w:noProof/>
        </w:rPr>
        <w:t>Mississippi (Miss. Code Ann.</w:t>
      </w:r>
      <w:r>
        <w:rPr>
          <w:noProof/>
        </w:rPr>
        <w:br/>
        <w:t>§ 97-3-54.6)</w:t>
      </w:r>
      <w:r>
        <w:rPr>
          <w:noProof/>
        </w:rPr>
        <w:tab/>
      </w:r>
      <w:hyperlink w:tooltip="Long: Mississippi (Miss. Code Ann. § 97-3-54.6)" w:history="1" w:anchor="_BA_Cite_E43650_000248">
        <w:r>
          <w:rPr>
            <w:noProof/>
          </w:rPr>
          <w:t>14</w:t>
        </w:r>
      </w:hyperlink>
    </w:p>
    <w:p w:rsidR="003E75EA" w:rsidP="003E75EA" w:rsidRDefault="003E75EA" w14:paraId="4907CE2C" w14:textId="77777777">
      <w:pPr>
        <w:pStyle w:val="BATOAEntry"/>
        <w:tabs>
          <w:tab w:val="left" w:pos="10080"/>
          <w:tab w:val="left" w:pos="10800"/>
          <w:tab w:val="left" w:pos="11520"/>
          <w:tab w:val="left" w:pos="12240"/>
        </w:tabs>
        <w:rPr>
          <w:noProof/>
        </w:rPr>
      </w:pPr>
      <w:r>
        <w:rPr>
          <w:noProof/>
        </w:rPr>
        <w:t>Montana (Mont. Code Ann.</w:t>
      </w:r>
      <w:r>
        <w:rPr>
          <w:noProof/>
        </w:rPr>
        <w:br/>
        <w:t>§ 46-18-608)</w:t>
      </w:r>
      <w:r>
        <w:rPr>
          <w:noProof/>
        </w:rPr>
        <w:tab/>
      </w:r>
      <w:hyperlink w:tooltip="Long: Montana (Mont. Code Ann. § 46-18-608)" w:history="1" w:anchor="_BA_Cite_E43650_000250">
        <w:r>
          <w:rPr>
            <w:noProof/>
          </w:rPr>
          <w:t>14</w:t>
        </w:r>
      </w:hyperlink>
    </w:p>
    <w:p w:rsidR="003E75EA" w:rsidP="003E75EA" w:rsidRDefault="003E75EA" w14:paraId="4B7D3C82" w14:textId="77777777">
      <w:pPr>
        <w:pStyle w:val="BATOAEntry"/>
        <w:tabs>
          <w:tab w:val="left" w:pos="10080"/>
          <w:tab w:val="left" w:pos="10800"/>
          <w:tab w:val="left" w:pos="11520"/>
          <w:tab w:val="left" w:pos="12240"/>
        </w:tabs>
        <w:rPr>
          <w:noProof/>
        </w:rPr>
      </w:pPr>
      <w:r>
        <w:rPr>
          <w:noProof/>
        </w:rPr>
        <w:t>N.J. Stat. Ann.</w:t>
      </w:r>
      <w:r>
        <w:rPr>
          <w:noProof/>
        </w:rPr>
        <w:br/>
        <w:t>§ 2C:44-1.1</w:t>
      </w:r>
      <w:r>
        <w:rPr>
          <w:noProof/>
        </w:rPr>
        <w:tab/>
      </w:r>
      <w:hyperlink w:tooltip="Long: N.J. Stat. Ann. §2C:44-1.1" w:history="1" w:anchor="_BA_Cite_E43650_000111">
        <w:r>
          <w:rPr>
            <w:noProof/>
          </w:rPr>
          <w:t>14</w:t>
        </w:r>
      </w:hyperlink>
    </w:p>
    <w:p w:rsidR="003E75EA" w:rsidP="003E75EA" w:rsidRDefault="003E75EA" w14:paraId="1E872EDB" w14:textId="77777777">
      <w:pPr>
        <w:pStyle w:val="BATOAEntry"/>
        <w:tabs>
          <w:tab w:val="left" w:pos="10080"/>
          <w:tab w:val="left" w:pos="10800"/>
          <w:tab w:val="left" w:pos="11520"/>
          <w:tab w:val="left" w:pos="12240"/>
        </w:tabs>
        <w:rPr>
          <w:noProof/>
        </w:rPr>
      </w:pPr>
      <w:r>
        <w:rPr>
          <w:noProof/>
        </w:rPr>
        <w:t>N.M. Stat. Ann.</w:t>
      </w:r>
      <w:r>
        <w:rPr>
          <w:noProof/>
        </w:rPr>
        <w:br/>
        <w:t>§ 32A-3B-21</w:t>
      </w:r>
      <w:r>
        <w:rPr>
          <w:noProof/>
        </w:rPr>
        <w:tab/>
      </w:r>
      <w:hyperlink w:tooltip="Long: N.M. Stat. Ann. § 32A-3B-21" w:history="1" w:anchor="_BA_Cite_E43650_000113">
        <w:r>
          <w:rPr>
            <w:noProof/>
          </w:rPr>
          <w:t>14</w:t>
        </w:r>
      </w:hyperlink>
    </w:p>
    <w:p w:rsidR="003E75EA" w:rsidP="003E75EA" w:rsidRDefault="003E75EA" w14:paraId="431D430D" w14:textId="77777777">
      <w:pPr>
        <w:pStyle w:val="BATOAEntry"/>
        <w:tabs>
          <w:tab w:val="left" w:pos="10080"/>
          <w:tab w:val="left" w:pos="10800"/>
          <w:tab w:val="left" w:pos="11520"/>
          <w:tab w:val="left" w:pos="12240"/>
        </w:tabs>
        <w:rPr>
          <w:noProof/>
        </w:rPr>
      </w:pPr>
      <w:r>
        <w:rPr>
          <w:noProof/>
        </w:rPr>
        <w:lastRenderedPageBreak/>
        <w:t>N.Y. Penal Law</w:t>
      </w:r>
      <w:r>
        <w:rPr>
          <w:noProof/>
        </w:rPr>
        <w:br/>
        <w:t>§ 60.12(1) (2021)</w:t>
      </w:r>
      <w:r>
        <w:rPr>
          <w:noProof/>
        </w:rPr>
        <w:tab/>
      </w:r>
      <w:hyperlink w:tooltip="Long: N.Y. Penal Law § 60.12(1) (2021)" w:history="1" w:anchor="_BA_Cite_E43650_000286">
        <w:r>
          <w:rPr>
            <w:noProof/>
          </w:rPr>
          <w:t>14</w:t>
        </w:r>
      </w:hyperlink>
    </w:p>
    <w:p w:rsidR="003E75EA" w:rsidP="003E75EA" w:rsidRDefault="003E75EA" w14:paraId="54A22C1A" w14:textId="77777777">
      <w:pPr>
        <w:pStyle w:val="BATOAEntry"/>
        <w:tabs>
          <w:tab w:val="left" w:pos="10080"/>
          <w:tab w:val="left" w:pos="10800"/>
          <w:tab w:val="left" w:pos="11520"/>
          <w:tab w:val="left" w:pos="12240"/>
        </w:tabs>
        <w:rPr>
          <w:noProof/>
        </w:rPr>
      </w:pPr>
      <w:r>
        <w:rPr>
          <w:noProof/>
        </w:rPr>
        <w:t>New Hampshire (N.H. Rev. Stat. Ann.</w:t>
      </w:r>
      <w:r>
        <w:rPr>
          <w:noProof/>
        </w:rPr>
        <w:br/>
        <w:t>§ 633.7)</w:t>
      </w:r>
      <w:r>
        <w:rPr>
          <w:noProof/>
        </w:rPr>
        <w:tab/>
      </w:r>
      <w:hyperlink w:tooltip="Long: New Hampshire (N.H. Rev. Stat. Ann. § 633.7)" w:history="1" w:anchor="_BA_Cite_E43650_000260">
        <w:r>
          <w:rPr>
            <w:noProof/>
          </w:rPr>
          <w:t>14</w:t>
        </w:r>
      </w:hyperlink>
    </w:p>
    <w:p w:rsidR="003E75EA" w:rsidP="003E75EA" w:rsidRDefault="003E75EA" w14:paraId="6C82CE3D" w14:textId="77777777">
      <w:pPr>
        <w:pStyle w:val="BATOAEntry"/>
        <w:tabs>
          <w:tab w:val="left" w:pos="10080"/>
          <w:tab w:val="left" w:pos="10800"/>
          <w:tab w:val="left" w:pos="11520"/>
          <w:tab w:val="left" w:pos="12240"/>
        </w:tabs>
        <w:rPr>
          <w:noProof/>
        </w:rPr>
      </w:pPr>
      <w:r>
        <w:rPr>
          <w:noProof/>
        </w:rPr>
        <w:t>New York (N.Y. Crim. Proc. Law</w:t>
      </w:r>
      <w:r>
        <w:rPr>
          <w:noProof/>
        </w:rPr>
        <w:br/>
        <w:t>§ 440.10)</w:t>
      </w:r>
      <w:r>
        <w:rPr>
          <w:noProof/>
        </w:rPr>
        <w:tab/>
      </w:r>
      <w:hyperlink w:tooltip="Long: New York (N.Y. Crim. Proc. Law § 440.10)" w:history="1" w:anchor="_BA_Cite_E43650_000284">
        <w:r>
          <w:rPr>
            <w:noProof/>
          </w:rPr>
          <w:t>14</w:t>
        </w:r>
      </w:hyperlink>
    </w:p>
    <w:p w:rsidR="003E75EA" w:rsidP="003E75EA" w:rsidRDefault="003E75EA" w14:paraId="712EF078" w14:textId="77777777">
      <w:pPr>
        <w:pStyle w:val="BATOAEntry"/>
        <w:tabs>
          <w:tab w:val="left" w:pos="10080"/>
          <w:tab w:val="left" w:pos="10800"/>
          <w:tab w:val="left" w:pos="11520"/>
          <w:tab w:val="left" w:pos="12240"/>
        </w:tabs>
        <w:rPr>
          <w:noProof/>
        </w:rPr>
      </w:pPr>
      <w:r>
        <w:rPr>
          <w:noProof/>
        </w:rPr>
        <w:t>North Carolina (N.C. Gen. Stat. Ann.</w:t>
      </w:r>
      <w:r>
        <w:rPr>
          <w:noProof/>
        </w:rPr>
        <w:br/>
        <w:t>§ 15A-1416.1)</w:t>
      </w:r>
      <w:r>
        <w:rPr>
          <w:noProof/>
        </w:rPr>
        <w:tab/>
      </w:r>
      <w:hyperlink w:tooltip="Long: North Carolina (N.C. Gen. Stat. Ann. § 15A-1416.1)" w:history="1" w:anchor="_BA_Cite_E43650_000252">
        <w:r>
          <w:rPr>
            <w:noProof/>
          </w:rPr>
          <w:t>14</w:t>
        </w:r>
      </w:hyperlink>
    </w:p>
    <w:p w:rsidR="003E75EA" w:rsidP="003E75EA" w:rsidRDefault="003E75EA" w14:paraId="30CC249B" w14:textId="77777777">
      <w:pPr>
        <w:pStyle w:val="BATOAEntry"/>
        <w:tabs>
          <w:tab w:val="left" w:pos="10080"/>
          <w:tab w:val="left" w:pos="10800"/>
          <w:tab w:val="left" w:pos="11520"/>
          <w:tab w:val="left" w:pos="12240"/>
        </w:tabs>
        <w:rPr>
          <w:noProof/>
        </w:rPr>
      </w:pPr>
      <w:r>
        <w:rPr>
          <w:noProof/>
        </w:rPr>
        <w:t>North Dakota (N.D. Cent. Code Ann.</w:t>
      </w:r>
      <w:r>
        <w:rPr>
          <w:noProof/>
        </w:rPr>
        <w:br/>
        <w:t>§ 12.1-41-14)</w:t>
      </w:r>
      <w:r>
        <w:rPr>
          <w:noProof/>
        </w:rPr>
        <w:tab/>
      </w:r>
      <w:hyperlink w:tooltip="Long: North Dakota (N.D. Cent. Code Ann. § 12.1-41-14)" w:history="1" w:anchor="_BA_Cite_E43650_000290">
        <w:r>
          <w:rPr>
            <w:noProof/>
          </w:rPr>
          <w:t>14</w:t>
        </w:r>
      </w:hyperlink>
    </w:p>
    <w:p w:rsidR="003E75EA" w:rsidP="003E75EA" w:rsidRDefault="003E75EA" w14:paraId="22A50F46" w14:textId="77777777">
      <w:pPr>
        <w:pStyle w:val="BATOAEntry"/>
        <w:tabs>
          <w:tab w:val="left" w:pos="10080"/>
          <w:tab w:val="left" w:pos="10800"/>
          <w:tab w:val="left" w:pos="11520"/>
          <w:tab w:val="left" w:pos="12240"/>
        </w:tabs>
        <w:rPr>
          <w:noProof/>
        </w:rPr>
      </w:pPr>
      <w:r>
        <w:rPr>
          <w:noProof/>
        </w:rPr>
        <w:t>Ohio (Ohio Rev. Code Ann.</w:t>
      </w:r>
      <w:r>
        <w:rPr>
          <w:noProof/>
        </w:rPr>
        <w:br/>
        <w:t>§ 2151.358)</w:t>
      </w:r>
      <w:r>
        <w:rPr>
          <w:noProof/>
        </w:rPr>
        <w:tab/>
      </w:r>
      <w:hyperlink w:tooltip="Long: Ohio (Ohio Rev. Code Ann. § 2151.358)" w:history="1" w:anchor="_BA_Cite_E43650_000262">
        <w:r>
          <w:rPr>
            <w:noProof/>
          </w:rPr>
          <w:t>14</w:t>
        </w:r>
      </w:hyperlink>
    </w:p>
    <w:p w:rsidR="003E07F6" w:rsidP="003E07F6" w:rsidRDefault="003E07F6" w14:paraId="4FB842EB" w14:textId="6AEC0643">
      <w:pPr>
        <w:pStyle w:val="BATOAEntry"/>
        <w:tabs>
          <w:tab w:val="left" w:pos="10080"/>
          <w:tab w:val="left" w:pos="10800"/>
          <w:tab w:val="left" w:pos="11520"/>
          <w:tab w:val="left" w:pos="12240"/>
        </w:tabs>
        <w:rPr>
          <w:noProof/>
        </w:rPr>
      </w:pPr>
      <w:r>
        <w:rPr>
          <w:noProof/>
        </w:rPr>
        <w:t>Oregon (S. B. 249, 80th Gen. Assemb., Reg. Sess. (Or. 2019))</w:t>
      </w:r>
      <w:r>
        <w:rPr>
          <w:noProof/>
        </w:rPr>
        <w:tab/>
      </w:r>
      <w:hyperlink w:tooltip="Long: Oregon (S. B. 249, 80th Gen. Assemb., Reg. Sess. (Or. 2019…" w:history="1" w:anchor="_BA_Cite_E43650_000318">
        <w:r>
          <w:rPr>
            <w:noProof/>
          </w:rPr>
          <w:t>14</w:t>
        </w:r>
      </w:hyperlink>
    </w:p>
    <w:p w:rsidR="003E07F6" w:rsidP="003E07F6" w:rsidRDefault="003E75EA" w14:paraId="65C217E5" w14:textId="7EC226CF">
      <w:pPr>
        <w:pStyle w:val="BATOAEntry"/>
        <w:tabs>
          <w:tab w:val="left" w:pos="10080"/>
          <w:tab w:val="left" w:pos="10800"/>
          <w:tab w:val="left" w:pos="11520"/>
          <w:tab w:val="left" w:pos="12240"/>
        </w:tabs>
        <w:rPr>
          <w:noProof/>
        </w:rPr>
      </w:pPr>
      <w:r>
        <w:rPr>
          <w:noProof/>
        </w:rPr>
        <w:t>Rhode Island (R.I. Gen. Laws Ann. § 11-67.1-17)</w:t>
      </w:r>
      <w:r>
        <w:rPr>
          <w:noProof/>
        </w:rPr>
        <w:tab/>
      </w:r>
      <w:hyperlink w:tooltip="Long: Rhode Island (R.I. Gen. Laws Ann. § 11-67.1-17)" w:history="1" w:anchor="_BA_Cite_E43650_000292">
        <w:r>
          <w:rPr>
            <w:noProof/>
          </w:rPr>
          <w:t>14</w:t>
        </w:r>
      </w:hyperlink>
    </w:p>
    <w:p w:rsidR="003E75EA" w:rsidP="003E75EA" w:rsidRDefault="003E75EA" w14:paraId="272DCD03" w14:textId="4F4AAC44">
      <w:pPr>
        <w:pStyle w:val="BATOAEntry"/>
        <w:tabs>
          <w:tab w:val="left" w:pos="10080"/>
          <w:tab w:val="left" w:pos="10800"/>
          <w:tab w:val="left" w:pos="11520"/>
          <w:tab w:val="left" w:pos="12240"/>
        </w:tabs>
        <w:rPr>
          <w:noProof/>
        </w:rPr>
      </w:pPr>
      <w:r>
        <w:rPr>
          <w:noProof/>
        </w:rPr>
        <w:t>South Carolina (S.C. Code Ann.</w:t>
      </w:r>
      <w:r>
        <w:rPr>
          <w:noProof/>
        </w:rPr>
        <w:br/>
        <w:t>§ 16-3-2020)</w:t>
      </w:r>
      <w:r>
        <w:rPr>
          <w:noProof/>
        </w:rPr>
        <w:tab/>
      </w:r>
      <w:hyperlink w:tooltip="Long: South Carolina (S.C. Code Ann. § 16-3-2020)" w:history="1" w:anchor="_BA_Cite_E43650_000264">
        <w:r>
          <w:rPr>
            <w:noProof/>
          </w:rPr>
          <w:t>14</w:t>
        </w:r>
      </w:hyperlink>
    </w:p>
    <w:p w:rsidR="003E07F6" w:rsidP="003E75EA" w:rsidRDefault="003E07F6" w14:paraId="7EBF9C58" w14:textId="17DDCE89">
      <w:pPr>
        <w:pStyle w:val="BATOAEntry"/>
        <w:tabs>
          <w:tab w:val="left" w:pos="10080"/>
          <w:tab w:val="left" w:pos="10800"/>
          <w:tab w:val="left" w:pos="11520"/>
          <w:tab w:val="left" w:pos="12240"/>
        </w:tabs>
        <w:rPr>
          <w:noProof/>
        </w:rPr>
      </w:pPr>
      <w:r>
        <w:rPr>
          <w:noProof/>
        </w:rPr>
        <w:t>S. Res. 243, 2017 Leg., 79th Sess. (Nev. 2017)</w:t>
      </w:r>
      <w:r>
        <w:rPr>
          <w:noProof/>
        </w:rPr>
        <w:tab/>
      </w:r>
      <w:hyperlink w:tooltip="Long: S. Res. 243, 2017 Leg., 79th Sess. (Nev. 2017)" w:history="1" w:anchor="_BA_Cite_E43650_000021">
        <w:r>
          <w:rPr>
            <w:noProof/>
          </w:rPr>
          <w:t>14</w:t>
        </w:r>
      </w:hyperlink>
    </w:p>
    <w:p w:rsidR="003E75EA" w:rsidP="003E75EA" w:rsidRDefault="003E75EA" w14:paraId="231EB107" w14:textId="77777777">
      <w:pPr>
        <w:pStyle w:val="BATOAEntry"/>
        <w:tabs>
          <w:tab w:val="left" w:pos="10080"/>
          <w:tab w:val="left" w:pos="10800"/>
          <w:tab w:val="left" w:pos="11520"/>
          <w:tab w:val="left" w:pos="12240"/>
        </w:tabs>
        <w:rPr>
          <w:noProof/>
        </w:rPr>
      </w:pPr>
      <w:r>
        <w:rPr>
          <w:noProof/>
        </w:rPr>
        <w:t>Texas (Tex. Fam. Code Ann.</w:t>
      </w:r>
      <w:r>
        <w:rPr>
          <w:noProof/>
        </w:rPr>
        <w:br/>
        <w:t>§ 58.003)</w:t>
      </w:r>
      <w:r>
        <w:rPr>
          <w:noProof/>
        </w:rPr>
        <w:tab/>
      </w:r>
      <w:hyperlink w:tooltip="Long: Texas (Tex. Fam. Code Ann. § 58.003)" w:history="1" w:anchor="_BA_Cite_E43650_000282">
        <w:r>
          <w:rPr>
            <w:noProof/>
          </w:rPr>
          <w:t>14</w:t>
        </w:r>
      </w:hyperlink>
    </w:p>
    <w:p w:rsidR="003E75EA" w:rsidP="003E75EA" w:rsidRDefault="003E75EA" w14:paraId="6B7A1136" w14:textId="77777777">
      <w:pPr>
        <w:pStyle w:val="BATOAEntry"/>
        <w:tabs>
          <w:tab w:val="left" w:pos="10080"/>
          <w:tab w:val="left" w:pos="10800"/>
          <w:tab w:val="left" w:pos="11520"/>
          <w:tab w:val="left" w:pos="12240"/>
        </w:tabs>
        <w:rPr>
          <w:noProof/>
        </w:rPr>
      </w:pPr>
      <w:r>
        <w:rPr>
          <w:noProof/>
        </w:rPr>
        <w:t>Utah (Utah Code Ann.</w:t>
      </w:r>
      <w:r>
        <w:rPr>
          <w:noProof/>
        </w:rPr>
        <w:br/>
        <w:t>§ 78B-9-104)</w:t>
      </w:r>
      <w:r>
        <w:rPr>
          <w:noProof/>
        </w:rPr>
        <w:tab/>
      </w:r>
      <w:hyperlink w:tooltip="Long: Utah (Utah Code Ann. § 78B-9-104)" w:history="1" w:anchor="_BA_Cite_E43650_000280">
        <w:r>
          <w:rPr>
            <w:noProof/>
          </w:rPr>
          <w:t>14</w:t>
        </w:r>
      </w:hyperlink>
    </w:p>
    <w:p w:rsidR="003E75EA" w:rsidP="003E75EA" w:rsidRDefault="003E75EA" w14:paraId="44F3433F" w14:textId="77777777">
      <w:pPr>
        <w:pStyle w:val="BATOAEntry"/>
        <w:tabs>
          <w:tab w:val="left" w:pos="10080"/>
          <w:tab w:val="left" w:pos="10800"/>
          <w:tab w:val="left" w:pos="11520"/>
          <w:tab w:val="left" w:pos="12240"/>
        </w:tabs>
        <w:rPr>
          <w:noProof/>
        </w:rPr>
      </w:pPr>
      <w:r>
        <w:rPr>
          <w:noProof/>
        </w:rPr>
        <w:t>Vermont (Vt. Stat. Ann. Tit. 13</w:t>
      </w:r>
      <w:r>
        <w:rPr>
          <w:noProof/>
        </w:rPr>
        <w:br/>
        <w:t>§ 2658)</w:t>
      </w:r>
      <w:r>
        <w:rPr>
          <w:noProof/>
        </w:rPr>
        <w:tab/>
      </w:r>
      <w:hyperlink w:tooltip="Long: Vermont (Vt. Stat. Ann. Tit. 13, § 2658)" w:history="1" w:anchor="_BA_Cite_E43650_000278">
        <w:r>
          <w:rPr>
            <w:noProof/>
          </w:rPr>
          <w:t>14</w:t>
        </w:r>
      </w:hyperlink>
    </w:p>
    <w:p w:rsidR="003E75EA" w:rsidP="003E75EA" w:rsidRDefault="003E75EA" w14:paraId="4367A0D4" w14:textId="77777777">
      <w:pPr>
        <w:pStyle w:val="BATOAEntry"/>
        <w:tabs>
          <w:tab w:val="left" w:pos="10080"/>
          <w:tab w:val="left" w:pos="10800"/>
          <w:tab w:val="left" w:pos="11520"/>
          <w:tab w:val="left" w:pos="12240"/>
        </w:tabs>
        <w:rPr>
          <w:noProof/>
        </w:rPr>
      </w:pPr>
      <w:r>
        <w:rPr>
          <w:noProof/>
        </w:rPr>
        <w:t>Washington (Wash. Rev. Code Ann.</w:t>
      </w:r>
      <w:r>
        <w:rPr>
          <w:noProof/>
        </w:rPr>
        <w:br/>
        <w:t>§ 9.96.060)</w:t>
      </w:r>
      <w:r>
        <w:rPr>
          <w:noProof/>
        </w:rPr>
        <w:tab/>
      </w:r>
      <w:hyperlink w:tooltip="Long: Washington (Wash. Rev. Code Ann. § 9.96.060)" w:history="1" w:anchor="_BA_Cite_E43650_000274">
        <w:r>
          <w:rPr>
            <w:noProof/>
          </w:rPr>
          <w:t>14</w:t>
        </w:r>
      </w:hyperlink>
    </w:p>
    <w:p w:rsidR="003E75EA" w:rsidP="003E75EA" w:rsidRDefault="003E75EA" w14:paraId="7991AFCA" w14:textId="77777777">
      <w:pPr>
        <w:pStyle w:val="BATOAEntry"/>
        <w:tabs>
          <w:tab w:val="left" w:pos="10080"/>
          <w:tab w:val="left" w:pos="10800"/>
          <w:tab w:val="left" w:pos="11520"/>
          <w:tab w:val="left" w:pos="12240"/>
        </w:tabs>
        <w:rPr>
          <w:noProof/>
        </w:rPr>
      </w:pPr>
      <w:r>
        <w:rPr>
          <w:noProof/>
        </w:rPr>
        <w:t>West Virginia (W. Va. Code Ann.</w:t>
      </w:r>
      <w:r>
        <w:rPr>
          <w:noProof/>
        </w:rPr>
        <w:br/>
        <w:t>§ 61-14-9)</w:t>
      </w:r>
      <w:r>
        <w:rPr>
          <w:noProof/>
        </w:rPr>
        <w:tab/>
      </w:r>
      <w:hyperlink w:tooltip="Long: West Virginia (W. Va. Code Ann. § 61-14-9)" w:history="1" w:anchor="_BA_Cite_E43650_000276">
        <w:r>
          <w:rPr>
            <w:noProof/>
          </w:rPr>
          <w:t>14</w:t>
        </w:r>
      </w:hyperlink>
    </w:p>
    <w:p w:rsidR="003E75EA" w:rsidP="003E75EA" w:rsidRDefault="003E75EA" w14:paraId="6511E339" w14:textId="77777777">
      <w:pPr>
        <w:pStyle w:val="BATOAEntry"/>
        <w:tabs>
          <w:tab w:val="left" w:pos="10080"/>
          <w:tab w:val="left" w:pos="10800"/>
          <w:tab w:val="left" w:pos="11520"/>
          <w:tab w:val="left" w:pos="12240"/>
        </w:tabs>
        <w:rPr>
          <w:noProof/>
        </w:rPr>
      </w:pPr>
      <w:r>
        <w:rPr>
          <w:noProof/>
        </w:rPr>
        <w:t>Wisconsin (Wis. Stat. Ann.</w:t>
      </w:r>
      <w:r>
        <w:rPr>
          <w:noProof/>
        </w:rPr>
        <w:br/>
        <w:t>§ 973.015)</w:t>
      </w:r>
      <w:r>
        <w:rPr>
          <w:noProof/>
        </w:rPr>
        <w:tab/>
      </w:r>
      <w:hyperlink w:tooltip="Long: Wisconsin (Wis. Stat. Ann. § 973.015)" w:history="1" w:anchor="_BA_Cite_E43650_000272">
        <w:r>
          <w:rPr>
            <w:noProof/>
          </w:rPr>
          <w:t>14</w:t>
        </w:r>
      </w:hyperlink>
    </w:p>
    <w:p w:rsidR="003E75EA" w:rsidP="003E75EA" w:rsidRDefault="003E75EA" w14:paraId="7A46F1DF" w14:textId="77777777">
      <w:pPr>
        <w:pStyle w:val="BATOAEntry"/>
        <w:tabs>
          <w:tab w:val="left" w:pos="10080"/>
          <w:tab w:val="left" w:pos="10800"/>
          <w:tab w:val="left" w:pos="11520"/>
          <w:tab w:val="left" w:pos="12240"/>
        </w:tabs>
        <w:rPr>
          <w:noProof/>
        </w:rPr>
      </w:pPr>
      <w:r>
        <w:rPr>
          <w:noProof/>
        </w:rPr>
        <w:t>Wyoming (WYO. Stat. Ann.</w:t>
      </w:r>
      <w:r>
        <w:rPr>
          <w:noProof/>
        </w:rPr>
        <w:br/>
        <w:t>§ 6-2-708)</w:t>
      </w:r>
      <w:r>
        <w:rPr>
          <w:noProof/>
        </w:rPr>
        <w:tab/>
      </w:r>
      <w:hyperlink w:tooltip="Long: Wyoming (WYO. Stat. Ann. § 6-2-708)" w:history="1" w:anchor="_BA_Cite_E43650_000270">
        <w:r>
          <w:rPr>
            <w:noProof/>
          </w:rPr>
          <w:t>14</w:t>
        </w:r>
      </w:hyperlink>
    </w:p>
    <w:p w:rsidR="003E75EA" w:rsidP="003E75EA" w:rsidRDefault="003E75EA" w14:paraId="0EB9F4FF" w14:textId="77777777">
      <w:pPr>
        <w:pStyle w:val="BATOAHeading"/>
        <w:rPr>
          <w:noProof/>
        </w:rPr>
      </w:pPr>
      <w:r>
        <w:rPr>
          <w:noProof/>
        </w:rPr>
        <w:lastRenderedPageBreak/>
        <w:t>Other Authorities</w:t>
      </w:r>
    </w:p>
    <w:p w:rsidR="003E75EA" w:rsidP="003E75EA" w:rsidRDefault="003E75EA" w14:paraId="0EF88D37" w14:textId="77777777">
      <w:pPr>
        <w:pStyle w:val="BATOAEntry"/>
        <w:tabs>
          <w:tab w:val="left" w:pos="10080"/>
          <w:tab w:val="left" w:pos="10800"/>
          <w:tab w:val="left" w:pos="11520"/>
          <w:tab w:val="left" w:pos="12240"/>
        </w:tabs>
        <w:rPr>
          <w:noProof/>
        </w:rPr>
      </w:pPr>
      <w:r>
        <w:rPr>
          <w:noProof/>
        </w:rPr>
        <w:t>8 C.F.R. § 1003.23(b)(4)(ii)</w:t>
      </w:r>
      <w:r>
        <w:rPr>
          <w:noProof/>
        </w:rPr>
        <w:tab/>
      </w:r>
      <w:hyperlink w:tooltip="Long: 8 C.F.R. § 1003.23(b)(4)(ii)" w:history="1" w:anchor="_BA_Cite_E43650_000017">
        <w:r>
          <w:rPr>
            <w:noProof/>
          </w:rPr>
          <w:t>12</w:t>
        </w:r>
      </w:hyperlink>
    </w:p>
    <w:p w:rsidR="003E75EA" w:rsidP="003E75EA" w:rsidRDefault="003E75EA" w14:paraId="704E41C2" w14:textId="0CCB70FA">
      <w:pPr>
        <w:pStyle w:val="BATOAEntry"/>
        <w:tabs>
          <w:tab w:val="left" w:pos="10080"/>
          <w:tab w:val="left" w:pos="10800"/>
          <w:tab w:val="left" w:pos="11520"/>
          <w:tab w:val="left" w:pos="12240"/>
        </w:tabs>
        <w:rPr>
          <w:noProof/>
        </w:rPr>
      </w:pPr>
      <w:r>
        <w:rPr>
          <w:noProof/>
        </w:rPr>
        <w:t>American Bar Association</w:t>
      </w:r>
      <w:r w:rsidR="005C77CC">
        <w:rPr>
          <w:noProof/>
        </w:rPr>
        <w:t xml:space="preserve"> </w:t>
      </w:r>
      <w:r w:rsidRPr="00DA4F08" w:rsidR="005C77CC">
        <w:t xml:space="preserve">Commission on Immigration, </w:t>
      </w:r>
      <w:r w:rsidRPr="00DA4F08" w:rsidR="005C77CC">
        <w:rPr>
          <w:i/>
          <w:iCs/>
        </w:rPr>
        <w:t>Reforming the Immigration System: Proposals to Promote Independence, Fairness, Efficiency, and Professionalism in the Adjudication of Removal Cases</w:t>
      </w:r>
      <w:r w:rsidRPr="00DA4F08" w:rsidR="005C77CC">
        <w:t xml:space="preserve"> 5-8 (2010)</w:t>
      </w:r>
      <w:r>
        <w:rPr>
          <w:noProof/>
        </w:rPr>
        <w:tab/>
      </w:r>
      <w:hyperlink w:tooltip="Long: American Bar Association" w:history="1" w:anchor="_BA_Cite_E43650_000153">
        <w:r>
          <w:rPr>
            <w:noProof/>
          </w:rPr>
          <w:t>8</w:t>
        </w:r>
      </w:hyperlink>
    </w:p>
    <w:p w:rsidR="003E75EA" w:rsidP="003E75EA" w:rsidRDefault="003E75EA" w14:paraId="053D93F6" w14:textId="77777777">
      <w:pPr>
        <w:pStyle w:val="BATOAEntry"/>
        <w:tabs>
          <w:tab w:val="left" w:pos="10080"/>
          <w:tab w:val="left" w:pos="10800"/>
          <w:tab w:val="left" w:pos="11520"/>
          <w:tab w:val="left" w:pos="12240"/>
        </w:tabs>
        <w:rPr>
          <w:noProof/>
        </w:rPr>
      </w:pPr>
      <w:r>
        <w:rPr>
          <w:noProof/>
        </w:rPr>
        <w:t xml:space="preserve">Battered Women, </w:t>
      </w:r>
      <w:r>
        <w:rPr>
          <w:i/>
          <w:iCs/>
          <w:noProof/>
        </w:rPr>
        <w:t>The Impact of Arrests and Convictions on Battered Women</w:t>
      </w:r>
      <w:r>
        <w:rPr>
          <w:noProof/>
        </w:rPr>
        <w:t xml:space="preserve"> (2008), http://www.biscmi.org/wshh/NCDBW_%20Impact_of_Arrest.pdf</w:t>
      </w:r>
      <w:r>
        <w:rPr>
          <w:noProof/>
        </w:rPr>
        <w:tab/>
      </w:r>
      <w:hyperlink w:tooltip="Long: Battered Women, The Impact of Arrests and Convictions on B…" w:history="1" w:anchor="_BA_Cite_E43650_000157">
        <w:r>
          <w:rPr>
            <w:noProof/>
          </w:rPr>
          <w:t>5</w:t>
        </w:r>
      </w:hyperlink>
    </w:p>
    <w:p w:rsidR="003E75EA" w:rsidP="003E75EA" w:rsidRDefault="003E75EA" w14:paraId="2661E7CF" w14:textId="608BA4F8">
      <w:pPr>
        <w:pStyle w:val="BATOAEntry"/>
        <w:tabs>
          <w:tab w:val="left" w:pos="10080"/>
          <w:tab w:val="left" w:pos="10800"/>
          <w:tab w:val="left" w:pos="11520"/>
          <w:tab w:val="left" w:pos="12240"/>
        </w:tabs>
        <w:rPr>
          <w:noProof/>
        </w:rPr>
      </w:pPr>
      <w:r>
        <w:rPr>
          <w:i/>
          <w:iCs/>
          <w:noProof/>
        </w:rPr>
        <w:t>Clearing the State</w:t>
      </w:r>
      <w:r w:rsidRPr="00DA4F08" w:rsidR="000E770E">
        <w:rPr>
          <w:i/>
          <w:iCs/>
        </w:rPr>
        <w:t>: Seeking Effective Remedies for Criminalized Trafficking Victims</w:t>
      </w:r>
      <w:r w:rsidRPr="00DA4F08" w:rsidR="000E770E">
        <w:t>, 16, CUNY School of Law, (June 2017) https://mvlslaw.org/wp-content/uploads/2017/06/Effective-Remedies-for-Criminalized-Trafficking-Victims-CUNY-2014.pdf.</w:t>
      </w:r>
      <w:r>
        <w:rPr>
          <w:noProof/>
        </w:rPr>
        <w:tab/>
      </w:r>
      <w:r w:rsidR="000E770E">
        <w:t>6, 7</w:t>
      </w:r>
    </w:p>
    <w:p w:rsidR="003E75EA" w:rsidP="003E75EA" w:rsidRDefault="003E75EA" w14:paraId="1506C6D2" w14:textId="7290C1D3">
      <w:pPr>
        <w:pStyle w:val="BATOAEntry"/>
        <w:tabs>
          <w:tab w:val="left" w:pos="10080"/>
          <w:tab w:val="left" w:pos="10800"/>
          <w:tab w:val="left" w:pos="11520"/>
          <w:tab w:val="left" w:pos="12240"/>
        </w:tabs>
        <w:rPr>
          <w:noProof/>
        </w:rPr>
      </w:pPr>
      <w:r>
        <w:rPr>
          <w:noProof/>
        </w:rPr>
        <w:t xml:space="preserve">Coppedge, </w:t>
      </w:r>
      <w:r>
        <w:rPr>
          <w:i/>
          <w:iCs/>
          <w:noProof/>
        </w:rPr>
        <w:t>Stop Criminalizing the Victims</w:t>
      </w:r>
      <w:r>
        <w:rPr>
          <w:noProof/>
        </w:rPr>
        <w:t>, CNN (Mar. 17, 2016) https://www.cnn.com/2016/03/17/opinions/coppedge-freedom-project-new-lives/index.html?eref=rss_latest</w:t>
      </w:r>
      <w:r>
        <w:rPr>
          <w:noProof/>
        </w:rPr>
        <w:tab/>
      </w:r>
      <w:hyperlink w:tooltip="Long: Coppedge, Stop Criminalizing the Victims, CNN (Mar. 17, 20…" w:history="1" w:anchor="_BA_Cite_E43650_000316">
        <w:r>
          <w:rPr>
            <w:noProof/>
          </w:rPr>
          <w:t>13</w:t>
        </w:r>
      </w:hyperlink>
      <w:r w:rsidR="00293C9D">
        <w:rPr>
          <w:noProof/>
        </w:rPr>
        <w:t>, 14</w:t>
      </w:r>
    </w:p>
    <w:p w:rsidR="003E75EA" w:rsidP="003E75EA" w:rsidRDefault="003E75EA" w14:paraId="400618DE" w14:textId="77777777">
      <w:pPr>
        <w:pStyle w:val="BATOAEntry"/>
        <w:tabs>
          <w:tab w:val="left" w:pos="10080"/>
          <w:tab w:val="left" w:pos="10800"/>
          <w:tab w:val="left" w:pos="11520"/>
          <w:tab w:val="left" w:pos="12240"/>
        </w:tabs>
        <w:rPr>
          <w:noProof/>
        </w:rPr>
      </w:pPr>
      <w:r>
        <w:rPr>
          <w:noProof/>
        </w:rPr>
        <w:t xml:space="preserve">Crager et al., </w:t>
      </w:r>
      <w:r>
        <w:rPr>
          <w:i/>
          <w:iCs/>
          <w:noProof/>
        </w:rPr>
        <w:t>Victim-Defendants: An Emerging Challenge in Responding to Domestic Violence in Seattle and the King County Region</w:t>
      </w:r>
      <w:r>
        <w:rPr>
          <w:noProof/>
        </w:rPr>
        <w:t xml:space="preserve"> (2003)</w:t>
      </w:r>
      <w:r>
        <w:rPr>
          <w:noProof/>
        </w:rPr>
        <w:tab/>
      </w:r>
      <w:hyperlink w:tooltip="Long: Crager et al., Victim-Defendants: An Emerging Challenge in…" w:history="1" w:anchor="_BA_Cite_E43650_000217">
        <w:r>
          <w:rPr>
            <w:noProof/>
          </w:rPr>
          <w:t>3</w:t>
        </w:r>
      </w:hyperlink>
    </w:p>
    <w:p w:rsidR="003E75EA" w:rsidP="003E75EA" w:rsidRDefault="003E75EA" w14:paraId="44F4C76D" w14:textId="77777777">
      <w:pPr>
        <w:pStyle w:val="BATOAEntry"/>
        <w:tabs>
          <w:tab w:val="left" w:pos="10080"/>
          <w:tab w:val="left" w:pos="10800"/>
          <w:tab w:val="left" w:pos="11520"/>
          <w:tab w:val="left" w:pos="12240"/>
        </w:tabs>
        <w:rPr>
          <w:noProof/>
        </w:rPr>
      </w:pPr>
      <w:r>
        <w:rPr>
          <w:i/>
          <w:iCs/>
          <w:noProof/>
        </w:rPr>
        <w:t>Criminalized Trafficking Victims</w:t>
      </w:r>
      <w:r>
        <w:rPr>
          <w:noProof/>
        </w:rPr>
        <w:t>, 16, CUNY School of Law (June 2017) https://mvlslaw.org/wp-content/uploads/2017/06/Effective-Remedies-for-Criminalized-Trafficking-Victims-CUNY-2014.pdf</w:t>
      </w:r>
      <w:r>
        <w:rPr>
          <w:noProof/>
        </w:rPr>
        <w:tab/>
      </w:r>
      <w:hyperlink w:tooltip="Long: Criminalized Trafficking Victims, 16, CUNY School of Law, …" w:history="1" w:anchor="_BA_Cite_E43650_000171">
        <w:r>
          <w:rPr>
            <w:noProof/>
          </w:rPr>
          <w:t>6</w:t>
        </w:r>
      </w:hyperlink>
    </w:p>
    <w:p w:rsidR="003E75EA" w:rsidP="003E75EA" w:rsidRDefault="003E75EA" w14:paraId="7D938513" w14:textId="77777777">
      <w:pPr>
        <w:pStyle w:val="BATOAEntry"/>
        <w:tabs>
          <w:tab w:val="left" w:pos="10080"/>
          <w:tab w:val="left" w:pos="10800"/>
          <w:tab w:val="left" w:pos="11520"/>
          <w:tab w:val="left" w:pos="12240"/>
        </w:tabs>
        <w:rPr>
          <w:noProof/>
        </w:rPr>
      </w:pPr>
      <w:r>
        <w:rPr>
          <w:i/>
          <w:iCs/>
          <w:noProof/>
        </w:rPr>
        <w:t>Defending Self-Defense</w:t>
      </w:r>
      <w:r>
        <w:rPr>
          <w:noProof/>
        </w:rPr>
        <w:t>, Survived &amp; Punished, at 3 (Mar. 2022), https://survivedandpunished.org/wp-content/uploads/2022/03/DSD-Report-Mar-21-final.pdf</w:t>
      </w:r>
      <w:r>
        <w:rPr>
          <w:noProof/>
        </w:rPr>
        <w:tab/>
      </w:r>
      <w:hyperlink w:tooltip="Long: Defending Self-Defense, Survived &amp; Punished, at 3 (Mar. 20…" w:history="1" w:anchor="_BA_Cite_E43650_000163">
        <w:r>
          <w:rPr>
            <w:noProof/>
          </w:rPr>
          <w:t>3</w:t>
        </w:r>
      </w:hyperlink>
    </w:p>
    <w:p w:rsidR="003E75EA" w:rsidP="003E75EA" w:rsidRDefault="003E75EA" w14:paraId="1F6519FF" w14:textId="77777777">
      <w:pPr>
        <w:pStyle w:val="BATOAEntry"/>
        <w:tabs>
          <w:tab w:val="left" w:pos="10080"/>
          <w:tab w:val="left" w:pos="10800"/>
          <w:tab w:val="left" w:pos="11520"/>
          <w:tab w:val="left" w:pos="12240"/>
        </w:tabs>
        <w:rPr>
          <w:noProof/>
        </w:rPr>
      </w:pPr>
      <w:r>
        <w:rPr>
          <w:noProof/>
        </w:rPr>
        <w:t>DeLeon-Granados et al</w:t>
      </w:r>
      <w:r>
        <w:rPr>
          <w:i/>
          <w:iCs/>
          <w:noProof/>
        </w:rPr>
        <w:t>., Arresting developments: Trends in female arrests for domestic violence and proposed explanations</w:t>
      </w:r>
      <w:r>
        <w:rPr>
          <w:noProof/>
        </w:rPr>
        <w:tab/>
      </w:r>
      <w:hyperlink w:tooltip="Long: DeLeon-Granados et al., Arresting developments: Trends in …" w:history="1" w:anchor="_BA_Cite_E43650_000215">
        <w:r>
          <w:rPr>
            <w:noProof/>
          </w:rPr>
          <w:t>3</w:t>
        </w:r>
      </w:hyperlink>
    </w:p>
    <w:p w:rsidR="003E75EA" w:rsidP="003E75EA" w:rsidRDefault="003E75EA" w14:paraId="04A31B4A" w14:textId="77777777">
      <w:pPr>
        <w:pStyle w:val="BATOAEntry"/>
        <w:tabs>
          <w:tab w:val="left" w:pos="10080"/>
          <w:tab w:val="left" w:pos="10800"/>
          <w:tab w:val="left" w:pos="11520"/>
          <w:tab w:val="left" w:pos="12240"/>
        </w:tabs>
        <w:rPr>
          <w:noProof/>
        </w:rPr>
      </w:pPr>
      <w:r>
        <w:rPr>
          <w:noProof/>
        </w:rPr>
        <w:t>Editorial</w:t>
      </w:r>
      <w:r>
        <w:rPr>
          <w:i/>
          <w:iCs/>
          <w:noProof/>
        </w:rPr>
        <w:t>, Secure Communities Program: A Flawed Deportation Tool</w:t>
      </w:r>
      <w:r>
        <w:rPr>
          <w:noProof/>
        </w:rPr>
        <w:tab/>
      </w:r>
      <w:hyperlink w:tooltip="Long: Editorial, Secure Communities Program: A Flawed Deportatio…" w:history="1" w:anchor="_BA_Cite_E43650_000223">
        <w:r>
          <w:rPr>
            <w:noProof/>
          </w:rPr>
          <w:t>5</w:t>
        </w:r>
      </w:hyperlink>
    </w:p>
    <w:p w:rsidR="003E75EA" w:rsidP="003E75EA" w:rsidRDefault="003E75EA" w14:paraId="005A9C96" w14:textId="77777777">
      <w:pPr>
        <w:pStyle w:val="BATOAEntry"/>
        <w:tabs>
          <w:tab w:val="left" w:pos="10080"/>
          <w:tab w:val="left" w:pos="10800"/>
          <w:tab w:val="left" w:pos="11520"/>
          <w:tab w:val="left" w:pos="12240"/>
        </w:tabs>
        <w:rPr>
          <w:noProof/>
        </w:rPr>
      </w:pPr>
      <w:r>
        <w:rPr>
          <w:noProof/>
        </w:rPr>
        <w:t>Identifying the Primary Aggressor: A Prosecutor’s Perspective 3, 5, available at http://www.ncdsv.org/images/she_hit_me.pdf;</w:t>
      </w:r>
      <w:r>
        <w:rPr>
          <w:noProof/>
        </w:rPr>
        <w:tab/>
      </w:r>
      <w:hyperlink w:tooltip="Long: Identifying the Primary Aggressor: A Prosecutor's Perspect…" w:history="1" w:anchor="_BA_Cite_E43650_000165">
        <w:r>
          <w:rPr>
            <w:noProof/>
          </w:rPr>
          <w:t>4</w:t>
        </w:r>
      </w:hyperlink>
    </w:p>
    <w:p w:rsidR="003E75EA" w:rsidP="003E75EA" w:rsidRDefault="003E75EA" w14:paraId="2F35CA89" w14:textId="77777777">
      <w:pPr>
        <w:pStyle w:val="BATOAEntry"/>
        <w:tabs>
          <w:tab w:val="left" w:pos="10080"/>
          <w:tab w:val="left" w:pos="10800"/>
          <w:tab w:val="left" w:pos="11520"/>
          <w:tab w:val="left" w:pos="12240"/>
        </w:tabs>
        <w:rPr>
          <w:noProof/>
        </w:rPr>
      </w:pPr>
      <w:r>
        <w:rPr>
          <w:i/>
          <w:iCs/>
          <w:noProof/>
        </w:rPr>
        <w:t>Immigrant Communities and Crime Victims</w:t>
      </w:r>
      <w:r>
        <w:rPr>
          <w:noProof/>
        </w:rPr>
        <w:t>, 85 THE POLICE CHIEF 4, 34–36 (Apr. 2018), http://library.niwap.org/wp-content/uploads/PoliceChief_April-2018_Building-Trust-With-Immigrant-Victims.pdf</w:t>
      </w:r>
      <w:r>
        <w:rPr>
          <w:noProof/>
        </w:rPr>
        <w:tab/>
      </w:r>
      <w:hyperlink w:tooltip="Long: Immigrant Communities and Crime Victims, 85 THE POLICE CHI…" w:history="1" w:anchor="_BA_Cite_E43650_000175">
        <w:r>
          <w:rPr>
            <w:noProof/>
          </w:rPr>
          <w:t>10</w:t>
        </w:r>
      </w:hyperlink>
    </w:p>
    <w:p w:rsidR="003E75EA" w:rsidP="003E75EA" w:rsidRDefault="003E75EA" w14:paraId="3DA7AB69" w14:textId="77777777">
      <w:pPr>
        <w:pStyle w:val="BATOAEntry"/>
        <w:tabs>
          <w:tab w:val="left" w:pos="10080"/>
          <w:tab w:val="left" w:pos="10800"/>
          <w:tab w:val="left" w:pos="11520"/>
          <w:tab w:val="left" w:pos="12240"/>
        </w:tabs>
        <w:rPr>
          <w:noProof/>
        </w:rPr>
      </w:pPr>
      <w:r>
        <w:rPr>
          <w:noProof/>
        </w:rPr>
        <w:t xml:space="preserve">Immigration, </w:t>
      </w:r>
      <w:r>
        <w:rPr>
          <w:i/>
          <w:iCs/>
          <w:noProof/>
        </w:rPr>
        <w:t>Reforming the Immigration System: Proposals to Promote Independence, Fairness, Efficiency, and Professionalism in the Adjudication of Removal Cases</w:t>
      </w:r>
      <w:r>
        <w:rPr>
          <w:noProof/>
        </w:rPr>
        <w:t xml:space="preserve"> 5-8 (2010)</w:t>
      </w:r>
      <w:r>
        <w:rPr>
          <w:noProof/>
        </w:rPr>
        <w:tab/>
      </w:r>
      <w:hyperlink w:tooltip="Long: Immigration, Reforming the Immigration System: Proposals t…" w:history="1" w:anchor="_BA_Cite_E43650_000227">
        <w:r>
          <w:rPr>
            <w:noProof/>
          </w:rPr>
          <w:t>8</w:t>
        </w:r>
      </w:hyperlink>
    </w:p>
    <w:p w:rsidR="003E75EA" w:rsidP="003E75EA" w:rsidRDefault="003E75EA" w14:paraId="6467A180" w14:textId="77777777">
      <w:pPr>
        <w:pStyle w:val="BATOAEntry"/>
        <w:tabs>
          <w:tab w:val="left" w:pos="10080"/>
          <w:tab w:val="left" w:pos="10800"/>
          <w:tab w:val="left" w:pos="11520"/>
          <w:tab w:val="left" w:pos="12240"/>
        </w:tabs>
        <w:rPr>
          <w:noProof/>
        </w:rPr>
      </w:pPr>
      <w:r>
        <w:rPr>
          <w:noProof/>
        </w:rPr>
        <w:lastRenderedPageBreak/>
        <w:t>L.A. Times, May 23, 2011, http://articles.latimes.com/2011/may/23/opinion/la-ed-secure-20110523</w:t>
      </w:r>
      <w:r>
        <w:rPr>
          <w:noProof/>
        </w:rPr>
        <w:tab/>
      </w:r>
      <w:hyperlink w:tooltip="Long: L.A. Times, May 23, 2011,  http://articles.latimes.com/201…" w:history="1" w:anchor="_BA_Cite_E43650_000167">
        <w:r>
          <w:rPr>
            <w:noProof/>
          </w:rPr>
          <w:t>5</w:t>
        </w:r>
      </w:hyperlink>
    </w:p>
    <w:p w:rsidR="003E75EA" w:rsidP="003E75EA" w:rsidRDefault="003E75EA" w14:paraId="76AB9AD7" w14:textId="77777777">
      <w:pPr>
        <w:pStyle w:val="BATOAEntry"/>
        <w:tabs>
          <w:tab w:val="left" w:pos="10080"/>
          <w:tab w:val="left" w:pos="10800"/>
          <w:tab w:val="left" w:pos="11520"/>
          <w:tab w:val="left" w:pos="12240"/>
        </w:tabs>
        <w:rPr>
          <w:noProof/>
        </w:rPr>
      </w:pPr>
      <w:r>
        <w:rPr>
          <w:noProof/>
        </w:rPr>
        <w:t xml:space="preserve">Lewis, </w:t>
      </w:r>
      <w:r>
        <w:rPr>
          <w:i/>
          <w:iCs/>
          <w:noProof/>
        </w:rPr>
        <w:t>The Mills of Cruelty</w:t>
      </w:r>
      <w:r>
        <w:rPr>
          <w:noProof/>
        </w:rPr>
        <w:t>, New York Times, Dec. 14, 1999</w:t>
      </w:r>
      <w:r>
        <w:rPr>
          <w:noProof/>
        </w:rPr>
        <w:tab/>
      </w:r>
      <w:hyperlink w:tooltip="Long: Lewis, The Mills of Cruelty, New York Times, Dec. 14, 1999" w:history="1" w:anchor="_BA_Cite_E43650_000149">
        <w:r>
          <w:rPr>
            <w:noProof/>
          </w:rPr>
          <w:t>4</w:t>
        </w:r>
      </w:hyperlink>
    </w:p>
    <w:p w:rsidR="003E75EA" w:rsidP="003E75EA" w:rsidRDefault="003E75EA" w14:paraId="30602729" w14:textId="77777777">
      <w:pPr>
        <w:pStyle w:val="BATOAEntry"/>
        <w:tabs>
          <w:tab w:val="left" w:pos="10080"/>
          <w:tab w:val="left" w:pos="10800"/>
          <w:tab w:val="left" w:pos="11520"/>
          <w:tab w:val="left" w:pos="12240"/>
        </w:tabs>
        <w:rPr>
          <w:noProof/>
        </w:rPr>
      </w:pPr>
      <w:r>
        <w:rPr>
          <w:noProof/>
        </w:rPr>
        <w:t xml:space="preserve">Marsh, Anthony, Emerson, &amp; Mogulescu, </w:t>
      </w:r>
      <w:r>
        <w:rPr>
          <w:i/>
          <w:iCs/>
          <w:noProof/>
        </w:rPr>
        <w:t>State Report Cards: Grading Criminal Record Relief Laws for Survivors of Human Trafficking</w:t>
      </w:r>
      <w:r>
        <w:rPr>
          <w:noProof/>
        </w:rPr>
        <w:t xml:space="preserve">, 5, Polaris Project (2019) https://polarisproject.org/wp-content/uploads/2019/03/Grading-Criminal-Record-Relief-Laws-for-Survivors-of-Human-Trafficking.pdf. </w:t>
      </w:r>
      <w:r>
        <w:rPr>
          <w:noProof/>
        </w:rPr>
        <w:tab/>
      </w:r>
      <w:hyperlink w:tooltip="Long: Marsh, Anthony, Emerson, &amp; Mogulescu, State Report Cards: …" w:history="1" w:anchor="_BA_Cite_E43650_000268">
        <w:r>
          <w:rPr>
            <w:noProof/>
          </w:rPr>
          <w:t>6</w:t>
        </w:r>
      </w:hyperlink>
    </w:p>
    <w:p w:rsidR="003E75EA" w:rsidP="003E75EA" w:rsidRDefault="003E75EA" w14:paraId="73CB2FE0" w14:textId="77777777">
      <w:pPr>
        <w:pStyle w:val="BATOAEntry"/>
        <w:tabs>
          <w:tab w:val="left" w:pos="10080"/>
          <w:tab w:val="left" w:pos="10800"/>
          <w:tab w:val="left" w:pos="11520"/>
          <w:tab w:val="left" w:pos="12240"/>
        </w:tabs>
        <w:rPr>
          <w:noProof/>
        </w:rPr>
      </w:pPr>
      <w:r>
        <w:rPr>
          <w:noProof/>
        </w:rPr>
        <w:t xml:space="preserve">Miller, </w:t>
      </w:r>
      <w:r>
        <w:rPr>
          <w:i/>
          <w:iCs/>
          <w:noProof/>
        </w:rPr>
        <w:t>The Paradox of Women Arrested for Domestic Violence: Criminal Justice Professionals and Service Providers Respond</w:t>
      </w:r>
      <w:r>
        <w:rPr>
          <w:noProof/>
        </w:rPr>
        <w:tab/>
      </w:r>
      <w:hyperlink w:tooltip="Long: Miller, The Paradox of Women Arrested for Domestic Violenc…" w:history="1" w:anchor="_BA_Cite_E43650_000221">
        <w:r>
          <w:rPr>
            <w:noProof/>
          </w:rPr>
          <w:t>4</w:t>
        </w:r>
      </w:hyperlink>
    </w:p>
    <w:p w:rsidR="003E75EA" w:rsidP="003E07F6" w:rsidRDefault="003E75EA" w14:paraId="16259CE7" w14:textId="1113378D">
      <w:pPr>
        <w:pStyle w:val="BATOAEntry"/>
        <w:tabs>
          <w:tab w:val="left" w:pos="10080"/>
          <w:tab w:val="left" w:pos="10800"/>
          <w:tab w:val="left" w:pos="11520"/>
          <w:tab w:val="left" w:pos="12240"/>
        </w:tabs>
        <w:rPr>
          <w:noProof/>
        </w:rPr>
      </w:pPr>
      <w:r>
        <w:rPr>
          <w:i/>
          <w:iCs/>
          <w:noProof/>
        </w:rPr>
        <w:t>National State Law Survey: Expungement and Vacatur Laws</w:t>
      </w:r>
      <w:r>
        <w:rPr>
          <w:noProof/>
        </w:rPr>
        <w:t>, Shared Hope Int’l (2017), https://sharedhope.org/wp-content/uploads/2016/03/NSL_Survey_Expungement-and-Vacatur-Laws.pdf</w:t>
      </w:r>
      <w:r>
        <w:rPr>
          <w:noProof/>
        </w:rPr>
        <w:tab/>
      </w:r>
      <w:hyperlink w:tooltip="Long: National State Law Survey: Expungement and Vacatur Laws, S…" w:history="1" w:anchor="_BA_Cite_E43650_000266">
        <w:r>
          <w:rPr>
            <w:noProof/>
          </w:rPr>
          <w:t>14</w:t>
        </w:r>
      </w:hyperlink>
    </w:p>
    <w:p w:rsidR="003E75EA" w:rsidP="003E75EA" w:rsidRDefault="003E75EA" w14:paraId="3C010171" w14:textId="77777777">
      <w:pPr>
        <w:pStyle w:val="BATOAEntry"/>
        <w:tabs>
          <w:tab w:val="left" w:pos="10080"/>
          <w:tab w:val="left" w:pos="10800"/>
          <w:tab w:val="left" w:pos="11520"/>
          <w:tab w:val="left" w:pos="12240"/>
        </w:tabs>
        <w:rPr>
          <w:noProof/>
        </w:rPr>
      </w:pPr>
      <w:r>
        <w:rPr>
          <w:noProof/>
        </w:rPr>
        <w:t>Representatives Family Unity and Employment Opportunity Immigration Act, 136 Cong. Rec. H8642 (Oct. 2, 1990) (Statement of Rep. Slaughter)</w:t>
      </w:r>
      <w:r>
        <w:rPr>
          <w:noProof/>
        </w:rPr>
        <w:tab/>
      </w:r>
      <w:hyperlink w:tooltip="Long: Representatives Family Unity and Employment Opportunity Im…" w:history="1" w:anchor="_BA_Cite_E43650_000019">
        <w:r>
          <w:rPr>
            <w:noProof/>
          </w:rPr>
          <w:t>10</w:t>
        </w:r>
      </w:hyperlink>
    </w:p>
    <w:p w:rsidR="003E75EA" w:rsidRDefault="003E75EA" w14:paraId="77E46844" w14:textId="28092DBE">
      <w:pPr>
        <w:pStyle w:val="BATOAEntry"/>
        <w:tabs>
          <w:tab w:val="left" w:pos="10080"/>
          <w:tab w:val="left" w:pos="10800"/>
          <w:tab w:val="left" w:pos="11520"/>
          <w:tab w:val="left" w:pos="12240"/>
        </w:tabs>
        <w:rPr>
          <w:noProof/>
        </w:rPr>
      </w:pPr>
      <w:r>
        <w:rPr>
          <w:noProof/>
        </w:rPr>
        <w:t xml:space="preserve">Richert, </w:t>
      </w:r>
      <w:r>
        <w:rPr>
          <w:i/>
          <w:iCs/>
          <w:noProof/>
        </w:rPr>
        <w:t>Failed Interventions: Domestic Violence, Human Trafficking, and the Criminalization of Survival</w:t>
      </w:r>
      <w:r>
        <w:rPr>
          <w:noProof/>
        </w:rPr>
        <w:t>, 120 Mich. L. Rev. 315, 327 n. 93 (2021)</w:t>
      </w:r>
      <w:r>
        <w:rPr>
          <w:noProof/>
        </w:rPr>
        <w:tab/>
      </w:r>
      <w:hyperlink w:tooltip="Long: Richert, Failed Interventions: Domestic Violence, Human Tr…" w:history="1" w:anchor="_BA_Cite_E43650_000151">
        <w:r>
          <w:rPr>
            <w:noProof/>
          </w:rPr>
          <w:t>13</w:t>
        </w:r>
      </w:hyperlink>
    </w:p>
    <w:p w:rsidR="003E75EA" w:rsidP="003E75EA" w:rsidRDefault="003E75EA" w14:paraId="10810187" w14:textId="1D7AEBAF">
      <w:pPr>
        <w:pStyle w:val="BATOAEntry"/>
        <w:tabs>
          <w:tab w:val="left" w:pos="10080"/>
          <w:tab w:val="left" w:pos="10800"/>
          <w:tab w:val="left" w:pos="11520"/>
          <w:tab w:val="left" w:pos="12240"/>
        </w:tabs>
        <w:rPr>
          <w:noProof/>
        </w:rPr>
      </w:pPr>
      <w:r>
        <w:rPr>
          <w:noProof/>
        </w:rPr>
        <w:t xml:space="preserve">State Courts Collaborative, </w:t>
      </w:r>
      <w:r>
        <w:rPr>
          <w:i/>
          <w:iCs/>
          <w:noProof/>
        </w:rPr>
        <w:t>Post-Conviction Relief for Human Trafficking Victims Convicted of Crimes Coerced By a Trafficker</w:t>
      </w:r>
      <w:r>
        <w:rPr>
          <w:noProof/>
        </w:rPr>
        <w:t xml:space="preserve"> (Aug. 2015), http://www.htcourts.org/wp-content/uploads/150904_PostConviction_Relief_forHTvictims_v05.pdf</w:t>
      </w:r>
      <w:r>
        <w:rPr>
          <w:noProof/>
        </w:rPr>
        <w:tab/>
      </w:r>
      <w:hyperlink w:tooltip="Long: State Courts Collaborative, Post-Conviction Relief for Hum…" w:history="1" w:anchor="_BA_Cite_E43650_000155">
        <w:r>
          <w:rPr>
            <w:noProof/>
          </w:rPr>
          <w:t>2</w:t>
        </w:r>
      </w:hyperlink>
      <w:r w:rsidR="00A6061A">
        <w:rPr>
          <w:noProof/>
        </w:rPr>
        <w:t>, 3, 4</w:t>
      </w:r>
    </w:p>
    <w:p w:rsidR="003E75EA" w:rsidP="003E75EA" w:rsidRDefault="003E75EA" w14:paraId="40243F3B" w14:textId="77777777">
      <w:pPr>
        <w:pStyle w:val="BATOAEntry"/>
        <w:tabs>
          <w:tab w:val="left" w:pos="10080"/>
          <w:tab w:val="left" w:pos="10800"/>
          <w:tab w:val="left" w:pos="11520"/>
          <w:tab w:val="left" w:pos="12240"/>
        </w:tabs>
        <w:rPr>
          <w:noProof/>
        </w:rPr>
      </w:pPr>
      <w:r>
        <w:rPr>
          <w:i/>
          <w:iCs/>
          <w:noProof/>
        </w:rPr>
        <w:t>T and U-Visas, Battered Spouse Waiver, and VAWA Confidentiality</w:t>
      </w:r>
      <w:r>
        <w:rPr>
          <w:noProof/>
        </w:rPr>
        <w:t>, Nat’l Immigrant Women’s Advocacy Project (June 17, 2015), https://niwaplibrary.wcl.american.edu/pubs/vawa_leg-history_final-6-17-15-sji</w:t>
      </w:r>
      <w:r>
        <w:rPr>
          <w:noProof/>
        </w:rPr>
        <w:tab/>
      </w:r>
      <w:hyperlink w:tooltip="Long: T and U-Visas, Battered Spouse Waiver, and VAWA Confidenti…" w:history="1" w:anchor="_BA_Cite_E43650_000177">
        <w:r>
          <w:rPr>
            <w:noProof/>
          </w:rPr>
          <w:t>11</w:t>
        </w:r>
      </w:hyperlink>
    </w:p>
    <w:p w:rsidR="003E75EA" w:rsidP="003E75EA" w:rsidRDefault="003E75EA" w14:paraId="499A9433" w14:textId="77777777">
      <w:pPr>
        <w:pStyle w:val="BATOAEntry"/>
        <w:tabs>
          <w:tab w:val="left" w:pos="10080"/>
          <w:tab w:val="left" w:pos="10800"/>
          <w:tab w:val="left" w:pos="11520"/>
          <w:tab w:val="left" w:pos="12240"/>
        </w:tabs>
        <w:rPr>
          <w:noProof/>
        </w:rPr>
      </w:pPr>
      <w:r>
        <w:rPr>
          <w:i/>
          <w:iCs/>
          <w:noProof/>
        </w:rPr>
        <w:t>Trafficking Survivors</w:t>
      </w:r>
      <w:r>
        <w:rPr>
          <w:noProof/>
        </w:rPr>
        <w:t>, Freedom Network USA (Dec. 6, 2021) https://freedomnetworkusa.org/2021/11/10/impact-of-arrest-and-conviction-histories-on-trafficking-survivors/</w:t>
      </w:r>
      <w:r>
        <w:rPr>
          <w:noProof/>
        </w:rPr>
        <w:tab/>
      </w:r>
      <w:hyperlink w:tooltip="Long: Trafficking Survivors, Freedom Network USA, (Dec. 6, 2021)…" w:history="1" w:anchor="_BA_Cite_E43650_000173">
        <w:r>
          <w:rPr>
            <w:noProof/>
          </w:rPr>
          <w:t>7</w:t>
        </w:r>
      </w:hyperlink>
    </w:p>
    <w:p w:rsidR="003E75EA" w:rsidP="003E75EA" w:rsidRDefault="003E75EA" w14:paraId="4A34333B" w14:textId="77777777">
      <w:pPr>
        <w:pStyle w:val="BATOAEntry"/>
        <w:tabs>
          <w:tab w:val="left" w:pos="10080"/>
          <w:tab w:val="left" w:pos="10800"/>
          <w:tab w:val="left" w:pos="11520"/>
          <w:tab w:val="left" w:pos="12240"/>
        </w:tabs>
        <w:rPr>
          <w:noProof/>
        </w:rPr>
      </w:pPr>
      <w:r>
        <w:rPr>
          <w:noProof/>
        </w:rPr>
        <w:t xml:space="preserve">U.S. Immigration and Customs Enforcement, </w:t>
      </w:r>
      <w:r>
        <w:rPr>
          <w:i/>
          <w:iCs/>
          <w:noProof/>
        </w:rPr>
        <w:t>Prosecutorial Discretion: Certain Victims, Witnesses, and Plaintiffs</w:t>
      </w:r>
      <w:r>
        <w:rPr>
          <w:noProof/>
        </w:rPr>
        <w:t xml:space="preserve"> (June. 17, 2011), https://www.ice.gov/doclib/foia/prosecutorial-discretion/certain-victims-witnesses-plaintiffs.pdf</w:t>
      </w:r>
      <w:r>
        <w:rPr>
          <w:noProof/>
        </w:rPr>
        <w:tab/>
      </w:r>
      <w:hyperlink w:tooltip="Long: U.S. Immigration and Customs Enforcement, Prosecutorial Di…" w:history="1" w:anchor="_BA_Cite_E43650_000159">
        <w:r>
          <w:rPr>
            <w:noProof/>
          </w:rPr>
          <w:t>12</w:t>
        </w:r>
      </w:hyperlink>
    </w:p>
    <w:p w:rsidR="003E75EA" w:rsidP="003E75EA" w:rsidRDefault="003E75EA" w14:paraId="4F9E3BF2" w14:textId="77777777">
      <w:pPr>
        <w:pStyle w:val="BATOAEntry"/>
        <w:tabs>
          <w:tab w:val="left" w:pos="10080"/>
          <w:tab w:val="left" w:pos="10800"/>
          <w:tab w:val="left" w:pos="11520"/>
          <w:tab w:val="left" w:pos="12240"/>
        </w:tabs>
        <w:spacing w:after="120"/>
        <w:rPr>
          <w:noProof/>
        </w:rPr>
      </w:pPr>
      <w:r>
        <w:rPr>
          <w:noProof/>
        </w:rPr>
        <w:t xml:space="preserve">Ulrich, J.D., </w:t>
      </w:r>
      <w:r>
        <w:rPr>
          <w:i/>
          <w:iCs/>
          <w:noProof/>
        </w:rPr>
        <w:t>Vacatur Statutes for Survivors of Sex Trafficking, Amara Legal Center</w:t>
      </w:r>
      <w:r>
        <w:rPr>
          <w:noProof/>
        </w:rPr>
        <w:t xml:space="preserve"> 5 (2016), https://www.amaralegal.org/wp-content/uploads/2016/06/Vacatur-Statutes-for-Survivors-of-Sex-Trafficking.pdf</w:t>
      </w:r>
      <w:r>
        <w:rPr>
          <w:noProof/>
        </w:rPr>
        <w:tab/>
      </w:r>
      <w:hyperlink w:tooltip="Long: Ulrich, J.D., Vacatur Statutes for Survivors of Sex Traffi…" w:history="1" w:anchor="_BA_Cite_E43650_000161">
        <w:r>
          <w:rPr>
            <w:noProof/>
          </w:rPr>
          <w:t>15</w:t>
        </w:r>
      </w:hyperlink>
    </w:p>
    <w:bookmarkEnd w:id="4"/>
    <w:bookmarkEnd w:id="5"/>
    <w:p w:rsidRPr="000750D6" w:rsidR="00054A54" w:rsidP="000750D6" w:rsidRDefault="00054A54" w14:paraId="5121DCB3" w14:textId="0BF41A21"/>
    <w:p w:rsidR="00054A54" w:rsidP="00054A54" w:rsidRDefault="00054A54" w14:paraId="4455AA55" w14:textId="590C8A48">
      <w:pPr>
        <w:widowControl w:val="0"/>
        <w:spacing w:line="480" w:lineRule="auto"/>
        <w:rPr>
          <w:b/>
          <w:bCs/>
          <w:szCs w:val="24"/>
          <w:u w:val="single"/>
        </w:rPr>
        <w:sectPr w:rsidR="00054A54" w:rsidSect="00EF79F8">
          <w:pgSz w:w="12240" w:h="15840"/>
          <w:pgMar w:top="1440" w:right="1440" w:bottom="1440" w:left="1440" w:header="720" w:footer="720" w:gutter="0"/>
          <w:pgNumType w:fmt="lowerRoman"/>
          <w:cols w:space="720"/>
          <w:titlePg/>
          <w:docGrid w:linePitch="360"/>
        </w:sectPr>
      </w:pPr>
    </w:p>
    <w:p w:rsidRPr="00E97AE3" w:rsidR="0016367A" w:rsidP="003B1DCD" w:rsidRDefault="0016367A" w14:paraId="585ADDA4" w14:textId="1D1B88A4">
      <w:pPr>
        <w:pStyle w:val="Heading1"/>
        <w:rPr>
          <w:b w:val="0"/>
        </w:rPr>
      </w:pPr>
      <w:bookmarkStart w:name="_Toc101944973" w:id="6"/>
      <w:r w:rsidRPr="00E97AE3">
        <w:lastRenderedPageBreak/>
        <w:t>INTRODUCTION</w:t>
      </w:r>
      <w:bookmarkEnd w:id="6"/>
    </w:p>
    <w:p w:rsidRPr="003E75EA" w:rsidR="00CB65D3" w:rsidP="00FE3A6D" w:rsidRDefault="006C1CA1" w14:paraId="5F3E4B2A" w14:textId="78A24A2D">
      <w:pPr>
        <w:widowControl w:val="0"/>
        <w:spacing w:line="480" w:lineRule="auto"/>
        <w:ind w:firstLine="720"/>
        <w:jc w:val="both"/>
        <w:rPr>
          <w:szCs w:val="24"/>
        </w:rPr>
      </w:pPr>
      <w:bookmarkStart w:name="_Hlk101108174" w:id="7"/>
      <w:bookmarkStart w:name="_BA_Bookmark_ScanRange_All" w:id="8"/>
      <w:bookmarkStart w:name="_BA_ScanRange_Temp_All" w:id="9"/>
      <w:bookmarkEnd w:id="2"/>
      <w:r w:rsidRPr="003E75EA">
        <w:t>The</w:t>
      </w:r>
      <w:r w:rsidRPr="003E75EA" w:rsidR="00FE3A6D">
        <w:t xml:space="preserve"> Board of Immigration Appeals</w:t>
      </w:r>
      <w:r w:rsidRPr="003E75EA">
        <w:t xml:space="preserve"> </w:t>
      </w:r>
      <w:r w:rsidRPr="003E75EA" w:rsidR="00FE3A6D">
        <w:t>(the “</w:t>
      </w:r>
      <w:r w:rsidRPr="003E75EA">
        <w:t>B</w:t>
      </w:r>
      <w:r w:rsidRPr="003E75EA" w:rsidR="00911C4E">
        <w:t>IA</w:t>
      </w:r>
      <w:r w:rsidRPr="003E75EA" w:rsidR="00FE3A6D">
        <w:t>”)</w:t>
      </w:r>
      <w:r w:rsidRPr="003E75EA">
        <w:t xml:space="preserve"> should consider </w:t>
      </w:r>
      <w:bookmarkStart w:name="_Hlk101876511" w:id="10"/>
      <w:r w:rsidRPr="003E75EA">
        <w:t xml:space="preserve">the impacts of domestic violence, sexual assault, human trafficking, or other forms of gender-based violence </w:t>
      </w:r>
      <w:r w:rsidRPr="003E75EA" w:rsidR="00A80D1A">
        <w:rPr>
          <w:szCs w:val="24"/>
        </w:rPr>
        <w:t>when determining whether to grant an untimely motion to reopen premised on a vacatur of a criminal conviction</w:t>
      </w:r>
      <w:bookmarkEnd w:id="10"/>
      <w:r w:rsidRPr="003E75EA" w:rsidR="00A80D1A">
        <w:rPr>
          <w:szCs w:val="24"/>
        </w:rPr>
        <w:t xml:space="preserve">. </w:t>
      </w:r>
      <w:r w:rsidRPr="003E75EA" w:rsidR="00CB65D3">
        <w:rPr>
          <w:szCs w:val="24"/>
        </w:rPr>
        <w:t>The equitable tolling of the deadline to file a motion to reopen should be available to survivors</w:t>
      </w:r>
      <w:r w:rsidRPr="003E75EA" w:rsidR="009050F0">
        <w:rPr>
          <w:szCs w:val="24"/>
        </w:rPr>
        <w:t xml:space="preserve"> of gender-based violence</w:t>
      </w:r>
      <w:r w:rsidRPr="003E75EA" w:rsidR="00CB65D3">
        <w:rPr>
          <w:szCs w:val="24"/>
        </w:rPr>
        <w:t xml:space="preserve"> with vacated convictions, as the victimization of the </w:t>
      </w:r>
      <w:r w:rsidRPr="003E75EA" w:rsidR="009050F0">
        <w:rPr>
          <w:szCs w:val="24"/>
        </w:rPr>
        <w:t xml:space="preserve">abuse can give rise to extraordinary circumstances that warrant such tolling. </w:t>
      </w:r>
    </w:p>
    <w:p w:rsidRPr="003E75EA" w:rsidR="00C76490" w:rsidRDefault="00911C4E" w14:paraId="18055ECE" w14:textId="2BE86A30">
      <w:pPr>
        <w:widowControl w:val="0"/>
        <w:spacing w:line="480" w:lineRule="auto"/>
        <w:ind w:firstLine="720"/>
        <w:jc w:val="both"/>
        <w:rPr>
          <w:szCs w:val="24"/>
        </w:rPr>
      </w:pPr>
      <w:r w:rsidRPr="003E75EA">
        <w:rPr>
          <w:szCs w:val="24"/>
        </w:rPr>
        <w:t xml:space="preserve">The </w:t>
      </w:r>
      <w:r w:rsidRPr="003E75EA" w:rsidR="0099787E">
        <w:rPr>
          <w:szCs w:val="24"/>
        </w:rPr>
        <w:t>Immigration and Nationality Act’s (the “I</w:t>
      </w:r>
      <w:bookmarkStart w:name="_BA_Cite_E43650_000035" w:id="11"/>
      <w:bookmarkEnd w:id="11"/>
      <w:r w:rsidRPr="003E75EA" w:rsidR="0099787E">
        <w:rPr>
          <w:szCs w:val="24"/>
        </w:rPr>
        <w:t xml:space="preserve">NA”) </w:t>
      </w:r>
      <w:r w:rsidRPr="003E75EA">
        <w:rPr>
          <w:szCs w:val="24"/>
        </w:rPr>
        <w:t xml:space="preserve">default time limit of ninety (90) days after the entry of a final administrative order of removal </w:t>
      </w:r>
      <w:r w:rsidRPr="003E75EA" w:rsidR="005A2DE5">
        <w:rPr>
          <w:szCs w:val="24"/>
        </w:rPr>
        <w:t xml:space="preserve">to file a motion to reopen can be extremely daunting to navigate, especially in light of </w:t>
      </w:r>
      <w:r w:rsidRPr="003E75EA" w:rsidR="0099787E">
        <w:rPr>
          <w:szCs w:val="24"/>
        </w:rPr>
        <w:t xml:space="preserve">the </w:t>
      </w:r>
      <w:r w:rsidRPr="003E75EA" w:rsidR="005A2DE5">
        <w:rPr>
          <w:szCs w:val="24"/>
        </w:rPr>
        <w:t xml:space="preserve">various challenges that </w:t>
      </w:r>
      <w:r w:rsidRPr="003E75EA" w:rsidR="0099787E">
        <w:rPr>
          <w:szCs w:val="24"/>
        </w:rPr>
        <w:t xml:space="preserve">survivors of gender-based violence may face, such as </w:t>
      </w:r>
      <w:r w:rsidRPr="003E75EA" w:rsidR="009050F0">
        <w:rPr>
          <w:szCs w:val="24"/>
        </w:rPr>
        <w:t>recovering from the abuse itself, the lack of counsel</w:t>
      </w:r>
      <w:r w:rsidRPr="003E75EA" w:rsidR="004872AA">
        <w:rPr>
          <w:szCs w:val="24"/>
        </w:rPr>
        <w:t>, and the inability to access</w:t>
      </w:r>
      <w:r w:rsidRPr="003E75EA" w:rsidR="003A2647">
        <w:rPr>
          <w:szCs w:val="24"/>
        </w:rPr>
        <w:t xml:space="preserve"> other effective</w:t>
      </w:r>
      <w:r w:rsidRPr="003E75EA" w:rsidR="009050F0">
        <w:rPr>
          <w:szCs w:val="24"/>
        </w:rPr>
        <w:t xml:space="preserve"> resources</w:t>
      </w:r>
      <w:r w:rsidRPr="003E75EA" w:rsidR="004872AA">
        <w:rPr>
          <w:szCs w:val="24"/>
        </w:rPr>
        <w:t xml:space="preserve"> during the</w:t>
      </w:r>
      <w:r w:rsidRPr="003E75EA" w:rsidR="00EC2F95">
        <w:rPr>
          <w:szCs w:val="24"/>
        </w:rPr>
        <w:t>ir</w:t>
      </w:r>
      <w:r w:rsidRPr="003E75EA" w:rsidR="004872AA">
        <w:rPr>
          <w:szCs w:val="24"/>
        </w:rPr>
        <w:t xml:space="preserve"> immigration proceedings</w:t>
      </w:r>
      <w:r w:rsidRPr="003E75EA" w:rsidR="0099787E">
        <w:rPr>
          <w:szCs w:val="24"/>
        </w:rPr>
        <w:t>. While there are</w:t>
      </w:r>
      <w:r w:rsidRPr="003E75EA" w:rsidR="000A4571">
        <w:rPr>
          <w:szCs w:val="24"/>
        </w:rPr>
        <w:t xml:space="preserve"> some</w:t>
      </w:r>
      <w:r w:rsidRPr="003E75EA" w:rsidR="0099787E">
        <w:rPr>
          <w:szCs w:val="24"/>
        </w:rPr>
        <w:t xml:space="preserve"> </w:t>
      </w:r>
      <w:r w:rsidRPr="003E75EA" w:rsidR="000A4571">
        <w:rPr>
          <w:szCs w:val="24"/>
        </w:rPr>
        <w:t xml:space="preserve">limited </w:t>
      </w:r>
      <w:r w:rsidRPr="003E75EA" w:rsidR="0099787E">
        <w:rPr>
          <w:szCs w:val="24"/>
        </w:rPr>
        <w:t>exceptions to the ninety (90) day deadline</w:t>
      </w:r>
      <w:r w:rsidRPr="003E75EA" w:rsidR="008C5822">
        <w:rPr>
          <w:szCs w:val="24"/>
        </w:rPr>
        <w:t>,</w:t>
      </w:r>
      <w:r w:rsidRPr="003E75EA" w:rsidR="003A2647">
        <w:rPr>
          <w:szCs w:val="24"/>
        </w:rPr>
        <w:t xml:space="preserve"> </w:t>
      </w:r>
      <w:r w:rsidRPr="003E75EA" w:rsidR="000162D1">
        <w:rPr>
          <w:szCs w:val="24"/>
        </w:rPr>
        <w:t xml:space="preserve">these exceptions may not apply to all survivors of gender-based violence if they are not seeking relief under these designated provisions. </w:t>
      </w:r>
      <w:r w:rsidRPr="003E75EA" w:rsidR="000A4571">
        <w:rPr>
          <w:szCs w:val="24"/>
        </w:rPr>
        <w:t xml:space="preserve">For instance, noncitizens who later become eligible for relief, such as immigrant survivors who obtain an approved U-visa, an approved application for SIJS status, or derivative asylum status through a spouse or parent, would be foreclosed from reopening their removal orders. </w:t>
      </w:r>
      <w:r w:rsidRPr="003E75EA" w:rsidR="000162D1">
        <w:rPr>
          <w:szCs w:val="24"/>
        </w:rPr>
        <w:t xml:space="preserve">Indeed, </w:t>
      </w:r>
      <w:r w:rsidRPr="003E75EA" w:rsidR="00CB65D3">
        <w:rPr>
          <w:szCs w:val="24"/>
        </w:rPr>
        <w:t xml:space="preserve">in the interest of fairness, </w:t>
      </w:r>
      <w:r w:rsidRPr="003E75EA" w:rsidR="000162D1">
        <w:rPr>
          <w:szCs w:val="24"/>
        </w:rPr>
        <w:t>the legislative intent of the I</w:t>
      </w:r>
      <w:bookmarkStart w:name="_BA_Cite_E43650_000037" w:id="12"/>
      <w:bookmarkEnd w:id="12"/>
      <w:r w:rsidRPr="003E75EA" w:rsidR="000162D1">
        <w:rPr>
          <w:szCs w:val="24"/>
        </w:rPr>
        <w:t xml:space="preserve">NA was to provide </w:t>
      </w:r>
      <w:r w:rsidRPr="003E75EA" w:rsidR="00C76490">
        <w:rPr>
          <w:szCs w:val="24"/>
        </w:rPr>
        <w:t xml:space="preserve">equitable tolling </w:t>
      </w:r>
      <w:r w:rsidRPr="003E75EA" w:rsidR="000162D1">
        <w:rPr>
          <w:szCs w:val="24"/>
        </w:rPr>
        <w:t xml:space="preserve">for all survivors of gender-based violence </w:t>
      </w:r>
      <w:r w:rsidRPr="003E75EA" w:rsidR="00CB65D3">
        <w:rPr>
          <w:szCs w:val="24"/>
        </w:rPr>
        <w:t xml:space="preserve">to file a motion to reopen. </w:t>
      </w:r>
      <w:r w:rsidRPr="003E75EA" w:rsidR="003A2647">
        <w:rPr>
          <w:szCs w:val="24"/>
        </w:rPr>
        <w:t>This</w:t>
      </w:r>
      <w:r w:rsidRPr="003E75EA" w:rsidR="007D2EB4">
        <w:rPr>
          <w:szCs w:val="24"/>
        </w:rPr>
        <w:t xml:space="preserve"> intent can be further gleaned from the statute itself</w:t>
      </w:r>
      <w:r w:rsidRPr="003E75EA" w:rsidR="004872AA">
        <w:rPr>
          <w:szCs w:val="24"/>
        </w:rPr>
        <w:t xml:space="preserve">, </w:t>
      </w:r>
      <w:r w:rsidRPr="003E75EA" w:rsidR="007D2EB4">
        <w:rPr>
          <w:szCs w:val="24"/>
        </w:rPr>
        <w:t xml:space="preserve">as </w:t>
      </w:r>
      <w:r w:rsidRPr="003E75EA" w:rsidR="004872AA">
        <w:rPr>
          <w:szCs w:val="24"/>
        </w:rPr>
        <w:t xml:space="preserve">domestic violence is considered an “exceptional circumstance” that can excuse the failure to appear at a removal hearing. </w:t>
      </w:r>
      <w:bookmarkStart w:name="_heading=h.e3fe28r2gitw" w:colFirst="0" w:colLast="0" w:id="13"/>
      <w:bookmarkEnd w:id="13"/>
    </w:p>
    <w:p w:rsidRPr="003E75EA" w:rsidR="005A2DE5" w:rsidRDefault="00C76490" w14:paraId="14353E92" w14:textId="6C14B135">
      <w:pPr>
        <w:widowControl w:val="0"/>
        <w:spacing w:line="480" w:lineRule="auto"/>
        <w:ind w:firstLine="720"/>
        <w:jc w:val="both"/>
        <w:rPr>
          <w:szCs w:val="24"/>
        </w:rPr>
      </w:pPr>
      <w:r w:rsidRPr="003E75EA">
        <w:rPr>
          <w:szCs w:val="24"/>
        </w:rPr>
        <w:t>Accordingly, t</w:t>
      </w:r>
      <w:r w:rsidRPr="003E75EA" w:rsidR="003A2647">
        <w:rPr>
          <w:szCs w:val="24"/>
        </w:rPr>
        <w:t>here</w:t>
      </w:r>
      <w:r w:rsidRPr="003E75EA" w:rsidR="00AC656A">
        <w:rPr>
          <w:szCs w:val="24"/>
        </w:rPr>
        <w:t xml:space="preserve"> are several factors that the </w:t>
      </w:r>
      <w:r w:rsidRPr="003E75EA" w:rsidR="00911C4E">
        <w:rPr>
          <w:szCs w:val="24"/>
        </w:rPr>
        <w:t>BIA</w:t>
      </w:r>
      <w:r w:rsidRPr="003E75EA" w:rsidR="00AC656A">
        <w:rPr>
          <w:szCs w:val="24"/>
        </w:rPr>
        <w:t xml:space="preserve"> should </w:t>
      </w:r>
      <w:r w:rsidRPr="003E75EA" w:rsidR="00911C4E">
        <w:rPr>
          <w:szCs w:val="24"/>
        </w:rPr>
        <w:t xml:space="preserve">weigh when considering an untimely motion to reopen based on a vacatur of a criminal conviction. </w:t>
      </w:r>
    </w:p>
    <w:p w:rsidRPr="003E75EA" w:rsidR="007A2234" w:rsidRDefault="00A80D1A" w14:paraId="1B36E961" w14:textId="476C22DA">
      <w:pPr>
        <w:widowControl w:val="0"/>
        <w:spacing w:line="480" w:lineRule="auto"/>
        <w:ind w:firstLine="720"/>
        <w:jc w:val="both"/>
        <w:rPr>
          <w:szCs w:val="24"/>
        </w:rPr>
      </w:pPr>
      <w:r w:rsidRPr="003E75EA">
        <w:rPr>
          <w:szCs w:val="24"/>
        </w:rPr>
        <w:lastRenderedPageBreak/>
        <w:t xml:space="preserve">First, </w:t>
      </w:r>
      <w:r w:rsidRPr="003E75EA" w:rsidR="00930FEA">
        <w:rPr>
          <w:szCs w:val="24"/>
        </w:rPr>
        <w:t>the BIA should consider the circumstances surrounding the criminal conviction. T</w:t>
      </w:r>
      <w:r w:rsidRPr="003E75EA" w:rsidR="008B3B18">
        <w:rPr>
          <w:szCs w:val="24"/>
        </w:rPr>
        <w:t xml:space="preserve">he hard truth is that criminal convictions for </w:t>
      </w:r>
      <w:r w:rsidRPr="003E75EA" w:rsidR="00500F17">
        <w:rPr>
          <w:szCs w:val="24"/>
        </w:rPr>
        <w:t xml:space="preserve">survivors </w:t>
      </w:r>
      <w:r w:rsidRPr="003E75EA" w:rsidR="008B3B18">
        <w:rPr>
          <w:szCs w:val="24"/>
        </w:rPr>
        <w:t xml:space="preserve">of human trafficking, domestic violence, sexual assault, and other gender-based violence are often the result of the victimization itself. </w:t>
      </w:r>
      <w:bookmarkStart w:name="_Hlk101108190" w:id="14"/>
      <w:bookmarkEnd w:id="7"/>
      <w:r w:rsidRPr="003E75EA" w:rsidR="008B3B18">
        <w:rPr>
          <w:szCs w:val="24"/>
        </w:rPr>
        <w:t>T</w:t>
      </w:r>
      <w:r w:rsidRPr="003E75EA" w:rsidR="00960792">
        <w:rPr>
          <w:szCs w:val="24"/>
        </w:rPr>
        <w:t xml:space="preserve">raffickers often compel or force victims to commit crimes, causing trafficking </w:t>
      </w:r>
      <w:r w:rsidRPr="003E75EA" w:rsidR="00500F17">
        <w:rPr>
          <w:szCs w:val="24"/>
        </w:rPr>
        <w:t xml:space="preserve">survivors </w:t>
      </w:r>
      <w:r w:rsidRPr="003E75EA" w:rsidR="00960792">
        <w:rPr>
          <w:szCs w:val="24"/>
        </w:rPr>
        <w:t>to accumulate criminal convictions for crimes, such as prostitution, drug use, drug sales, theft, illegal peddling, resisting arrest, using false identification, gang activity, and recruiting other victims for the trafficker.</w:t>
      </w:r>
      <w:r w:rsidRPr="003E75EA" w:rsidR="00010FF6">
        <w:rPr>
          <w:rStyle w:val="FootnoteReference"/>
          <w:szCs w:val="24"/>
        </w:rPr>
        <w:footnoteReference w:id="1"/>
      </w:r>
      <w:r w:rsidRPr="003E75EA" w:rsidR="00EC2F95">
        <w:rPr>
          <w:szCs w:val="24"/>
        </w:rPr>
        <w:t xml:space="preserve"> </w:t>
      </w:r>
      <w:bookmarkStart w:name="_Hlk101108253" w:id="16"/>
      <w:bookmarkEnd w:id="14"/>
      <w:r w:rsidRPr="003E75EA" w:rsidR="007A2234">
        <w:rPr>
          <w:szCs w:val="24"/>
        </w:rPr>
        <w:t xml:space="preserve">Likewise, </w:t>
      </w:r>
      <w:r w:rsidRPr="003E75EA" w:rsidR="00AD0DD4">
        <w:rPr>
          <w:szCs w:val="24"/>
        </w:rPr>
        <w:t xml:space="preserve">survivors </w:t>
      </w:r>
      <w:r w:rsidRPr="003E75EA" w:rsidR="007A2234">
        <w:rPr>
          <w:szCs w:val="24"/>
        </w:rPr>
        <w:t xml:space="preserve">of </w:t>
      </w:r>
      <w:r w:rsidRPr="003E75EA" w:rsidR="009150FB">
        <w:rPr>
          <w:szCs w:val="24"/>
        </w:rPr>
        <w:t xml:space="preserve">gender-based violence </w:t>
      </w:r>
      <w:r w:rsidRPr="003E75EA" w:rsidR="007A2234">
        <w:rPr>
          <w:szCs w:val="24"/>
        </w:rPr>
        <w:t xml:space="preserve">may have criminal convictions that resulted </w:t>
      </w:r>
      <w:r w:rsidRPr="003E75EA" w:rsidR="009D6CE4">
        <w:rPr>
          <w:szCs w:val="24"/>
        </w:rPr>
        <w:t>from acts of</w:t>
      </w:r>
      <w:r w:rsidRPr="003E75EA" w:rsidR="007A2234">
        <w:rPr>
          <w:szCs w:val="24"/>
        </w:rPr>
        <w:t xml:space="preserve"> self-defense, or may be arrested under false charges made by their abusers. </w:t>
      </w:r>
      <w:r w:rsidRPr="003E75EA" w:rsidR="00930FEA">
        <w:rPr>
          <w:szCs w:val="24"/>
        </w:rPr>
        <w:t>The underlying reasons for these criminal acts – a direct result of the victimization itself – are often ignored, resulting in faulty criminal convictions</w:t>
      </w:r>
      <w:r w:rsidRPr="003E75EA" w:rsidR="001A045E">
        <w:rPr>
          <w:szCs w:val="24"/>
        </w:rPr>
        <w:t xml:space="preserve"> that can have a real impact on the lives of survivors of gender-based violence</w:t>
      </w:r>
      <w:r w:rsidRPr="003E75EA" w:rsidR="00930FEA">
        <w:rPr>
          <w:szCs w:val="24"/>
        </w:rPr>
        <w:t xml:space="preserve">. </w:t>
      </w:r>
    </w:p>
    <w:p w:rsidRPr="003E75EA" w:rsidR="00314A8D" w:rsidRDefault="00930FEA" w14:paraId="4BF3542D" w14:textId="14439B7E">
      <w:pPr>
        <w:widowControl w:val="0"/>
        <w:spacing w:line="480" w:lineRule="auto"/>
        <w:ind w:firstLine="720"/>
        <w:jc w:val="both"/>
        <w:rPr>
          <w:szCs w:val="24"/>
        </w:rPr>
      </w:pPr>
      <w:r w:rsidRPr="003E75EA">
        <w:rPr>
          <w:szCs w:val="24"/>
        </w:rPr>
        <w:t>Second, the BIA should</w:t>
      </w:r>
      <w:r w:rsidRPr="003E75EA" w:rsidR="001A045E">
        <w:rPr>
          <w:szCs w:val="24"/>
        </w:rPr>
        <w:t xml:space="preserve"> consider the reasons why survivors may need more time to file motions to reopen. Faulty criminal convictions can often perpetuate the trauma of gender-based violence by creating barriers </w:t>
      </w:r>
      <w:r w:rsidRPr="003E75EA" w:rsidR="00800DAE">
        <w:rPr>
          <w:szCs w:val="24"/>
        </w:rPr>
        <w:t xml:space="preserve">to recovery and reintegration into society, thereby causing a never-ending </w:t>
      </w:r>
      <w:r w:rsidRPr="003E75EA" w:rsidR="00EC2F95">
        <w:rPr>
          <w:szCs w:val="24"/>
        </w:rPr>
        <w:t xml:space="preserve">cycle </w:t>
      </w:r>
      <w:r w:rsidRPr="003E75EA" w:rsidR="00800DAE">
        <w:rPr>
          <w:szCs w:val="24"/>
        </w:rPr>
        <w:t>of victimization that can prevent survivors from filing a timely motion to reopen.</w:t>
      </w:r>
      <w:r w:rsidRPr="003E75EA" w:rsidR="001A045E">
        <w:rPr>
          <w:szCs w:val="24"/>
        </w:rPr>
        <w:t xml:space="preserve"> </w:t>
      </w:r>
      <w:r w:rsidRPr="003E75EA">
        <w:rPr>
          <w:szCs w:val="24"/>
        </w:rPr>
        <w:t xml:space="preserve"> </w:t>
      </w:r>
      <w:r w:rsidRPr="003E75EA" w:rsidR="00800DAE">
        <w:rPr>
          <w:szCs w:val="24"/>
        </w:rPr>
        <w:t xml:space="preserve">Furthermore, survivors </w:t>
      </w:r>
      <w:r w:rsidRPr="003E75EA" w:rsidR="00D66511">
        <w:rPr>
          <w:szCs w:val="24"/>
        </w:rPr>
        <w:t xml:space="preserve">of gender-based violence </w:t>
      </w:r>
      <w:r w:rsidRPr="003E75EA" w:rsidR="00800DAE">
        <w:rPr>
          <w:szCs w:val="24"/>
        </w:rPr>
        <w:t xml:space="preserve">often </w:t>
      </w:r>
      <w:r w:rsidRPr="003E75EA" w:rsidR="00D66511">
        <w:rPr>
          <w:szCs w:val="24"/>
        </w:rPr>
        <w:t xml:space="preserve">face </w:t>
      </w:r>
      <w:r w:rsidRPr="003E75EA" w:rsidR="00314A8D">
        <w:rPr>
          <w:szCs w:val="24"/>
        </w:rPr>
        <w:t xml:space="preserve">barriers </w:t>
      </w:r>
      <w:r w:rsidRPr="003E75EA" w:rsidR="006C1CA1">
        <w:t>in accessing the</w:t>
      </w:r>
      <w:r w:rsidRPr="003E75EA" w:rsidR="00D66511">
        <w:t xml:space="preserve"> complicated</w:t>
      </w:r>
      <w:r w:rsidRPr="003E75EA" w:rsidR="006C1CA1">
        <w:t xml:space="preserve"> state or federal vacatur process</w:t>
      </w:r>
      <w:r w:rsidRPr="003E75EA" w:rsidR="00D66511">
        <w:t>,</w:t>
      </w:r>
      <w:r w:rsidRPr="003E75EA" w:rsidR="006C1CA1">
        <w:t xml:space="preserve"> as well as </w:t>
      </w:r>
      <w:r w:rsidRPr="003E75EA" w:rsidR="006B475D">
        <w:t xml:space="preserve">the </w:t>
      </w:r>
      <w:r w:rsidRPr="003E75EA" w:rsidR="00D66511">
        <w:t xml:space="preserve">motion to reopen process </w:t>
      </w:r>
      <w:r w:rsidRPr="003E75EA" w:rsidR="006C1CA1">
        <w:t>before</w:t>
      </w:r>
      <w:r w:rsidRPr="003E75EA" w:rsidR="00D66511">
        <w:t xml:space="preserve"> their</w:t>
      </w:r>
      <w:r w:rsidRPr="003E75EA" w:rsidR="006C1CA1">
        <w:t xml:space="preserve"> EOIR </w:t>
      </w:r>
      <w:r w:rsidRPr="003E75EA" w:rsidR="00D66511">
        <w:t xml:space="preserve">is </w:t>
      </w:r>
      <w:r w:rsidRPr="003E75EA" w:rsidR="006C1CA1">
        <w:t xml:space="preserve">tied to the harm </w:t>
      </w:r>
      <w:r w:rsidRPr="003E75EA" w:rsidR="001A67D1">
        <w:t xml:space="preserve">that </w:t>
      </w:r>
      <w:r w:rsidRPr="003E75EA" w:rsidR="006B475D">
        <w:t>they</w:t>
      </w:r>
      <w:r w:rsidRPr="003E75EA" w:rsidR="00D66511">
        <w:t xml:space="preserve"> have </w:t>
      </w:r>
      <w:r w:rsidRPr="003E75EA" w:rsidR="006C1CA1">
        <w:t>experienced</w:t>
      </w:r>
      <w:r w:rsidRPr="003E75EA" w:rsidR="00314A8D">
        <w:rPr>
          <w:szCs w:val="24"/>
        </w:rPr>
        <w:t xml:space="preserve">. </w:t>
      </w:r>
      <w:r w:rsidRPr="003E75EA" w:rsidR="003B6DBE">
        <w:rPr>
          <w:szCs w:val="24"/>
        </w:rPr>
        <w:t xml:space="preserve">Survivors </w:t>
      </w:r>
      <w:r w:rsidRPr="003E75EA" w:rsidR="00F77590">
        <w:rPr>
          <w:szCs w:val="24"/>
        </w:rPr>
        <w:t>of abuse</w:t>
      </w:r>
      <w:r w:rsidRPr="003E75EA" w:rsidR="00006D6B">
        <w:rPr>
          <w:szCs w:val="24"/>
        </w:rPr>
        <w:t xml:space="preserve">, who are </w:t>
      </w:r>
      <w:r w:rsidRPr="003E75EA" w:rsidR="006B475D">
        <w:rPr>
          <w:szCs w:val="24"/>
        </w:rPr>
        <w:t xml:space="preserve">often </w:t>
      </w:r>
      <w:r w:rsidRPr="003E75EA" w:rsidR="00006D6B">
        <w:rPr>
          <w:szCs w:val="24"/>
        </w:rPr>
        <w:t>unrepresented by counsel</w:t>
      </w:r>
      <w:r w:rsidRPr="003E75EA" w:rsidR="006C1CA1">
        <w:rPr>
          <w:szCs w:val="24"/>
        </w:rPr>
        <w:t xml:space="preserve"> in their initial proceedings</w:t>
      </w:r>
      <w:r w:rsidRPr="003E75EA" w:rsidR="00006D6B">
        <w:rPr>
          <w:szCs w:val="24"/>
        </w:rPr>
        <w:t>, are</w:t>
      </w:r>
      <w:r w:rsidRPr="003E75EA" w:rsidR="006C1CA1">
        <w:rPr>
          <w:szCs w:val="24"/>
        </w:rPr>
        <w:t xml:space="preserve"> </w:t>
      </w:r>
      <w:r w:rsidRPr="003E75EA" w:rsidR="00006D6B">
        <w:rPr>
          <w:szCs w:val="24"/>
        </w:rPr>
        <w:t xml:space="preserve">left to navigate </w:t>
      </w:r>
      <w:r w:rsidRPr="003E75EA" w:rsidR="005F648F">
        <w:rPr>
          <w:szCs w:val="24"/>
        </w:rPr>
        <w:t>a</w:t>
      </w:r>
      <w:r w:rsidRPr="003E75EA" w:rsidR="00006D6B">
        <w:rPr>
          <w:szCs w:val="24"/>
        </w:rPr>
        <w:t xml:space="preserve"> complex legal system on their own. The ninety (90) day window to file a motion to reopen from a final decision is an immense obstacle to overcome when faced with </w:t>
      </w:r>
      <w:r w:rsidRPr="003E75EA" w:rsidR="001A758D">
        <w:rPr>
          <w:szCs w:val="24"/>
        </w:rPr>
        <w:t>difficult language barriers, a lack of resources</w:t>
      </w:r>
      <w:r w:rsidRPr="003E75EA" w:rsidR="005F648F">
        <w:rPr>
          <w:szCs w:val="24"/>
        </w:rPr>
        <w:t>,</w:t>
      </w:r>
      <w:r w:rsidRPr="003E75EA" w:rsidR="001A758D">
        <w:rPr>
          <w:szCs w:val="24"/>
        </w:rPr>
        <w:t xml:space="preserve"> and a lack of </w:t>
      </w:r>
      <w:r w:rsidRPr="003E75EA" w:rsidR="001A758D">
        <w:rPr>
          <w:szCs w:val="24"/>
        </w:rPr>
        <w:lastRenderedPageBreak/>
        <w:t>understanding of the justice system</w:t>
      </w:r>
      <w:r w:rsidRPr="003E75EA" w:rsidR="00F33782">
        <w:rPr>
          <w:szCs w:val="24"/>
        </w:rPr>
        <w:t xml:space="preserve"> – all while navigating their victimization and isolation at the hands of their abusers.</w:t>
      </w:r>
    </w:p>
    <w:p w:rsidRPr="003E75EA" w:rsidR="001A67D1" w:rsidP="00010FF6" w:rsidRDefault="006C1CA1" w14:paraId="0D813ECE" w14:textId="33E7DD26">
      <w:pPr>
        <w:widowControl w:val="0"/>
        <w:spacing w:line="480" w:lineRule="auto"/>
        <w:ind w:firstLine="720"/>
        <w:jc w:val="both"/>
        <w:rPr>
          <w:szCs w:val="24"/>
        </w:rPr>
      </w:pPr>
      <w:r w:rsidRPr="003E75EA">
        <w:rPr>
          <w:szCs w:val="24"/>
        </w:rPr>
        <w:t>Third</w:t>
      </w:r>
      <w:r w:rsidRPr="003E75EA" w:rsidR="005E3DCE">
        <w:rPr>
          <w:szCs w:val="24"/>
        </w:rPr>
        <w:t xml:space="preserve">, the BIA should consider the various federal and state </w:t>
      </w:r>
      <w:r w:rsidRPr="003E75EA" w:rsidR="00C76490">
        <w:rPr>
          <w:szCs w:val="24"/>
        </w:rPr>
        <w:t xml:space="preserve">immigration </w:t>
      </w:r>
      <w:r w:rsidRPr="003E75EA" w:rsidR="005E3DCE">
        <w:rPr>
          <w:szCs w:val="24"/>
        </w:rPr>
        <w:t>law</w:t>
      </w:r>
      <w:r w:rsidRPr="003E75EA" w:rsidR="00C76490">
        <w:rPr>
          <w:szCs w:val="24"/>
        </w:rPr>
        <w:t>s</w:t>
      </w:r>
      <w:r w:rsidRPr="003E75EA" w:rsidR="005E3DCE">
        <w:rPr>
          <w:szCs w:val="24"/>
        </w:rPr>
        <w:t xml:space="preserve"> that </w:t>
      </w:r>
      <w:r w:rsidRPr="003E75EA" w:rsidR="00C42B09">
        <w:rPr>
          <w:szCs w:val="24"/>
        </w:rPr>
        <w:t>have already</w:t>
      </w:r>
      <w:r w:rsidRPr="003E75EA" w:rsidR="005E3DCE">
        <w:rPr>
          <w:szCs w:val="24"/>
        </w:rPr>
        <w:t xml:space="preserve"> </w:t>
      </w:r>
      <w:r w:rsidRPr="003E75EA" w:rsidR="00C42B09">
        <w:rPr>
          <w:szCs w:val="24"/>
        </w:rPr>
        <w:t xml:space="preserve">provided </w:t>
      </w:r>
      <w:r w:rsidRPr="003E75EA" w:rsidR="005E3DCE">
        <w:rPr>
          <w:szCs w:val="24"/>
        </w:rPr>
        <w:t>more comprehensive protection</w:t>
      </w:r>
      <w:r w:rsidRPr="003E75EA" w:rsidR="00F77590">
        <w:rPr>
          <w:szCs w:val="24"/>
        </w:rPr>
        <w:t>s</w:t>
      </w:r>
      <w:r w:rsidRPr="003E75EA" w:rsidR="005E3DCE">
        <w:rPr>
          <w:szCs w:val="24"/>
        </w:rPr>
        <w:t xml:space="preserve"> to </w:t>
      </w:r>
      <w:r w:rsidRPr="003E75EA" w:rsidR="003B6DBE">
        <w:rPr>
          <w:szCs w:val="24"/>
        </w:rPr>
        <w:t xml:space="preserve">survivors </w:t>
      </w:r>
      <w:r w:rsidRPr="003E75EA" w:rsidR="005E3DCE">
        <w:rPr>
          <w:szCs w:val="24"/>
        </w:rPr>
        <w:t>of abuse</w:t>
      </w:r>
      <w:r w:rsidRPr="003E75EA" w:rsidR="00F77590">
        <w:rPr>
          <w:szCs w:val="24"/>
        </w:rPr>
        <w:t>.</w:t>
      </w:r>
      <w:bookmarkEnd w:id="16"/>
      <w:r w:rsidRPr="003E75EA" w:rsidR="00DC40D9">
        <w:rPr>
          <w:szCs w:val="24"/>
        </w:rPr>
        <w:t xml:space="preserve"> </w:t>
      </w:r>
      <w:r w:rsidRPr="003E75EA" w:rsidR="00352B9B">
        <w:rPr>
          <w:szCs w:val="24"/>
        </w:rPr>
        <w:t>Many of these federal</w:t>
      </w:r>
      <w:r w:rsidRPr="003E75EA" w:rsidR="00DC40D9">
        <w:rPr>
          <w:szCs w:val="24"/>
        </w:rPr>
        <w:t xml:space="preserve"> immigration laws </w:t>
      </w:r>
      <w:r w:rsidRPr="003E75EA" w:rsidR="00C42B09">
        <w:rPr>
          <w:szCs w:val="24"/>
        </w:rPr>
        <w:t>recognize the impact of gender-based violence on removal proceedings</w:t>
      </w:r>
      <w:r w:rsidRPr="003E75EA" w:rsidR="00352B9B">
        <w:rPr>
          <w:szCs w:val="24"/>
        </w:rPr>
        <w:t xml:space="preserve"> by providing for longer and more flexible deadlines.</w:t>
      </w:r>
      <w:r w:rsidRPr="003E75EA" w:rsidR="00C42B09">
        <w:rPr>
          <w:szCs w:val="24"/>
        </w:rPr>
        <w:t xml:space="preserve"> </w:t>
      </w:r>
      <w:r w:rsidRPr="003E75EA" w:rsidR="00E561A4">
        <w:rPr>
          <w:szCs w:val="24"/>
        </w:rPr>
        <w:t>Likewise,</w:t>
      </w:r>
      <w:r w:rsidRPr="003E75EA" w:rsidR="00352B9B">
        <w:rPr>
          <w:szCs w:val="24"/>
        </w:rPr>
        <w:t xml:space="preserve"> many states have enacted vacatur statutes that do not provide time limitations for survivors </w:t>
      </w:r>
      <w:r w:rsidRPr="003E75EA" w:rsidR="00E561A4">
        <w:rPr>
          <w:szCs w:val="24"/>
        </w:rPr>
        <w:t>to file motions to vacate. As such, not permitting survivors of gender-based violence to file motions to reopen past the ninety (90) day deadline is inconsistent with both the current federal and state immigration laws that have already provided such protections to survivors.</w:t>
      </w:r>
    </w:p>
    <w:p w:rsidRPr="003E75EA" w:rsidR="0016367A" w:rsidP="003B1DCD" w:rsidRDefault="0016367A" w14:paraId="0B541B4C" w14:textId="1F26C74C">
      <w:pPr>
        <w:pStyle w:val="Heading1"/>
      </w:pPr>
      <w:bookmarkStart w:name="_Toc101944974" w:id="17"/>
      <w:r w:rsidRPr="003E75EA">
        <w:t>DISCUSSION</w:t>
      </w:r>
      <w:bookmarkEnd w:id="17"/>
    </w:p>
    <w:p w:rsidRPr="003E75EA" w:rsidR="00C76490" w:rsidP="00704F28" w:rsidRDefault="00B2470F" w14:paraId="04B97EDB" w14:textId="7E579E0C">
      <w:pPr>
        <w:pStyle w:val="Heading2"/>
        <w:rPr>
          <w:b w:val="0"/>
        </w:rPr>
      </w:pPr>
      <w:bookmarkStart w:name="_Toc101944975" w:id="18"/>
      <w:r w:rsidRPr="003E75EA">
        <w:t>T</w:t>
      </w:r>
      <w:r w:rsidRPr="003E75EA" w:rsidR="00861AA4">
        <w:t xml:space="preserve">he BIA Should </w:t>
      </w:r>
      <w:r w:rsidRPr="003E75EA" w:rsidR="009B69BA">
        <w:t xml:space="preserve">Consider </w:t>
      </w:r>
      <w:r w:rsidRPr="003E75EA">
        <w:t xml:space="preserve">The </w:t>
      </w:r>
      <w:r w:rsidRPr="003E75EA" w:rsidR="008C5822">
        <w:t xml:space="preserve">Fact That Survivors’ Criminal Convictions Are Often The Result Of </w:t>
      </w:r>
      <w:r w:rsidRPr="003E75EA" w:rsidR="006F5956">
        <w:t>The Victimization</w:t>
      </w:r>
      <w:bookmarkEnd w:id="18"/>
    </w:p>
    <w:p w:rsidRPr="003E75EA" w:rsidR="00C27458" w:rsidP="00FE3A6D" w:rsidRDefault="003B6DBE" w14:paraId="0538A1C3" w14:textId="52D53702">
      <w:pPr>
        <w:widowControl w:val="0"/>
        <w:spacing w:line="480" w:lineRule="auto"/>
        <w:ind w:firstLine="720"/>
        <w:jc w:val="both"/>
        <w:rPr>
          <w:szCs w:val="24"/>
        </w:rPr>
      </w:pPr>
      <w:r w:rsidRPr="003E75EA">
        <w:rPr>
          <w:szCs w:val="24"/>
        </w:rPr>
        <w:t xml:space="preserve">Survivors </w:t>
      </w:r>
      <w:r w:rsidRPr="003E75EA" w:rsidR="00333386">
        <w:rPr>
          <w:szCs w:val="24"/>
        </w:rPr>
        <w:t>of h</w:t>
      </w:r>
      <w:r w:rsidRPr="003E75EA" w:rsidR="00960792">
        <w:rPr>
          <w:szCs w:val="24"/>
        </w:rPr>
        <w:t>uman trafficking</w:t>
      </w:r>
      <w:r w:rsidRPr="003E75EA" w:rsidR="00333386">
        <w:rPr>
          <w:szCs w:val="24"/>
        </w:rPr>
        <w:t xml:space="preserve">, domestic violence, and other gender-based violence </w:t>
      </w:r>
      <w:r w:rsidRPr="003E75EA" w:rsidR="00960792">
        <w:rPr>
          <w:szCs w:val="24"/>
        </w:rPr>
        <w:t xml:space="preserve">often have criminal convictions or arrests on their criminal record for acts committed outside of their control at the compulsion of their </w:t>
      </w:r>
      <w:r w:rsidRPr="003E75EA" w:rsidR="00333386">
        <w:rPr>
          <w:szCs w:val="24"/>
        </w:rPr>
        <w:t>abusers.</w:t>
      </w:r>
      <w:r w:rsidRPr="003E75EA" w:rsidR="00960792">
        <w:rPr>
          <w:szCs w:val="24"/>
        </w:rPr>
        <w:t xml:space="preserve"> Survivors’ criminal records</w:t>
      </w:r>
      <w:r w:rsidRPr="003E75EA" w:rsidR="00333386">
        <w:rPr>
          <w:szCs w:val="24"/>
        </w:rPr>
        <w:t xml:space="preserve"> often</w:t>
      </w:r>
      <w:r w:rsidRPr="003E75EA" w:rsidR="00960792">
        <w:rPr>
          <w:szCs w:val="24"/>
        </w:rPr>
        <w:t xml:space="preserve"> </w:t>
      </w:r>
      <w:r w:rsidRPr="003E75EA" w:rsidR="005F648F">
        <w:rPr>
          <w:szCs w:val="24"/>
        </w:rPr>
        <w:t>result</w:t>
      </w:r>
      <w:r w:rsidRPr="003E75EA" w:rsidR="00960792">
        <w:rPr>
          <w:szCs w:val="24"/>
        </w:rPr>
        <w:t xml:space="preserve"> directly from their victimization and</w:t>
      </w:r>
      <w:r w:rsidRPr="003E75EA" w:rsidR="00333386">
        <w:rPr>
          <w:szCs w:val="24"/>
        </w:rPr>
        <w:t xml:space="preserve"> </w:t>
      </w:r>
      <w:r w:rsidRPr="003E75EA" w:rsidR="00960792">
        <w:rPr>
          <w:szCs w:val="24"/>
        </w:rPr>
        <w:t>follow survivors</w:t>
      </w:r>
      <w:r w:rsidRPr="003E75EA" w:rsidR="00333386">
        <w:rPr>
          <w:szCs w:val="24"/>
        </w:rPr>
        <w:t xml:space="preserve"> throughout their lives</w:t>
      </w:r>
      <w:r w:rsidRPr="003E75EA" w:rsidR="00960792">
        <w:rPr>
          <w:szCs w:val="24"/>
        </w:rPr>
        <w:t xml:space="preserve">, </w:t>
      </w:r>
      <w:r w:rsidRPr="003E75EA" w:rsidR="005F648F">
        <w:rPr>
          <w:szCs w:val="24"/>
        </w:rPr>
        <w:t>often</w:t>
      </w:r>
      <w:r w:rsidRPr="003E75EA" w:rsidR="00333386">
        <w:rPr>
          <w:szCs w:val="24"/>
        </w:rPr>
        <w:t xml:space="preserve"> revictimiz</w:t>
      </w:r>
      <w:r w:rsidRPr="003E75EA" w:rsidR="005F648F">
        <w:rPr>
          <w:szCs w:val="24"/>
        </w:rPr>
        <w:t>ing</w:t>
      </w:r>
      <w:r w:rsidRPr="003E75EA" w:rsidR="00333386">
        <w:rPr>
          <w:szCs w:val="24"/>
        </w:rPr>
        <w:t xml:space="preserve"> them all over again</w:t>
      </w:r>
      <w:r w:rsidRPr="003E75EA" w:rsidR="00960792">
        <w:rPr>
          <w:szCs w:val="24"/>
        </w:rPr>
        <w:t xml:space="preserve">. </w:t>
      </w:r>
      <w:r w:rsidRPr="003E75EA" w:rsidR="00333386">
        <w:rPr>
          <w:szCs w:val="24"/>
        </w:rPr>
        <w:t>Indeed, survivors often</w:t>
      </w:r>
      <w:r w:rsidRPr="003E75EA" w:rsidR="00960792">
        <w:rPr>
          <w:szCs w:val="24"/>
        </w:rPr>
        <w:t xml:space="preserve"> end up with criminal records for actions committed under the coercion of their</w:t>
      </w:r>
      <w:r w:rsidRPr="003E75EA" w:rsidR="00333386">
        <w:rPr>
          <w:szCs w:val="24"/>
        </w:rPr>
        <w:t xml:space="preserve"> abusers</w:t>
      </w:r>
      <w:r w:rsidRPr="003E75EA" w:rsidR="00960792">
        <w:rPr>
          <w:szCs w:val="24"/>
        </w:rPr>
        <w:t>,</w:t>
      </w:r>
      <w:r w:rsidRPr="003E75EA" w:rsidR="002A0947">
        <w:rPr>
          <w:szCs w:val="24"/>
        </w:rPr>
        <w:t xml:space="preserve"> or committed in self-defense,</w:t>
      </w:r>
      <w:r w:rsidRPr="003E75EA" w:rsidR="00960792">
        <w:rPr>
          <w:szCs w:val="24"/>
        </w:rPr>
        <w:t xml:space="preserve"> but </w:t>
      </w:r>
      <w:r w:rsidRPr="003E75EA">
        <w:rPr>
          <w:szCs w:val="24"/>
        </w:rPr>
        <w:t xml:space="preserve">survivors </w:t>
      </w:r>
      <w:r w:rsidRPr="003E75EA" w:rsidR="00960792">
        <w:rPr>
          <w:szCs w:val="24"/>
        </w:rPr>
        <w:t>are also rarely identified as “</w:t>
      </w:r>
      <w:r w:rsidRPr="003E75EA">
        <w:rPr>
          <w:szCs w:val="24"/>
        </w:rPr>
        <w:t>survivors</w:t>
      </w:r>
      <w:r w:rsidRPr="003E75EA" w:rsidR="00960792">
        <w:rPr>
          <w:szCs w:val="24"/>
        </w:rPr>
        <w:t>” at the time of their arrest or conviction.</w:t>
      </w:r>
      <w:r w:rsidRPr="003E75EA" w:rsidR="002A0947">
        <w:rPr>
          <w:rStyle w:val="FootnoteReference"/>
          <w:szCs w:val="24"/>
        </w:rPr>
        <w:footnoteReference w:id="2"/>
      </w:r>
      <w:r w:rsidRPr="003E75EA" w:rsidR="00960792">
        <w:rPr>
          <w:szCs w:val="24"/>
        </w:rPr>
        <w:t xml:space="preserve"> </w:t>
      </w:r>
      <w:r w:rsidRPr="003E75EA">
        <w:rPr>
          <w:szCs w:val="24"/>
        </w:rPr>
        <w:t xml:space="preserve">Survivors </w:t>
      </w:r>
      <w:r w:rsidRPr="003E75EA" w:rsidR="00286F50">
        <w:rPr>
          <w:szCs w:val="24"/>
        </w:rPr>
        <w:t xml:space="preserve">of abuse may have convictions </w:t>
      </w:r>
      <w:r w:rsidRPr="003E75EA" w:rsidR="00286F50">
        <w:rPr>
          <w:szCs w:val="24"/>
        </w:rPr>
        <w:lastRenderedPageBreak/>
        <w:t xml:space="preserve">from using violence in retaliation or in </w:t>
      </w:r>
      <w:r w:rsidRPr="003E75EA" w:rsidR="00C13A33">
        <w:rPr>
          <w:szCs w:val="24"/>
        </w:rPr>
        <w:t>self-defense or</w:t>
      </w:r>
      <w:r w:rsidRPr="003E75EA" w:rsidR="00286F50">
        <w:rPr>
          <w:szCs w:val="24"/>
        </w:rPr>
        <w:t xml:space="preserve"> may be arrested without using violence at all but in furtherance of an abuser’s manipulation or lies to law enforcement.</w:t>
      </w:r>
      <w:r w:rsidRPr="003E75EA" w:rsidR="00737076">
        <w:rPr>
          <w:rStyle w:val="FootnoteReference"/>
          <w:szCs w:val="24"/>
        </w:rPr>
        <w:footnoteReference w:id="3"/>
      </w:r>
      <w:r w:rsidRPr="003E75EA" w:rsidR="00286F50">
        <w:rPr>
          <w:szCs w:val="24"/>
        </w:rPr>
        <w:t xml:space="preserve"> </w:t>
      </w:r>
    </w:p>
    <w:p w:rsidRPr="003E75EA" w:rsidR="00FA4A7C" w:rsidP="00010FF6" w:rsidRDefault="00FA4A7C" w14:paraId="5C82C8A0" w14:textId="2491F664">
      <w:pPr>
        <w:widowControl w:val="0"/>
        <w:spacing w:line="480" w:lineRule="auto"/>
        <w:ind w:firstLine="720"/>
        <w:jc w:val="both"/>
      </w:pPr>
      <w:r w:rsidRPr="003E75EA">
        <w:t>Incarcerated women and girls report alarmingly high rates of childhood abuse and domestic violence when compared to incarcerated men and non-incarcerated women.</w:t>
      </w:r>
      <w:r w:rsidRPr="003E75EA">
        <w:rPr>
          <w:vertAlign w:val="superscript"/>
        </w:rPr>
        <w:footnoteReference w:id="4"/>
      </w:r>
      <w:r w:rsidRPr="003E75EA">
        <w:t xml:space="preserve"> More than 80% of incarcerated women have experienced domestic or sexual violence abuse or victimization at some point prior to custody,</w:t>
      </w:r>
      <w:r w:rsidRPr="003E75EA">
        <w:rPr>
          <w:vertAlign w:val="superscript"/>
        </w:rPr>
        <w:footnoteReference w:id="5"/>
      </w:r>
      <w:r w:rsidRPr="003E75EA">
        <w:t xml:space="preserve"> with the majority of abused women reporting both childhood abuse at home and then further abuse in later intimate partner relationships.</w:t>
      </w:r>
      <w:r w:rsidRPr="003E75EA">
        <w:rPr>
          <w:vertAlign w:val="superscript"/>
        </w:rPr>
        <w:footnoteReference w:id="6"/>
      </w:r>
      <w:r w:rsidRPr="003E75EA">
        <w:t xml:space="preserve"> Victimization is a common pathway to criminal offending behavior for women and girls; approximately half of incarcerated women report being first arrested as juveniles, typically when they ran away to escape abuse.</w:t>
      </w:r>
      <w:r w:rsidRPr="003E75EA">
        <w:rPr>
          <w:vertAlign w:val="superscript"/>
        </w:rPr>
        <w:footnoteReference w:id="7"/>
      </w:r>
      <w:r w:rsidRPr="003E75EA">
        <w:t xml:space="preserve">  </w:t>
      </w:r>
    </w:p>
    <w:p w:rsidRPr="003E75EA" w:rsidR="00DC5B82" w:rsidP="00FE3A6D" w:rsidRDefault="00DC5B82" w14:paraId="2B7B0CAA" w14:textId="77B4877C">
      <w:pPr>
        <w:widowControl w:val="0"/>
        <w:spacing w:line="480" w:lineRule="auto"/>
        <w:ind w:firstLine="720"/>
        <w:jc w:val="both"/>
        <w:rPr>
          <w:szCs w:val="24"/>
        </w:rPr>
      </w:pPr>
      <w:r w:rsidRPr="003E75EA">
        <w:rPr>
          <w:szCs w:val="24"/>
        </w:rPr>
        <w:t>Immigrant domestic violence survivors, and survivors of other gender-based violence, can get swept into the criminal justice system when perpetrators of abuse utilize the system as a tactic of control.</w:t>
      </w:r>
      <w:r w:rsidRPr="003E75EA">
        <w:rPr>
          <w:rStyle w:val="FootnoteReference"/>
          <w:szCs w:val="24"/>
        </w:rPr>
        <w:footnoteReference w:id="8"/>
      </w:r>
      <w:r w:rsidRPr="003E75EA">
        <w:rPr>
          <w:szCs w:val="24"/>
        </w:rPr>
        <w:t xml:space="preserve"> Indeed, batterers are often more well-versed in the U.S. legal system than noncitizen victims.</w:t>
      </w:r>
      <w:r w:rsidRPr="003E75EA" w:rsidR="00D02EE1">
        <w:rPr>
          <w:rStyle w:val="FootnoteReference"/>
          <w:szCs w:val="24"/>
        </w:rPr>
        <w:footnoteReference w:id="9"/>
      </w:r>
      <w:r w:rsidRPr="003E75EA">
        <w:rPr>
          <w:szCs w:val="24"/>
        </w:rPr>
        <w:t xml:space="preserve"> </w:t>
      </w:r>
      <w:r w:rsidRPr="003E75EA" w:rsidR="00D02EE1">
        <w:rPr>
          <w:szCs w:val="24"/>
        </w:rPr>
        <w:t xml:space="preserve">Survivors are thus left to navigate, often unfairly, a foreign legal system while they weigh the needs of their family and the potential of continued violence from their abuser. For these </w:t>
      </w:r>
      <w:r w:rsidRPr="003E75EA" w:rsidR="00D02EE1">
        <w:rPr>
          <w:szCs w:val="24"/>
        </w:rPr>
        <w:lastRenderedPageBreak/>
        <w:t xml:space="preserve">reasons, </w:t>
      </w:r>
      <w:r w:rsidRPr="003E75EA">
        <w:rPr>
          <w:szCs w:val="24"/>
        </w:rPr>
        <w:t xml:space="preserve">the First Circuit acknowledged in </w:t>
      </w:r>
      <w:r w:rsidRPr="003E75EA">
        <w:rPr>
          <w:i/>
          <w:iCs/>
          <w:szCs w:val="24"/>
        </w:rPr>
        <w:t>U</w:t>
      </w:r>
      <w:bookmarkStart w:name="_BA_Cite_E43650_000182" w:id="27"/>
      <w:bookmarkEnd w:id="27"/>
      <w:r w:rsidRPr="003E75EA">
        <w:rPr>
          <w:i/>
          <w:iCs/>
          <w:szCs w:val="24"/>
        </w:rPr>
        <w:t>nited States v. Booker</w:t>
      </w:r>
      <w:r w:rsidRPr="003E75EA">
        <w:rPr>
          <w:szCs w:val="24"/>
        </w:rPr>
        <w:t xml:space="preserve"> that domestic violence cases in particular can contain complexities that are not well suited to the binary opposition of </w:t>
      </w:r>
      <w:r w:rsidRPr="003E75EA" w:rsidR="003B6DBE">
        <w:rPr>
          <w:szCs w:val="24"/>
        </w:rPr>
        <w:t>survivor</w:t>
      </w:r>
      <w:r w:rsidRPr="003E75EA">
        <w:rPr>
          <w:szCs w:val="24"/>
        </w:rPr>
        <w:t xml:space="preserve"> and </w:t>
      </w:r>
      <w:r w:rsidRPr="003E75EA" w:rsidR="009527CE">
        <w:rPr>
          <w:szCs w:val="24"/>
        </w:rPr>
        <w:t>offender</w:t>
      </w:r>
      <w:r w:rsidRPr="003E75EA">
        <w:rPr>
          <w:szCs w:val="24"/>
        </w:rPr>
        <w:t>.</w:t>
      </w:r>
      <w:r w:rsidRPr="003E75EA">
        <w:rPr>
          <w:rStyle w:val="FootnoteReference"/>
          <w:szCs w:val="24"/>
        </w:rPr>
        <w:footnoteReference w:id="10"/>
      </w:r>
      <w:r w:rsidRPr="003E75EA">
        <w:rPr>
          <w:szCs w:val="24"/>
        </w:rPr>
        <w:t xml:space="preserve"> As a result, meaningful access to the legal system becomes a barrier for survivors of gender-based violence on top of the social, cultural, and economic barriers discussed above. When an instance of abuse is reported to law enforcement, it is not uncommon for both the </w:t>
      </w:r>
      <w:r w:rsidRPr="003E75EA" w:rsidR="003B6DBE">
        <w:rPr>
          <w:szCs w:val="24"/>
        </w:rPr>
        <w:t>survivor</w:t>
      </w:r>
      <w:r w:rsidRPr="003E75EA">
        <w:rPr>
          <w:szCs w:val="24"/>
        </w:rPr>
        <w:t xml:space="preserve"> and the perpetrator to be arrested.</w:t>
      </w:r>
      <w:r w:rsidRPr="003E75EA">
        <w:rPr>
          <w:rStyle w:val="FootnoteReference"/>
          <w:szCs w:val="24"/>
        </w:rPr>
        <w:footnoteReference w:id="11"/>
      </w:r>
      <w:r w:rsidRPr="003E75EA">
        <w:rPr>
          <w:szCs w:val="24"/>
        </w:rPr>
        <w:t xml:space="preserve"> In addition to the language and cultural barriers in communicating with the police for the arrest at hand, the </w:t>
      </w:r>
      <w:r w:rsidRPr="003E75EA" w:rsidR="003B6DBE">
        <w:rPr>
          <w:szCs w:val="24"/>
        </w:rPr>
        <w:t>survivor</w:t>
      </w:r>
      <w:r w:rsidRPr="003E75EA">
        <w:rPr>
          <w:szCs w:val="24"/>
        </w:rPr>
        <w:t xml:space="preserve"> is now in custody and subsequent charges will now become part of the </w:t>
      </w:r>
      <w:r w:rsidRPr="003E75EA" w:rsidR="003B6DBE">
        <w:rPr>
          <w:szCs w:val="24"/>
        </w:rPr>
        <w:t>survivor’s</w:t>
      </w:r>
      <w:r w:rsidRPr="003E75EA">
        <w:rPr>
          <w:szCs w:val="24"/>
        </w:rPr>
        <w:t xml:space="preserve"> immigration file. </w:t>
      </w:r>
    </w:p>
    <w:p w:rsidRPr="003E75EA" w:rsidR="00DC5B82" w:rsidRDefault="00DC5B82" w14:paraId="2AA1ABC7" w14:textId="68CFEF17">
      <w:pPr>
        <w:widowControl w:val="0"/>
        <w:spacing w:line="480" w:lineRule="auto"/>
        <w:ind w:firstLine="720"/>
        <w:jc w:val="both"/>
        <w:rPr>
          <w:szCs w:val="24"/>
        </w:rPr>
      </w:pPr>
      <w:r w:rsidRPr="003E75EA">
        <w:rPr>
          <w:szCs w:val="24"/>
        </w:rPr>
        <w:t xml:space="preserve">Whether in custody or in trial, </w:t>
      </w:r>
      <w:r w:rsidRPr="003E75EA" w:rsidR="003B6DBE">
        <w:rPr>
          <w:szCs w:val="24"/>
        </w:rPr>
        <w:t>survivors</w:t>
      </w:r>
      <w:r w:rsidRPr="003E75EA">
        <w:rPr>
          <w:szCs w:val="24"/>
        </w:rPr>
        <w:t xml:space="preserve"> of domestic abuse and sexual exploitation often feel tremendous pressure to accept pleas and return to their children and/or jobs.</w:t>
      </w:r>
      <w:r w:rsidRPr="003E75EA">
        <w:rPr>
          <w:rStyle w:val="FootnoteReference"/>
          <w:szCs w:val="24"/>
        </w:rPr>
        <w:footnoteReference w:id="12"/>
      </w:r>
      <w:r w:rsidRPr="003E75EA">
        <w:rPr>
          <w:szCs w:val="24"/>
        </w:rPr>
        <w:t xml:space="preserve"> Without a complete understanding of immigration laws and effective counsel, these decisions can be made in fear and outside of the </w:t>
      </w:r>
      <w:r w:rsidRPr="003E75EA" w:rsidR="003B6DBE">
        <w:rPr>
          <w:szCs w:val="24"/>
        </w:rPr>
        <w:t>survivor’s</w:t>
      </w:r>
      <w:r w:rsidRPr="003E75EA">
        <w:rPr>
          <w:szCs w:val="24"/>
        </w:rPr>
        <w:t xml:space="preserve"> best interest. That criminal conviction may then be used as grounds for deportation under 8</w:t>
      </w:r>
      <w:bookmarkStart w:name="_BA_Cite_E43650_000039" w:id="32"/>
      <w:bookmarkEnd w:id="32"/>
      <w:r w:rsidRPr="003E75EA">
        <w:rPr>
          <w:szCs w:val="24"/>
        </w:rPr>
        <w:t xml:space="preserve"> U</w:t>
      </w:r>
      <w:r w:rsidRPr="003E75EA" w:rsidR="00F93350">
        <w:rPr>
          <w:szCs w:val="24"/>
        </w:rPr>
        <w:t>.</w:t>
      </w:r>
      <w:r w:rsidRPr="003E75EA">
        <w:rPr>
          <w:szCs w:val="24"/>
        </w:rPr>
        <w:t>S</w:t>
      </w:r>
      <w:r w:rsidRPr="003E75EA" w:rsidR="00F93350">
        <w:rPr>
          <w:szCs w:val="24"/>
        </w:rPr>
        <w:t>.</w:t>
      </w:r>
      <w:r w:rsidRPr="003E75EA">
        <w:rPr>
          <w:szCs w:val="24"/>
        </w:rPr>
        <w:t>C</w:t>
      </w:r>
      <w:r w:rsidRPr="003E75EA" w:rsidR="00F93350">
        <w:rPr>
          <w:szCs w:val="24"/>
        </w:rPr>
        <w:t>.</w:t>
      </w:r>
      <w:r w:rsidRPr="003E75EA">
        <w:rPr>
          <w:szCs w:val="24"/>
        </w:rPr>
        <w:t xml:space="preserve"> §</w:t>
      </w:r>
      <w:r w:rsidRPr="003E75EA" w:rsidR="00F93350">
        <w:rPr>
          <w:szCs w:val="24"/>
        </w:rPr>
        <w:t xml:space="preserve">§ </w:t>
      </w:r>
      <w:r w:rsidRPr="003E75EA">
        <w:rPr>
          <w:szCs w:val="24"/>
        </w:rPr>
        <w:t>1227(a)(2), 1182(a)(2).</w:t>
      </w:r>
    </w:p>
    <w:p w:rsidRPr="003E75EA" w:rsidR="00DC5B82" w:rsidRDefault="00DC5B82" w14:paraId="1747B8DA" w14:textId="3A8A6F38">
      <w:pPr>
        <w:widowControl w:val="0"/>
        <w:spacing w:line="480" w:lineRule="auto"/>
        <w:ind w:firstLine="720"/>
        <w:jc w:val="both"/>
        <w:rPr>
          <w:szCs w:val="24"/>
        </w:rPr>
      </w:pPr>
      <w:r w:rsidRPr="003E75EA">
        <w:rPr>
          <w:szCs w:val="24"/>
        </w:rPr>
        <w:t xml:space="preserve">Throughout the process, </w:t>
      </w:r>
      <w:r w:rsidRPr="003E75EA" w:rsidR="003B6DBE">
        <w:rPr>
          <w:szCs w:val="24"/>
        </w:rPr>
        <w:t>survivors</w:t>
      </w:r>
      <w:r w:rsidRPr="003E75EA">
        <w:rPr>
          <w:szCs w:val="24"/>
        </w:rPr>
        <w:t xml:space="preserve"> of gender-based violence are asked to recount traumatic and painful events to strangers in a legal setting, and potentially with an uncertified or unofficial interpreter or translator. Further, the survivor may struggle to obtain evidence if it is under the control of the abuser or trafficker. These factors often lead to </w:t>
      </w:r>
      <w:r w:rsidRPr="003E75EA" w:rsidR="003B6DBE">
        <w:rPr>
          <w:szCs w:val="24"/>
        </w:rPr>
        <w:t>survivors</w:t>
      </w:r>
      <w:r w:rsidRPr="003E75EA">
        <w:rPr>
          <w:szCs w:val="24"/>
        </w:rPr>
        <w:t xml:space="preserve"> taking less than favorable plea deals.</w:t>
      </w:r>
      <w:r w:rsidRPr="003E75EA">
        <w:rPr>
          <w:rStyle w:val="FootnoteReference"/>
          <w:szCs w:val="24"/>
        </w:rPr>
        <w:footnoteReference w:id="13"/>
      </w:r>
    </w:p>
    <w:p w:rsidRPr="003E75EA" w:rsidR="00DC5B82" w:rsidRDefault="00140AEA" w14:paraId="60AE6186" w14:textId="27DC3B04">
      <w:pPr>
        <w:widowControl w:val="0"/>
        <w:spacing w:line="480" w:lineRule="auto"/>
        <w:ind w:firstLine="720"/>
        <w:jc w:val="both"/>
        <w:rPr>
          <w:szCs w:val="24"/>
        </w:rPr>
      </w:pPr>
      <w:r w:rsidRPr="003E75EA">
        <w:rPr>
          <w:szCs w:val="24"/>
        </w:rPr>
        <w:t xml:space="preserve">Survivors of human trafficking face very similar problems. Trafficking survivors are </w:t>
      </w:r>
      <w:r w:rsidRPr="003E75EA">
        <w:rPr>
          <w:szCs w:val="24"/>
        </w:rPr>
        <w:lastRenderedPageBreak/>
        <w:t>frequently forced to sell or transport illegal weapons or drugs or are forced into prostitution.</w:t>
      </w:r>
      <w:r w:rsidRPr="003E75EA">
        <w:rPr>
          <w:rStyle w:val="FootnoteReference"/>
          <w:szCs w:val="24"/>
        </w:rPr>
        <w:footnoteReference w:id="14"/>
      </w:r>
      <w:r w:rsidRPr="003E75EA">
        <w:rPr>
          <w:szCs w:val="24"/>
        </w:rPr>
        <w:t xml:space="preserve"> They frequently come into contact with law enforcement and are arrested, detained, prosecuted, and even deported in some cases without being identified as a </w:t>
      </w:r>
      <w:r w:rsidRPr="003E75EA" w:rsidR="003B6DBE">
        <w:rPr>
          <w:szCs w:val="24"/>
        </w:rPr>
        <w:t>survivor</w:t>
      </w:r>
      <w:r w:rsidRPr="003E75EA">
        <w:rPr>
          <w:szCs w:val="24"/>
        </w:rPr>
        <w:t>.</w:t>
      </w:r>
      <w:r w:rsidRPr="003E75EA">
        <w:rPr>
          <w:rStyle w:val="FootnoteReference"/>
          <w:szCs w:val="24"/>
        </w:rPr>
        <w:footnoteReference w:id="15"/>
      </w:r>
      <w:r w:rsidRPr="003E75EA">
        <w:rPr>
          <w:szCs w:val="24"/>
        </w:rPr>
        <w:t xml:space="preserve"> However, many reports have concluded that trafficking </w:t>
      </w:r>
      <w:r w:rsidRPr="003E75EA" w:rsidR="003B6DBE">
        <w:rPr>
          <w:szCs w:val="24"/>
        </w:rPr>
        <w:t>survivors</w:t>
      </w:r>
      <w:r w:rsidRPr="003E75EA">
        <w:rPr>
          <w:szCs w:val="24"/>
        </w:rPr>
        <w:t xml:space="preserve"> with repeated arrests for prostitution or prostitution-related offenses have never been identified as trafficking </w:t>
      </w:r>
      <w:r w:rsidRPr="003E75EA" w:rsidR="003B6DBE">
        <w:rPr>
          <w:szCs w:val="24"/>
        </w:rPr>
        <w:t>survivors</w:t>
      </w:r>
      <w:r w:rsidRPr="003E75EA">
        <w:rPr>
          <w:szCs w:val="24"/>
        </w:rPr>
        <w:t>.</w:t>
      </w:r>
      <w:r w:rsidRPr="003E75EA">
        <w:rPr>
          <w:rStyle w:val="FootnoteReference"/>
          <w:szCs w:val="24"/>
        </w:rPr>
        <w:footnoteReference w:id="16"/>
      </w:r>
    </w:p>
    <w:p w:rsidRPr="003E75EA" w:rsidR="00960792" w:rsidRDefault="00677267" w14:paraId="57622FF9" w14:textId="5FEAAECE">
      <w:pPr>
        <w:widowControl w:val="0"/>
        <w:spacing w:line="480" w:lineRule="auto"/>
        <w:ind w:firstLine="720"/>
        <w:jc w:val="both"/>
        <w:rPr>
          <w:szCs w:val="24"/>
        </w:rPr>
      </w:pPr>
      <w:r w:rsidRPr="003E75EA">
        <w:rPr>
          <w:szCs w:val="24"/>
        </w:rPr>
        <w:t>Furthermore, b</w:t>
      </w:r>
      <w:r w:rsidRPr="003E75EA" w:rsidR="00960792">
        <w:rPr>
          <w:szCs w:val="24"/>
        </w:rPr>
        <w:t xml:space="preserve">oth labor and sex trafficking </w:t>
      </w:r>
      <w:r w:rsidRPr="003E75EA" w:rsidR="00CD2BF9">
        <w:rPr>
          <w:szCs w:val="24"/>
        </w:rPr>
        <w:t xml:space="preserve">survivors </w:t>
      </w:r>
      <w:r w:rsidRPr="003E75EA" w:rsidR="00960792">
        <w:rPr>
          <w:szCs w:val="24"/>
        </w:rPr>
        <w:t xml:space="preserve">may be arrested for </w:t>
      </w:r>
      <w:r w:rsidRPr="003E75EA" w:rsidR="00FF3710">
        <w:rPr>
          <w:szCs w:val="24"/>
        </w:rPr>
        <w:t>lesser offenses</w:t>
      </w:r>
      <w:r w:rsidRPr="003E75EA" w:rsidR="00960792">
        <w:rPr>
          <w:szCs w:val="24"/>
        </w:rPr>
        <w:t>, such as possession of false identification documents or trespassing</w:t>
      </w:r>
      <w:r w:rsidRPr="003E75EA" w:rsidR="00FF3710">
        <w:rPr>
          <w:szCs w:val="24"/>
        </w:rPr>
        <w:t xml:space="preserve"> without being identified as a victim</w:t>
      </w:r>
      <w:r w:rsidRPr="003E75EA" w:rsidR="00960792">
        <w:rPr>
          <w:szCs w:val="24"/>
        </w:rPr>
        <w:t>.</w:t>
      </w:r>
      <w:r w:rsidRPr="003E75EA" w:rsidR="00960792">
        <w:rPr>
          <w:rStyle w:val="FootnoteReference"/>
          <w:szCs w:val="24"/>
        </w:rPr>
        <w:footnoteReference w:id="17"/>
      </w:r>
      <w:r w:rsidRPr="003E75EA" w:rsidR="00960792">
        <w:rPr>
          <w:szCs w:val="24"/>
        </w:rPr>
        <w:t xml:space="preserve"> Trafficked children are </w:t>
      </w:r>
      <w:r w:rsidRPr="003E75EA" w:rsidR="00FF3710">
        <w:rPr>
          <w:szCs w:val="24"/>
        </w:rPr>
        <w:t xml:space="preserve">also </w:t>
      </w:r>
      <w:r w:rsidRPr="003E75EA" w:rsidR="00960792">
        <w:rPr>
          <w:szCs w:val="24"/>
        </w:rPr>
        <w:t>charged with offenses, such as truancy and running away</w:t>
      </w:r>
      <w:r w:rsidRPr="003E75EA" w:rsidR="00FF3710">
        <w:rPr>
          <w:szCs w:val="24"/>
        </w:rPr>
        <w:t xml:space="preserve">, without identifying them as trafficking </w:t>
      </w:r>
      <w:r w:rsidRPr="003E75EA" w:rsidR="00CD2BF9">
        <w:rPr>
          <w:szCs w:val="24"/>
        </w:rPr>
        <w:t>survivors</w:t>
      </w:r>
      <w:r w:rsidRPr="003E75EA" w:rsidR="00960792">
        <w:rPr>
          <w:szCs w:val="24"/>
        </w:rPr>
        <w:t>.</w:t>
      </w:r>
      <w:r w:rsidRPr="003E75EA" w:rsidR="00960792">
        <w:rPr>
          <w:rStyle w:val="FootnoteReference"/>
          <w:szCs w:val="24"/>
        </w:rPr>
        <w:footnoteReference w:id="18"/>
      </w:r>
      <w:r w:rsidRPr="003E75EA" w:rsidR="00A46F21">
        <w:rPr>
          <w:szCs w:val="24"/>
        </w:rPr>
        <w:t xml:space="preserve"> </w:t>
      </w:r>
      <w:r w:rsidRPr="003E75EA" w:rsidR="0077665F">
        <w:rPr>
          <w:szCs w:val="24"/>
        </w:rPr>
        <w:t xml:space="preserve">Young victims of abuse </w:t>
      </w:r>
      <w:r w:rsidRPr="003E75EA" w:rsidR="00505594">
        <w:rPr>
          <w:szCs w:val="24"/>
        </w:rPr>
        <w:t>can also be</w:t>
      </w:r>
      <w:r w:rsidRPr="003E75EA" w:rsidR="0077665F">
        <w:rPr>
          <w:szCs w:val="24"/>
        </w:rPr>
        <w:t xml:space="preserve"> criminalized for running away from their abuser</w:t>
      </w:r>
      <w:r w:rsidRPr="003E75EA" w:rsidR="00505594">
        <w:rPr>
          <w:szCs w:val="24"/>
        </w:rPr>
        <w:t>s</w:t>
      </w:r>
      <w:r w:rsidRPr="003E75EA" w:rsidR="0077665F">
        <w:rPr>
          <w:szCs w:val="24"/>
        </w:rPr>
        <w:t>.</w:t>
      </w:r>
      <w:r w:rsidRPr="003E75EA" w:rsidR="0077665F">
        <w:rPr>
          <w:rStyle w:val="FootnoteReference"/>
          <w:szCs w:val="24"/>
        </w:rPr>
        <w:footnoteReference w:id="19"/>
      </w:r>
      <w:r w:rsidRPr="003E75EA" w:rsidR="00960792">
        <w:rPr>
          <w:szCs w:val="24"/>
        </w:rPr>
        <w:t xml:space="preserve"> Despite </w:t>
      </w:r>
      <w:r w:rsidRPr="003E75EA" w:rsidR="00F84ED8">
        <w:rPr>
          <w:szCs w:val="24"/>
        </w:rPr>
        <w:t xml:space="preserve">the fact that these crimes are often forced or coordinated by the abuser, </w:t>
      </w:r>
      <w:r w:rsidRPr="003E75EA" w:rsidR="00960792">
        <w:rPr>
          <w:szCs w:val="24"/>
        </w:rPr>
        <w:t xml:space="preserve">survivors have criminal records attached to them, which create large barriers </w:t>
      </w:r>
      <w:r w:rsidRPr="003E75EA" w:rsidR="00F84ED8">
        <w:rPr>
          <w:szCs w:val="24"/>
        </w:rPr>
        <w:t xml:space="preserve">that impact </w:t>
      </w:r>
      <w:r w:rsidRPr="003E75EA" w:rsidR="00505594">
        <w:rPr>
          <w:szCs w:val="24"/>
        </w:rPr>
        <w:t>every</w:t>
      </w:r>
      <w:r w:rsidRPr="003E75EA" w:rsidR="00960792">
        <w:rPr>
          <w:szCs w:val="24"/>
        </w:rPr>
        <w:t xml:space="preserve"> aspect of their lives</w:t>
      </w:r>
      <w:r w:rsidRPr="003E75EA" w:rsidR="00505594">
        <w:rPr>
          <w:szCs w:val="24"/>
        </w:rPr>
        <w:t xml:space="preserve"> from </w:t>
      </w:r>
      <w:r w:rsidRPr="003E75EA" w:rsidR="00960792">
        <w:rPr>
          <w:szCs w:val="24"/>
        </w:rPr>
        <w:t xml:space="preserve">their employment prospects, livelihood, housing, health, family, education, and psychological well-being. </w:t>
      </w:r>
    </w:p>
    <w:p w:rsidRPr="003E75EA" w:rsidR="007C6D30" w:rsidP="007C6D30" w:rsidRDefault="00FE366A" w14:paraId="02B71FC5" w14:textId="47B9DB98">
      <w:pPr>
        <w:widowControl w:val="0"/>
        <w:spacing w:line="480" w:lineRule="auto"/>
        <w:ind w:firstLine="720"/>
        <w:jc w:val="both"/>
        <w:rPr>
          <w:szCs w:val="24"/>
        </w:rPr>
      </w:pPr>
      <w:r w:rsidRPr="003E75EA">
        <w:rPr>
          <w:szCs w:val="24"/>
        </w:rPr>
        <w:t xml:space="preserve">In sum, the victimization of survivors of gender-based violence and their criminalization often go hand-in-hand. </w:t>
      </w:r>
      <w:r w:rsidRPr="003E75EA" w:rsidR="00C15454">
        <w:rPr>
          <w:szCs w:val="24"/>
        </w:rPr>
        <w:t>Because the victimization itself often gives rise to criminal activity – whether at the insistence of their abusers or</w:t>
      </w:r>
      <w:r w:rsidRPr="003E75EA" w:rsidR="0017259E">
        <w:rPr>
          <w:szCs w:val="24"/>
        </w:rPr>
        <w:t xml:space="preserve"> committed in self-defense</w:t>
      </w:r>
      <w:r w:rsidRPr="003E75EA" w:rsidR="00C15454">
        <w:rPr>
          <w:szCs w:val="24"/>
        </w:rPr>
        <w:t xml:space="preserve"> – the circumstances surrounding survivors of gender-based violence should be considered as</w:t>
      </w:r>
      <w:r w:rsidRPr="003E75EA" w:rsidR="00F44721">
        <w:rPr>
          <w:szCs w:val="24"/>
        </w:rPr>
        <w:t xml:space="preserve"> “</w:t>
      </w:r>
      <w:r w:rsidRPr="003E75EA" w:rsidR="00F905BE">
        <w:rPr>
          <w:szCs w:val="24"/>
        </w:rPr>
        <w:t>extraordinary</w:t>
      </w:r>
      <w:r w:rsidRPr="003E75EA" w:rsidR="00C15454">
        <w:rPr>
          <w:szCs w:val="24"/>
        </w:rPr>
        <w:t xml:space="preserve"> circumstance</w:t>
      </w:r>
      <w:r w:rsidRPr="003E75EA" w:rsidR="00F905BE">
        <w:rPr>
          <w:szCs w:val="24"/>
        </w:rPr>
        <w:t>s</w:t>
      </w:r>
      <w:r w:rsidRPr="003E75EA" w:rsidR="00C15454">
        <w:rPr>
          <w:szCs w:val="24"/>
        </w:rPr>
        <w:t xml:space="preserve">” warranting tolling of the deadline to file a motion to reopen. </w:t>
      </w:r>
    </w:p>
    <w:p w:rsidRPr="003E75EA" w:rsidR="007C6D30" w:rsidP="00BD41B1" w:rsidRDefault="007C6D30" w14:paraId="5D3C1749" w14:textId="77777777">
      <w:pPr>
        <w:widowControl w:val="0"/>
        <w:ind w:firstLine="720"/>
        <w:jc w:val="both"/>
        <w:rPr>
          <w:szCs w:val="24"/>
        </w:rPr>
      </w:pPr>
    </w:p>
    <w:p w:rsidRPr="003E75EA" w:rsidR="00796277" w:rsidP="00704F28" w:rsidRDefault="00C75350" w14:paraId="3EDC9FDE" w14:textId="402A2F4F">
      <w:pPr>
        <w:pStyle w:val="Heading2"/>
      </w:pPr>
      <w:bookmarkStart w:name="_Toc101944976" w:id="38"/>
      <w:r w:rsidRPr="003E75EA">
        <w:lastRenderedPageBreak/>
        <w:t>The BIA Should C</w:t>
      </w:r>
      <w:r w:rsidRPr="003E75EA" w:rsidR="00320715">
        <w:t xml:space="preserve">onsider </w:t>
      </w:r>
      <w:r w:rsidRPr="003E75EA" w:rsidR="0017259E">
        <w:t xml:space="preserve">Why Survivors </w:t>
      </w:r>
      <w:r w:rsidRPr="003E75EA" w:rsidR="007C6D30">
        <w:t>O</w:t>
      </w:r>
      <w:r w:rsidRPr="003E75EA" w:rsidR="0017259E">
        <w:t>f Gender-Based Violence Might File Untimely Motions to Reopen</w:t>
      </w:r>
      <w:bookmarkEnd w:id="38"/>
    </w:p>
    <w:p w:rsidRPr="003E75EA" w:rsidR="00341D32" w:rsidP="00BD41B1" w:rsidRDefault="00796277" w14:paraId="64FFE340" w14:textId="2D65C26A">
      <w:pPr>
        <w:spacing w:line="480" w:lineRule="auto"/>
        <w:jc w:val="both"/>
        <w:rPr>
          <w:szCs w:val="24"/>
        </w:rPr>
      </w:pPr>
      <w:r w:rsidRPr="003E75EA">
        <w:tab/>
      </w:r>
      <w:r w:rsidRPr="003E75EA" w:rsidR="00D8523F">
        <w:t xml:space="preserve">There are many compelling reasons </w:t>
      </w:r>
      <w:r w:rsidRPr="003E75EA" w:rsidR="002842CD">
        <w:t xml:space="preserve">why </w:t>
      </w:r>
      <w:r w:rsidRPr="003E75EA" w:rsidR="00D8523F">
        <w:t xml:space="preserve">survivors of gender-based violence do not </w:t>
      </w:r>
      <w:r w:rsidRPr="003E75EA" w:rsidR="002842CD">
        <w:t>(</w:t>
      </w:r>
      <w:r w:rsidRPr="003E75EA" w:rsidR="00D8523F">
        <w:t>or cannot</w:t>
      </w:r>
      <w:r w:rsidRPr="003E75EA" w:rsidR="002842CD">
        <w:t>)</w:t>
      </w:r>
      <w:r w:rsidRPr="003E75EA" w:rsidR="00D8523F">
        <w:t xml:space="preserve"> file </w:t>
      </w:r>
      <w:r w:rsidRPr="003E75EA" w:rsidR="002842CD">
        <w:t xml:space="preserve">motions to reopen within the ninety (90) day deadline. Criminal convictions can often perpetuate a never-ending cycle of victimization, which prevent survivors from coming forward in a timely manner to reopen their immigration proceedings. What is more, survivors are often left to navigate the </w:t>
      </w:r>
      <w:r w:rsidRPr="003E75EA" w:rsidR="00322EC8">
        <w:t>justice</w:t>
      </w:r>
      <w:r w:rsidRPr="003E75EA" w:rsidR="002842CD">
        <w:t xml:space="preserve"> system on their own, as they are frequently unrepresented by counsel, uneducated </w:t>
      </w:r>
      <w:r w:rsidRPr="003E75EA" w:rsidR="00322EC8">
        <w:t>in the complexities of the U.S. legal system, and face insurmountable language barriers, all while trying to overcome the immense trauma they have faced as survivors of abuse.</w:t>
      </w:r>
    </w:p>
    <w:p w:rsidRPr="003E75EA" w:rsidR="00796277" w:rsidP="00704F28" w:rsidRDefault="009527CE" w14:paraId="350B4D7A" w14:textId="00C3F918">
      <w:pPr>
        <w:pStyle w:val="Heading3"/>
        <w:rPr>
          <w:b w:val="0"/>
        </w:rPr>
      </w:pPr>
      <w:bookmarkStart w:name="_Toc101944977" w:id="39"/>
      <w:r w:rsidRPr="003E75EA">
        <w:t>The Legal System Perpetuates the Trauma of Gender</w:t>
      </w:r>
      <w:r w:rsidRPr="003E75EA" w:rsidR="004A2164">
        <w:t>-</w:t>
      </w:r>
      <w:r w:rsidRPr="003E75EA">
        <w:t>Based Violence</w:t>
      </w:r>
      <w:bookmarkEnd w:id="39"/>
    </w:p>
    <w:p w:rsidRPr="003E75EA" w:rsidR="00960792" w:rsidP="00FE3A6D" w:rsidRDefault="007A238E" w14:paraId="47366B65" w14:textId="64E8D9D3">
      <w:pPr>
        <w:widowControl w:val="0"/>
        <w:spacing w:line="480" w:lineRule="auto"/>
        <w:ind w:firstLine="720"/>
        <w:jc w:val="both"/>
        <w:rPr>
          <w:szCs w:val="24"/>
        </w:rPr>
      </w:pPr>
      <w:r w:rsidRPr="003E75EA">
        <w:rPr>
          <w:szCs w:val="24"/>
        </w:rPr>
        <w:t>Criminal convictions ultimately perpetuate the trauma that sur</w:t>
      </w:r>
      <w:r w:rsidRPr="003E75EA" w:rsidR="004A2164">
        <w:rPr>
          <w:szCs w:val="24"/>
        </w:rPr>
        <w:t>vivors of gender-based violence have faced.</w:t>
      </w:r>
      <w:r w:rsidRPr="003E75EA">
        <w:rPr>
          <w:szCs w:val="24"/>
        </w:rPr>
        <w:t xml:space="preserve"> Indeed, t</w:t>
      </w:r>
      <w:r w:rsidRPr="003E75EA" w:rsidR="00960792">
        <w:rPr>
          <w:szCs w:val="24"/>
        </w:rPr>
        <w:t>he arrest and conviction histories of survivors create barriers to recovery and reintegration, coloring every aspect of their lives. Criminal records prevent survivors from moving forward</w:t>
      </w:r>
      <w:r w:rsidRPr="003E75EA" w:rsidR="00456F66">
        <w:rPr>
          <w:szCs w:val="24"/>
        </w:rPr>
        <w:t xml:space="preserve"> and</w:t>
      </w:r>
      <w:r w:rsidRPr="003E75EA" w:rsidR="00960792">
        <w:rPr>
          <w:szCs w:val="24"/>
        </w:rPr>
        <w:t xml:space="preserve"> from healing from their </w:t>
      </w:r>
      <w:r w:rsidRPr="003E75EA" w:rsidR="0020346D">
        <w:rPr>
          <w:szCs w:val="24"/>
        </w:rPr>
        <w:t>trauma and</w:t>
      </w:r>
      <w:r w:rsidRPr="003E75EA" w:rsidR="00960792">
        <w:rPr>
          <w:szCs w:val="24"/>
        </w:rPr>
        <w:t xml:space="preserve"> reinforce systemic racial disparities.</w:t>
      </w:r>
      <w:r w:rsidRPr="003E75EA" w:rsidR="00E750FF">
        <w:rPr>
          <w:rStyle w:val="FootnoteReference"/>
          <w:szCs w:val="24"/>
        </w:rPr>
        <w:footnoteReference w:id="20"/>
      </w:r>
      <w:r w:rsidRPr="003E75EA" w:rsidR="00960792">
        <w:rPr>
          <w:szCs w:val="24"/>
        </w:rPr>
        <w:t xml:space="preserve"> The long-term consequences of having a criminal record stretch beyond social and practical barriers, often impacting survivors’ psychological health. Criminal records “continue to restrict survivors’ self-determination and ability to put the past behind them.”</w:t>
      </w:r>
      <w:r w:rsidRPr="003E75EA" w:rsidR="00A34F6E">
        <w:rPr>
          <w:rStyle w:val="FootnoteReference"/>
          <w:szCs w:val="24"/>
        </w:rPr>
        <w:footnoteReference w:id="21"/>
      </w:r>
      <w:r w:rsidRPr="003E75EA" w:rsidR="00960792">
        <w:rPr>
          <w:szCs w:val="24"/>
        </w:rPr>
        <w:t xml:space="preserve"> The social barriers created by a criminal record have significant psychological and emotional impact on survivors</w:t>
      </w:r>
      <w:r w:rsidRPr="003E75EA" w:rsidR="001F30EB">
        <w:rPr>
          <w:szCs w:val="24"/>
        </w:rPr>
        <w:t xml:space="preserve"> that may cause survivors to untimely file</w:t>
      </w:r>
      <w:r w:rsidRPr="003E75EA" w:rsidR="00960792">
        <w:rPr>
          <w:szCs w:val="24"/>
        </w:rPr>
        <w:t>.</w:t>
      </w:r>
      <w:r w:rsidRPr="003E75EA" w:rsidR="00A34F6E">
        <w:rPr>
          <w:rStyle w:val="FootnoteReference"/>
          <w:szCs w:val="24"/>
        </w:rPr>
        <w:footnoteReference w:id="22"/>
      </w:r>
    </w:p>
    <w:p w:rsidRPr="003E75EA" w:rsidR="00341D32" w:rsidRDefault="00960792" w14:paraId="4E0842E7" w14:textId="07EA455A">
      <w:pPr>
        <w:widowControl w:val="0"/>
        <w:spacing w:line="480" w:lineRule="auto"/>
        <w:ind w:firstLine="720"/>
        <w:jc w:val="both"/>
        <w:rPr>
          <w:szCs w:val="24"/>
        </w:rPr>
      </w:pPr>
      <w:r w:rsidRPr="003E75EA">
        <w:rPr>
          <w:szCs w:val="24"/>
        </w:rPr>
        <w:lastRenderedPageBreak/>
        <w:t xml:space="preserve"> Criminal convictions also expose </w:t>
      </w:r>
      <w:r w:rsidRPr="003E75EA" w:rsidR="00DE630A">
        <w:rPr>
          <w:szCs w:val="24"/>
        </w:rPr>
        <w:t xml:space="preserve">survivors </w:t>
      </w:r>
      <w:r w:rsidRPr="003E75EA">
        <w:rPr>
          <w:szCs w:val="24"/>
        </w:rPr>
        <w:t>to discrimination and stigmatization a</w:t>
      </w:r>
      <w:r w:rsidRPr="003E75EA" w:rsidR="00772CDF">
        <w:rPr>
          <w:szCs w:val="24"/>
        </w:rPr>
        <w:t>s</w:t>
      </w:r>
      <w:r w:rsidRPr="003E75EA">
        <w:rPr>
          <w:szCs w:val="24"/>
        </w:rPr>
        <w:t xml:space="preserve"> “criminals.”</w:t>
      </w:r>
      <w:r w:rsidRPr="003E75EA" w:rsidR="00D35E1D">
        <w:rPr>
          <w:rStyle w:val="FootnoteReference"/>
          <w:szCs w:val="24"/>
        </w:rPr>
        <w:footnoteReference w:id="23"/>
      </w:r>
      <w:r w:rsidRPr="003E75EA">
        <w:rPr>
          <w:szCs w:val="24"/>
        </w:rPr>
        <w:t xml:space="preserve"> Trafficking survivors often experience feelings of shame and humiliation resulting from their criminal record, leading not only to societal stigmatization, but also self-stigmatization.</w:t>
      </w:r>
      <w:r w:rsidRPr="003E75EA" w:rsidR="00D35E1D">
        <w:rPr>
          <w:rStyle w:val="FootnoteReference"/>
          <w:szCs w:val="24"/>
        </w:rPr>
        <w:footnoteReference w:id="24"/>
      </w:r>
      <w:r w:rsidRPr="003E75EA" w:rsidR="00772CDF">
        <w:rPr>
          <w:szCs w:val="24"/>
        </w:rPr>
        <w:t xml:space="preserve"> The psychological trauma from a survivor’s exploitation is serious and long-term, and their criminal records serve as an emblematic reminder of the trauma they have suffered.</w:t>
      </w:r>
      <w:r w:rsidRPr="003E75EA" w:rsidR="00D35E1D">
        <w:rPr>
          <w:rStyle w:val="FootnoteReference"/>
          <w:szCs w:val="24"/>
        </w:rPr>
        <w:footnoteReference w:id="25"/>
      </w:r>
      <w:r w:rsidRPr="003E75EA" w:rsidR="00E75E38">
        <w:rPr>
          <w:szCs w:val="24"/>
        </w:rPr>
        <w:t xml:space="preserve"> </w:t>
      </w:r>
      <w:r w:rsidRPr="003E75EA">
        <w:rPr>
          <w:szCs w:val="24"/>
        </w:rPr>
        <w:t xml:space="preserve">Crucially, the arrest or conviction of </w:t>
      </w:r>
      <w:r w:rsidRPr="003E75EA" w:rsidR="00923AD9">
        <w:rPr>
          <w:szCs w:val="24"/>
        </w:rPr>
        <w:t xml:space="preserve">survivors </w:t>
      </w:r>
      <w:r w:rsidRPr="003E75EA">
        <w:rPr>
          <w:szCs w:val="24"/>
        </w:rPr>
        <w:t>create social barriers in their lives, as well as reinforce their trauma, which can return survivors back to their vulnerable situations, exposing them to re-trafficking and further exploitation.</w:t>
      </w:r>
      <w:r w:rsidRPr="003E75EA" w:rsidR="00D35E1D">
        <w:rPr>
          <w:rStyle w:val="FootnoteReference"/>
          <w:szCs w:val="24"/>
        </w:rPr>
        <w:footnoteReference w:id="26"/>
      </w:r>
      <w:r w:rsidRPr="003E75EA" w:rsidR="001F30EB">
        <w:rPr>
          <w:szCs w:val="24"/>
        </w:rPr>
        <w:t xml:space="preserve"> This can result in a never-ending cycle of victimization, which ultimately can prevent survivors from being able to file a timely motion to reopen. </w:t>
      </w:r>
    </w:p>
    <w:p w:rsidRPr="003E75EA" w:rsidR="007A238E" w:rsidP="00704F28" w:rsidRDefault="00CD2BF9" w14:paraId="74F85FE2" w14:textId="417330B0">
      <w:pPr>
        <w:pStyle w:val="Heading3"/>
      </w:pPr>
      <w:bookmarkStart w:name="_Toc101944978" w:id="47"/>
      <w:r w:rsidRPr="003E75EA">
        <w:t xml:space="preserve">Survivors </w:t>
      </w:r>
      <w:r w:rsidRPr="003E75EA" w:rsidR="00286F50">
        <w:t xml:space="preserve">Are Forced to Navigate a Foreign </w:t>
      </w:r>
      <w:r w:rsidRPr="003E75EA" w:rsidR="00954BD1">
        <w:t xml:space="preserve">and Complicated </w:t>
      </w:r>
      <w:r w:rsidRPr="003E75EA" w:rsidR="00286F50">
        <w:t xml:space="preserve">Justice System </w:t>
      </w:r>
      <w:r w:rsidRPr="003E75EA" w:rsidR="00E301CF">
        <w:t>o</w:t>
      </w:r>
      <w:r w:rsidRPr="003E75EA" w:rsidR="00954BD1">
        <w:t>n Their Own</w:t>
      </w:r>
      <w:bookmarkEnd w:id="47"/>
    </w:p>
    <w:p w:rsidRPr="003E75EA" w:rsidR="00960792" w:rsidRDefault="00960792" w14:paraId="41154162" w14:textId="542A4B06">
      <w:pPr>
        <w:widowControl w:val="0"/>
        <w:spacing w:line="480" w:lineRule="auto"/>
        <w:ind w:firstLine="720"/>
        <w:jc w:val="both"/>
        <w:rPr>
          <w:szCs w:val="24"/>
        </w:rPr>
      </w:pPr>
      <w:r w:rsidRPr="003E75EA">
        <w:rPr>
          <w:szCs w:val="24"/>
        </w:rPr>
        <w:t xml:space="preserve">Even if the </w:t>
      </w:r>
      <w:r w:rsidRPr="003E75EA" w:rsidR="00CD2BF9">
        <w:rPr>
          <w:szCs w:val="24"/>
        </w:rPr>
        <w:t xml:space="preserve">survivor </w:t>
      </w:r>
      <w:r w:rsidRPr="003E75EA">
        <w:rPr>
          <w:szCs w:val="24"/>
        </w:rPr>
        <w:t>is not immediately subject to removal based upon the conviction, convictions significantly complicate immigration status applications that survivors may have filed based on having been a victim of domestic violence, sexual assault, human trafficking, or another crime. Survivors who find themselves in removal proceedings, either immediately after conviction or at some subsequent juncture, will likely be unrepresented.</w:t>
      </w:r>
      <w:r w:rsidRPr="003E75EA">
        <w:rPr>
          <w:rStyle w:val="FootnoteReference"/>
          <w:szCs w:val="24"/>
        </w:rPr>
        <w:footnoteReference w:id="27"/>
      </w:r>
      <w:r w:rsidRPr="003E75EA">
        <w:rPr>
          <w:szCs w:val="24"/>
        </w:rPr>
        <w:t xml:space="preserve"> Allowing survivors to untimely reopen on the premise of a criminal conviction being vacated provides </w:t>
      </w:r>
      <w:r w:rsidRPr="003E75EA" w:rsidR="00923AD9">
        <w:rPr>
          <w:szCs w:val="24"/>
        </w:rPr>
        <w:t xml:space="preserve">survivors </w:t>
      </w:r>
      <w:r w:rsidRPr="003E75EA">
        <w:rPr>
          <w:szCs w:val="24"/>
        </w:rPr>
        <w:t>with sufficient time to correct the record and ensure the just resolution of their immigration status application.</w:t>
      </w:r>
    </w:p>
    <w:p w:rsidRPr="003E75EA" w:rsidR="00960792" w:rsidRDefault="00960792" w14:paraId="03383698" w14:textId="53C02E2A">
      <w:pPr>
        <w:widowControl w:val="0"/>
        <w:spacing w:line="480" w:lineRule="auto"/>
        <w:ind w:firstLine="720"/>
        <w:jc w:val="both"/>
        <w:rPr>
          <w:szCs w:val="24"/>
        </w:rPr>
      </w:pPr>
      <w:r w:rsidRPr="003E75EA">
        <w:rPr>
          <w:szCs w:val="24"/>
        </w:rPr>
        <w:lastRenderedPageBreak/>
        <w:t>This means that immigrants, specifically survivors, are navigating complex filing and other legal requirements without the assistance of counsel. If a survivor does decide to engage counsel to assist in their application or motion to reopen, the survivor must act quickly to secure representation in order to meet all codified deadlines.</w:t>
      </w:r>
    </w:p>
    <w:p w:rsidRPr="003E75EA" w:rsidR="00960792" w:rsidRDefault="00960792" w14:paraId="1E9329DB" w14:textId="7B8BD73B">
      <w:pPr>
        <w:widowControl w:val="0"/>
        <w:spacing w:line="480" w:lineRule="auto"/>
        <w:ind w:firstLine="720"/>
        <w:jc w:val="both"/>
        <w:rPr>
          <w:szCs w:val="24"/>
        </w:rPr>
      </w:pPr>
      <w:r w:rsidRPr="003E75EA">
        <w:rPr>
          <w:szCs w:val="24"/>
        </w:rPr>
        <w:t xml:space="preserve">Considering whether an immigrant is a survivor of gender-based violence when deciding untimely motions to reopen ensures </w:t>
      </w:r>
      <w:r w:rsidRPr="003E75EA" w:rsidR="00E301CF">
        <w:rPr>
          <w:szCs w:val="24"/>
        </w:rPr>
        <w:t xml:space="preserve">that </w:t>
      </w:r>
      <w:r w:rsidRPr="003E75EA">
        <w:rPr>
          <w:szCs w:val="24"/>
        </w:rPr>
        <w:t xml:space="preserve">the BIA makes immigration status application decisions based on complete and accurate information. The circumstances surrounding conviction of survivors of gender-based violence coupled with the challenges noncitizen survivors face in the criminal justice system provide a reasonable basis for allowing untimely motions to reopen. </w:t>
      </w:r>
    </w:p>
    <w:p w:rsidRPr="003E75EA" w:rsidR="00BF4312" w:rsidP="00704F28" w:rsidRDefault="00006D6B" w14:paraId="16135AF9" w14:textId="3EC489E6">
      <w:pPr>
        <w:pStyle w:val="Heading2"/>
      </w:pPr>
      <w:bookmarkStart w:name="_Toc101944979" w:id="50"/>
      <w:r w:rsidRPr="003E75EA">
        <w:t>The B</w:t>
      </w:r>
      <w:bookmarkStart w:name="_BA_Cite_E43650_000041" w:id="51"/>
      <w:bookmarkEnd w:id="51"/>
      <w:r w:rsidRPr="003E75EA">
        <w:t>IA Should Consider</w:t>
      </w:r>
      <w:r w:rsidRPr="003E75EA" w:rsidR="00882A76">
        <w:t xml:space="preserve"> Other Immigration Laws</w:t>
      </w:r>
      <w:r w:rsidRPr="003E75EA" w:rsidR="00C76490">
        <w:t xml:space="preserve"> That </w:t>
      </w:r>
      <w:r w:rsidRPr="003E75EA" w:rsidR="00F858E8">
        <w:t>Have Expanded Protections To Survivors Of Gender-Based Violence</w:t>
      </w:r>
      <w:bookmarkEnd w:id="50"/>
    </w:p>
    <w:p w:rsidRPr="003E75EA" w:rsidR="00882A76" w:rsidP="00010FF6" w:rsidRDefault="00BF4312" w14:paraId="08BDB350" w14:textId="6CE279A2">
      <w:pPr>
        <w:widowControl w:val="0"/>
        <w:spacing w:line="480" w:lineRule="auto"/>
        <w:ind w:firstLine="720"/>
        <w:jc w:val="both"/>
        <w:rPr>
          <w:b/>
          <w:bCs/>
          <w:szCs w:val="24"/>
          <w:u w:val="single"/>
        </w:rPr>
      </w:pPr>
      <w:r w:rsidRPr="003E75EA">
        <w:rPr>
          <w:szCs w:val="24"/>
        </w:rPr>
        <w:t>The BIA should also consider the ameliorative intent and purpose of protections under both federal and state law afforded to survivors of domestic violence, sexual assault, and human trafficking when considering an untimely motion to reopen that is premised on a vacatur of a criminal conviction.</w:t>
      </w:r>
    </w:p>
    <w:p w:rsidRPr="003E75EA" w:rsidR="00960792" w:rsidP="00704F28" w:rsidRDefault="00960792" w14:paraId="03C3FDD0" w14:textId="30BB83A3">
      <w:pPr>
        <w:pStyle w:val="Heading3"/>
        <w:numPr>
          <w:ilvl w:val="0"/>
          <w:numId w:val="15"/>
        </w:numPr>
        <w:ind w:left="1440" w:hanging="720"/>
      </w:pPr>
      <w:bookmarkStart w:name="_Toc101944980" w:id="52"/>
      <w:r w:rsidRPr="003E75EA">
        <w:t>F</w:t>
      </w:r>
      <w:bookmarkStart w:name="_BA_Cite_E43650_000043" w:id="53"/>
      <w:bookmarkEnd w:id="53"/>
      <w:r w:rsidRPr="003E75EA">
        <w:t>ederal Immigration Laws Provid</w:t>
      </w:r>
      <w:r w:rsidRPr="003E75EA" w:rsidR="00882A76">
        <w:t>e</w:t>
      </w:r>
      <w:r w:rsidRPr="003E75EA">
        <w:t xml:space="preserve"> Additional Assistance </w:t>
      </w:r>
      <w:r w:rsidRPr="003E75EA" w:rsidR="00C76490">
        <w:t>t</w:t>
      </w:r>
      <w:r w:rsidRPr="003E75EA">
        <w:t xml:space="preserve">o Survivors </w:t>
      </w:r>
      <w:r w:rsidRPr="003E75EA" w:rsidR="00C76490">
        <w:t>o</w:t>
      </w:r>
      <w:r w:rsidRPr="003E75EA">
        <w:t xml:space="preserve">f Domestic Violence, Sexual Assault, </w:t>
      </w:r>
      <w:r w:rsidRPr="003E75EA" w:rsidR="00C76490">
        <w:t>a</w:t>
      </w:r>
      <w:r w:rsidRPr="003E75EA">
        <w:t>nd Human Trafficking</w:t>
      </w:r>
      <w:bookmarkEnd w:id="52"/>
    </w:p>
    <w:p w:rsidRPr="003E75EA" w:rsidR="00960792" w:rsidRDefault="00BF4312" w14:paraId="10ECB9F4" w14:textId="7B1FA31B">
      <w:pPr>
        <w:widowControl w:val="0"/>
        <w:spacing w:line="480" w:lineRule="auto"/>
        <w:ind w:firstLine="720"/>
        <w:jc w:val="both"/>
        <w:rPr>
          <w:szCs w:val="24"/>
        </w:rPr>
      </w:pPr>
      <w:r w:rsidRPr="003E75EA">
        <w:rPr>
          <w:szCs w:val="24"/>
        </w:rPr>
        <w:t xml:space="preserve">The BIA should consider certain federal laws that provide </w:t>
      </w:r>
      <w:r w:rsidRPr="003E75EA" w:rsidR="00F05A40">
        <w:rPr>
          <w:szCs w:val="24"/>
        </w:rPr>
        <w:t xml:space="preserve">expanded protections to survivors of gender-based violence. </w:t>
      </w:r>
      <w:r w:rsidRPr="003E75EA" w:rsidR="00BF2342">
        <w:rPr>
          <w:szCs w:val="24"/>
        </w:rPr>
        <w:t>Relevant federal laws include</w:t>
      </w:r>
      <w:r w:rsidRPr="003E75EA" w:rsidR="00960792">
        <w:rPr>
          <w:szCs w:val="24"/>
        </w:rPr>
        <w:t xml:space="preserve"> </w:t>
      </w:r>
      <w:r w:rsidRPr="003E75EA" w:rsidR="00757EDF">
        <w:rPr>
          <w:szCs w:val="24"/>
        </w:rPr>
        <w:t xml:space="preserve">the </w:t>
      </w:r>
      <w:r w:rsidRPr="003E75EA" w:rsidR="00960792">
        <w:rPr>
          <w:szCs w:val="24"/>
        </w:rPr>
        <w:t>I</w:t>
      </w:r>
      <w:bookmarkStart w:name="_BA_Cite_E43650_000025" w:id="54"/>
      <w:bookmarkEnd w:id="54"/>
      <w:r w:rsidRPr="003E75EA" w:rsidR="00960792">
        <w:rPr>
          <w:szCs w:val="24"/>
        </w:rPr>
        <w:t>mmigration Act of 1990 Pub. L. No. 101-649, 104 Stat. 4978, codified at 8</w:t>
      </w:r>
      <w:bookmarkStart w:name="_BA_Cite_E43650_000045" w:id="55"/>
      <w:bookmarkEnd w:id="55"/>
      <w:r w:rsidRPr="003E75EA" w:rsidR="00960792">
        <w:rPr>
          <w:szCs w:val="24"/>
        </w:rPr>
        <w:t xml:space="preserve"> U.S.C. §</w:t>
      </w:r>
      <w:r w:rsidRPr="003E75EA" w:rsidR="00F93350">
        <w:rPr>
          <w:szCs w:val="24"/>
        </w:rPr>
        <w:t xml:space="preserve"> </w:t>
      </w:r>
      <w:r w:rsidRPr="003E75EA" w:rsidR="00960792">
        <w:rPr>
          <w:szCs w:val="24"/>
        </w:rPr>
        <w:t>1186a(c)(4)</w:t>
      </w:r>
      <w:r w:rsidRPr="003E75EA" w:rsidR="00E301CF">
        <w:rPr>
          <w:szCs w:val="24"/>
        </w:rPr>
        <w:t xml:space="preserve"> (the “Immigration Act”)</w:t>
      </w:r>
      <w:r w:rsidRPr="003E75EA" w:rsidR="00960792">
        <w:rPr>
          <w:szCs w:val="24"/>
        </w:rPr>
        <w:t>, the V</w:t>
      </w:r>
      <w:bookmarkStart w:name="_BA_Cite_E43650_000033" w:id="56"/>
      <w:bookmarkEnd w:id="56"/>
      <w:r w:rsidRPr="003E75EA" w:rsidR="00960792">
        <w:rPr>
          <w:szCs w:val="24"/>
        </w:rPr>
        <w:t xml:space="preserve">iolence Against Women Act of 1994 Pub. L. No. 103-322, </w:t>
      </w:r>
      <w:r w:rsidRPr="003E75EA" w:rsidR="00F93350">
        <w:rPr>
          <w:szCs w:val="24"/>
        </w:rPr>
        <w:t>t</w:t>
      </w:r>
      <w:r w:rsidRPr="003E75EA" w:rsidR="00960792">
        <w:rPr>
          <w:szCs w:val="24"/>
        </w:rPr>
        <w:t>it. IV, 108 Stat. 1902 (Sept. 13, 1994) (</w:t>
      </w:r>
      <w:r w:rsidRPr="003E75EA" w:rsidR="00757EDF">
        <w:rPr>
          <w:szCs w:val="24"/>
        </w:rPr>
        <w:t>“</w:t>
      </w:r>
      <w:r w:rsidRPr="003E75EA" w:rsidR="00960792">
        <w:rPr>
          <w:szCs w:val="24"/>
        </w:rPr>
        <w:t>VAWA</w:t>
      </w:r>
      <w:r w:rsidRPr="003E75EA" w:rsidR="00757EDF">
        <w:rPr>
          <w:szCs w:val="24"/>
        </w:rPr>
        <w:t>”</w:t>
      </w:r>
      <w:r w:rsidRPr="003E75EA" w:rsidR="00960792">
        <w:rPr>
          <w:szCs w:val="24"/>
        </w:rPr>
        <w:t>), and the V</w:t>
      </w:r>
      <w:bookmarkStart w:name="_BA_Cite_E43650_000027" w:id="57"/>
      <w:bookmarkEnd w:id="57"/>
      <w:r w:rsidRPr="003E75EA" w:rsidR="00960792">
        <w:rPr>
          <w:szCs w:val="24"/>
        </w:rPr>
        <w:t>ictims of Trafficking and Violence Prevention Act of 2000</w:t>
      </w:r>
      <w:r w:rsidRPr="003E75EA" w:rsidR="00F93350">
        <w:rPr>
          <w:szCs w:val="24"/>
        </w:rPr>
        <w:t>,</w:t>
      </w:r>
      <w:r w:rsidRPr="003E75EA" w:rsidR="00960792">
        <w:rPr>
          <w:szCs w:val="24"/>
        </w:rPr>
        <w:t xml:space="preserve"> </w:t>
      </w:r>
      <w:bookmarkStart w:name="_Hlk101224350" w:id="58"/>
      <w:r w:rsidRPr="003E75EA" w:rsidR="00960792">
        <w:rPr>
          <w:szCs w:val="24"/>
        </w:rPr>
        <w:t>Pub. L. No.  106–386, 114 Stat. 1464–1548 (Oct. 28, 2000)</w:t>
      </w:r>
      <w:r w:rsidRPr="003E75EA" w:rsidR="00E301CF">
        <w:rPr>
          <w:szCs w:val="24"/>
        </w:rPr>
        <w:t xml:space="preserve"> (the “Victims of Trafficking and Violence Prevention Act”)</w:t>
      </w:r>
      <w:r w:rsidRPr="003E75EA" w:rsidR="00960792">
        <w:rPr>
          <w:szCs w:val="24"/>
        </w:rPr>
        <w:t>.</w:t>
      </w:r>
      <w:bookmarkEnd w:id="58"/>
    </w:p>
    <w:p w:rsidRPr="003E75EA" w:rsidR="00960792" w:rsidRDefault="00092C4C" w14:paraId="64A6919E" w14:textId="052BD066">
      <w:pPr>
        <w:widowControl w:val="0"/>
        <w:spacing w:line="480" w:lineRule="auto"/>
        <w:ind w:firstLine="720"/>
        <w:jc w:val="both"/>
        <w:rPr>
          <w:szCs w:val="24"/>
        </w:rPr>
      </w:pPr>
      <w:r w:rsidRPr="003E75EA">
        <w:rPr>
          <w:szCs w:val="24"/>
        </w:rPr>
        <w:lastRenderedPageBreak/>
        <w:t>I</w:t>
      </w:r>
      <w:bookmarkStart w:name="_BA_Cite_E43650_000047" w:id="59"/>
      <w:bookmarkEnd w:id="59"/>
      <w:r w:rsidRPr="003E75EA">
        <w:rPr>
          <w:szCs w:val="24"/>
        </w:rPr>
        <w:t>n the Immigration Act</w:t>
      </w:r>
      <w:r w:rsidRPr="003E75EA" w:rsidR="00960792">
        <w:rPr>
          <w:szCs w:val="24"/>
        </w:rPr>
        <w:t>, a bipartisan</w:t>
      </w:r>
      <w:r w:rsidRPr="003E75EA">
        <w:rPr>
          <w:szCs w:val="24"/>
        </w:rPr>
        <w:t xml:space="preserve"> majority in</w:t>
      </w:r>
      <w:r w:rsidRPr="003E75EA" w:rsidR="00960792">
        <w:rPr>
          <w:szCs w:val="24"/>
        </w:rPr>
        <w:t xml:space="preserve"> Congress sought to limit the ability of abusers to leverage immigration laws and the fear of deportation against their victims, creating the battered spouse waiver of the I</w:t>
      </w:r>
      <w:bookmarkStart w:name="_BA_Cite_E43650_000049" w:id="60"/>
      <w:bookmarkEnd w:id="60"/>
      <w:r w:rsidRPr="003E75EA" w:rsidR="00960792">
        <w:rPr>
          <w:szCs w:val="24"/>
        </w:rPr>
        <w:t>mmigration Act. 8 U.S.C. §</w:t>
      </w:r>
      <w:r w:rsidRPr="003E75EA" w:rsidR="00F93350">
        <w:rPr>
          <w:szCs w:val="24"/>
        </w:rPr>
        <w:t xml:space="preserve"> </w:t>
      </w:r>
      <w:r w:rsidRPr="003E75EA" w:rsidR="00960792">
        <w:rPr>
          <w:szCs w:val="24"/>
        </w:rPr>
        <w:t>1186a(c)(4).</w:t>
      </w:r>
      <w:r w:rsidRPr="003E75EA" w:rsidR="003F2A10">
        <w:rPr>
          <w:szCs w:val="24"/>
        </w:rPr>
        <w:t xml:space="preserve"> The </w:t>
      </w:r>
      <w:r w:rsidRPr="003E75EA" w:rsidR="00AF5B44">
        <w:rPr>
          <w:szCs w:val="24"/>
        </w:rPr>
        <w:t xml:space="preserve">battered spouse waiver </w:t>
      </w:r>
      <w:r w:rsidRPr="003E75EA" w:rsidR="003F2A10">
        <w:rPr>
          <w:szCs w:val="24"/>
        </w:rPr>
        <w:t xml:space="preserve">allows </w:t>
      </w:r>
      <w:r w:rsidRPr="003E75EA" w:rsidR="00923AD9">
        <w:rPr>
          <w:szCs w:val="24"/>
        </w:rPr>
        <w:t xml:space="preserve">survivors </w:t>
      </w:r>
      <w:r w:rsidRPr="003E75EA" w:rsidR="003F2A10">
        <w:rPr>
          <w:szCs w:val="24"/>
        </w:rPr>
        <w:t>of domestic abuse with conditional permanent residency based on marriage to a U.S. citizen to apply for removal of the conditionality without the assistance of their</w:t>
      </w:r>
      <w:r w:rsidRPr="003E75EA" w:rsidR="00B7787D">
        <w:rPr>
          <w:szCs w:val="24"/>
        </w:rPr>
        <w:t xml:space="preserve"> spouse if they are in an abusive relationship.</w:t>
      </w:r>
      <w:r w:rsidRPr="003E75EA" w:rsidR="0055657F">
        <w:rPr>
          <w:rStyle w:val="FootnoteReference"/>
          <w:szCs w:val="24"/>
        </w:rPr>
        <w:footnoteReference w:id="28"/>
      </w:r>
      <w:r w:rsidRPr="003E75EA" w:rsidR="00960792">
        <w:rPr>
          <w:szCs w:val="24"/>
        </w:rPr>
        <w:t xml:space="preserve"> </w:t>
      </w:r>
      <w:r w:rsidRPr="003E75EA" w:rsidR="00AF5B44">
        <w:rPr>
          <w:szCs w:val="24"/>
        </w:rPr>
        <w:t>The battered spouse waiver</w:t>
      </w:r>
      <w:r w:rsidRPr="003E75EA" w:rsidR="00960792">
        <w:rPr>
          <w:szCs w:val="24"/>
        </w:rPr>
        <w:t xml:space="preserve"> marked the beginning of a trend towards protecting the interests of noncitizen </w:t>
      </w:r>
      <w:r w:rsidRPr="003E75EA" w:rsidR="000829DE">
        <w:rPr>
          <w:szCs w:val="24"/>
        </w:rPr>
        <w:t xml:space="preserve">survivors </w:t>
      </w:r>
      <w:r w:rsidRPr="003E75EA" w:rsidR="00960792">
        <w:rPr>
          <w:szCs w:val="24"/>
        </w:rPr>
        <w:t xml:space="preserve">of abuse. Indeed, Representative Louise Slaughter, a major supporter of the legislation, explained Congress’ intent to separate someone’s immigration status from his or her abuse, and in the case of the </w:t>
      </w:r>
      <w:r w:rsidRPr="003E75EA" w:rsidR="00AF5B44">
        <w:rPr>
          <w:szCs w:val="24"/>
        </w:rPr>
        <w:t xml:space="preserve">battered spouse waiver </w:t>
      </w:r>
      <w:r w:rsidRPr="003E75EA" w:rsidR="00960792">
        <w:rPr>
          <w:szCs w:val="24"/>
        </w:rPr>
        <w:t>specifically from the abuser</w:t>
      </w:r>
      <w:r w:rsidRPr="003E75EA" w:rsidR="00511A32">
        <w:rPr>
          <w:szCs w:val="24"/>
        </w:rPr>
        <w:t>, stating “a battered foreign spouse may be forced to choose between remaining in an abusive relationship or facing possible deportation to a country that is no longer his or her home</w:t>
      </w:r>
      <w:r w:rsidRPr="003E75EA" w:rsidR="00960792">
        <w:rPr>
          <w:szCs w:val="24"/>
        </w:rPr>
        <w:t>.</w:t>
      </w:r>
      <w:r w:rsidRPr="003E75EA" w:rsidR="00511A32">
        <w:rPr>
          <w:szCs w:val="24"/>
        </w:rPr>
        <w:t>”</w:t>
      </w:r>
      <w:r w:rsidRPr="003E75EA" w:rsidR="00960792">
        <w:rPr>
          <w:rStyle w:val="FootnoteReference"/>
          <w:szCs w:val="24"/>
        </w:rPr>
        <w:footnoteReference w:id="29"/>
      </w:r>
      <w:r w:rsidRPr="003E75EA" w:rsidR="00960792">
        <w:rPr>
          <w:szCs w:val="24"/>
        </w:rPr>
        <w:t xml:space="preserve"> </w:t>
      </w:r>
    </w:p>
    <w:p w:rsidRPr="003E75EA" w:rsidR="00960792" w:rsidRDefault="006E598E" w14:paraId="652D3B47" w14:textId="701DB8D5">
      <w:pPr>
        <w:widowControl w:val="0"/>
        <w:spacing w:line="480" w:lineRule="auto"/>
        <w:ind w:firstLine="720"/>
        <w:jc w:val="both"/>
        <w:rPr>
          <w:szCs w:val="24"/>
        </w:rPr>
      </w:pPr>
      <w:r w:rsidRPr="003E75EA">
        <w:rPr>
          <w:szCs w:val="24"/>
        </w:rPr>
        <w:t>Congress affirmed its commitment to survivors with the passage of V</w:t>
      </w:r>
      <w:bookmarkStart w:name="_BA_Cite_E43650_000197" w:id="64"/>
      <w:bookmarkEnd w:id="64"/>
      <w:r w:rsidRPr="003E75EA">
        <w:rPr>
          <w:szCs w:val="24"/>
        </w:rPr>
        <w:t xml:space="preserve">AWA in 1994, representing our nation’s first system-wide attempt to halt and address violence against women in this country, including noncitizens. </w:t>
      </w:r>
      <w:r w:rsidRPr="003E75EA" w:rsidR="00960792">
        <w:rPr>
          <w:szCs w:val="24"/>
        </w:rPr>
        <w:t xml:space="preserve">As </w:t>
      </w:r>
      <w:r w:rsidRPr="003E75EA" w:rsidR="005C7D6A">
        <w:rPr>
          <w:szCs w:val="24"/>
        </w:rPr>
        <w:t>stated above</w:t>
      </w:r>
      <w:r w:rsidRPr="003E75EA" w:rsidR="00960792">
        <w:rPr>
          <w:szCs w:val="24"/>
        </w:rPr>
        <w:t xml:space="preserve">, immigrant populations are particularly vulnerable to </w:t>
      </w:r>
      <w:bookmarkStart w:name="_Hlk101187114" w:id="65"/>
      <w:r w:rsidRPr="003E75EA" w:rsidR="00960792">
        <w:rPr>
          <w:szCs w:val="24"/>
        </w:rPr>
        <w:t>crimes such as domestic violence, sexual assault, and human trafficking</w:t>
      </w:r>
      <w:bookmarkEnd w:id="65"/>
      <w:r w:rsidRPr="003E75EA" w:rsidR="00960792">
        <w:rPr>
          <w:szCs w:val="24"/>
        </w:rPr>
        <w:t>, in part because people who fear deportation are less likely to report abuse.</w:t>
      </w:r>
      <w:r w:rsidRPr="003E75EA" w:rsidR="00960792">
        <w:rPr>
          <w:rStyle w:val="FootnoteReference"/>
          <w:szCs w:val="24"/>
        </w:rPr>
        <w:footnoteReference w:id="30"/>
      </w:r>
      <w:r w:rsidRPr="003E75EA" w:rsidR="00960792">
        <w:rPr>
          <w:szCs w:val="24"/>
        </w:rPr>
        <w:t xml:space="preserve"> One of the most intimidating tools of power and control abusers use is threatening to get their victims deported if they seek help.</w:t>
      </w:r>
      <w:r w:rsidRPr="003E75EA" w:rsidR="00960792">
        <w:rPr>
          <w:rStyle w:val="FootnoteReference"/>
          <w:szCs w:val="24"/>
        </w:rPr>
        <w:footnoteReference w:id="31"/>
      </w:r>
      <w:r w:rsidRPr="003E75EA" w:rsidR="00960792">
        <w:rPr>
          <w:szCs w:val="24"/>
        </w:rPr>
        <w:t xml:space="preserve"> This is only one aspect of the tremendous barriers all noncitizen victims of these crimes face in using the U.S. justice system to respond to the violence in their lives, including the legal </w:t>
      </w:r>
      <w:r w:rsidRPr="003E75EA" w:rsidR="00960792">
        <w:rPr>
          <w:szCs w:val="24"/>
        </w:rPr>
        <w:lastRenderedPageBreak/>
        <w:t>barriers described</w:t>
      </w:r>
      <w:r w:rsidRPr="003E75EA" w:rsidR="0058690C">
        <w:rPr>
          <w:szCs w:val="24"/>
        </w:rPr>
        <w:t xml:space="preserve"> above</w:t>
      </w:r>
      <w:r w:rsidRPr="003E75EA" w:rsidR="00960792">
        <w:rPr>
          <w:szCs w:val="24"/>
        </w:rPr>
        <w:t xml:space="preserve">. </w:t>
      </w:r>
      <w:r w:rsidRPr="003E75EA">
        <w:rPr>
          <w:szCs w:val="24"/>
        </w:rPr>
        <w:t>V</w:t>
      </w:r>
      <w:bookmarkStart w:name="_BA_Cite_E43650_000199" w:id="68"/>
      <w:bookmarkEnd w:id="68"/>
      <w:r w:rsidRPr="003E75EA">
        <w:rPr>
          <w:szCs w:val="24"/>
        </w:rPr>
        <w:t>AWA is a direct response to these issues.</w:t>
      </w:r>
    </w:p>
    <w:p w:rsidRPr="003E75EA" w:rsidR="00960792" w:rsidRDefault="00960792" w14:paraId="13480DAE" w14:textId="7BD1AE1E">
      <w:pPr>
        <w:widowControl w:val="0"/>
        <w:spacing w:line="480" w:lineRule="auto"/>
        <w:ind w:firstLine="720"/>
        <w:jc w:val="both"/>
        <w:rPr>
          <w:szCs w:val="24"/>
        </w:rPr>
      </w:pPr>
      <w:r w:rsidRPr="003E75EA">
        <w:rPr>
          <w:szCs w:val="24"/>
        </w:rPr>
        <w:t>V</w:t>
      </w:r>
      <w:bookmarkStart w:name="_BA_Cite_E43650_000201" w:id="69"/>
      <w:bookmarkEnd w:id="69"/>
      <w:r w:rsidRPr="003E75EA">
        <w:rPr>
          <w:szCs w:val="24"/>
        </w:rPr>
        <w:t>AWA included provisions that allowed immigrants who were subjected to “battery or extreme cruelty” by a United States citizen or lawful permanent resident spouse or parent to “self-petition” for legal status, without relying on their abusers, recognizing that “a battered spouse may be deterred from taking action to protect himself or herself, such as filing a protection order, filing criminal charges or calling the police, because of the threat or fear of deportation.”</w:t>
      </w:r>
      <w:r w:rsidRPr="003E75EA">
        <w:rPr>
          <w:rStyle w:val="FootnoteReference"/>
          <w:szCs w:val="24"/>
        </w:rPr>
        <w:footnoteReference w:id="32"/>
      </w:r>
      <w:r w:rsidRPr="003E75EA">
        <w:rPr>
          <w:szCs w:val="24"/>
        </w:rPr>
        <w:t xml:space="preserve"> By freeing many noncitizen domestic violence survivors from one element of control </w:t>
      </w:r>
      <w:r w:rsidRPr="003E75EA" w:rsidR="0074076F">
        <w:rPr>
          <w:szCs w:val="24"/>
        </w:rPr>
        <w:t xml:space="preserve">that </w:t>
      </w:r>
      <w:r w:rsidRPr="003E75EA" w:rsidR="00824C8B">
        <w:rPr>
          <w:szCs w:val="24"/>
        </w:rPr>
        <w:t xml:space="preserve">their abusers </w:t>
      </w:r>
      <w:r w:rsidRPr="003E75EA">
        <w:rPr>
          <w:szCs w:val="24"/>
        </w:rPr>
        <w:t>otherwise possessed over them, this law continues the trend toward protecting certain more vulnerable groups of noncitizens.</w:t>
      </w:r>
    </w:p>
    <w:p w:rsidRPr="003E75EA" w:rsidR="00960792" w:rsidRDefault="00960792" w14:paraId="4E417B7D" w14:textId="7CE67AD8">
      <w:pPr>
        <w:widowControl w:val="0"/>
        <w:spacing w:line="480" w:lineRule="auto"/>
        <w:ind w:firstLine="720"/>
        <w:jc w:val="both"/>
        <w:rPr>
          <w:szCs w:val="24"/>
        </w:rPr>
      </w:pPr>
      <w:r w:rsidRPr="003E75EA">
        <w:rPr>
          <w:szCs w:val="24"/>
        </w:rPr>
        <w:t xml:space="preserve">Congress reauthorized and reinforced VAWA’s protections for survivors in 2000 </w:t>
      </w:r>
      <w:r w:rsidRPr="003E75EA" w:rsidR="00E93C1D">
        <w:rPr>
          <w:szCs w:val="24"/>
        </w:rPr>
        <w:t>as part of the Victims of T</w:t>
      </w:r>
      <w:bookmarkStart w:name="_BA_Cite_E43650_000057" w:id="73"/>
      <w:bookmarkEnd w:id="73"/>
      <w:r w:rsidRPr="003E75EA" w:rsidR="00E93C1D">
        <w:rPr>
          <w:szCs w:val="24"/>
        </w:rPr>
        <w:t xml:space="preserve">rafficking and Violence Protection Act </w:t>
      </w:r>
      <w:r w:rsidRPr="003E75EA">
        <w:rPr>
          <w:szCs w:val="24"/>
        </w:rPr>
        <w:t xml:space="preserve">and created two new forms of immigration relief for </w:t>
      </w:r>
      <w:r w:rsidRPr="003E75EA" w:rsidR="00923AD9">
        <w:rPr>
          <w:szCs w:val="24"/>
        </w:rPr>
        <w:t xml:space="preserve">survivors </w:t>
      </w:r>
      <w:r w:rsidRPr="003E75EA">
        <w:rPr>
          <w:szCs w:val="24"/>
        </w:rPr>
        <w:t xml:space="preserve">of trafficking and violence: U and T nonimmigrant status, more commonly known as the </w:t>
      </w:r>
      <w:r w:rsidRPr="003E75EA" w:rsidR="0074076F">
        <w:rPr>
          <w:szCs w:val="24"/>
        </w:rPr>
        <w:t>“</w:t>
      </w:r>
      <w:r w:rsidRPr="003E75EA">
        <w:rPr>
          <w:szCs w:val="24"/>
        </w:rPr>
        <w:t>U visa</w:t>
      </w:r>
      <w:r w:rsidRPr="003E75EA" w:rsidR="0074076F">
        <w:rPr>
          <w:szCs w:val="24"/>
        </w:rPr>
        <w:t>”</w:t>
      </w:r>
      <w:r w:rsidRPr="003E75EA">
        <w:rPr>
          <w:szCs w:val="24"/>
        </w:rPr>
        <w:t xml:space="preserve"> and </w:t>
      </w:r>
      <w:r w:rsidRPr="003E75EA" w:rsidR="0074076F">
        <w:rPr>
          <w:szCs w:val="24"/>
        </w:rPr>
        <w:t>“</w:t>
      </w:r>
      <w:r w:rsidRPr="003E75EA">
        <w:rPr>
          <w:szCs w:val="24"/>
        </w:rPr>
        <w:t>T visa.</w:t>
      </w:r>
      <w:r w:rsidRPr="003E75EA" w:rsidR="0074076F">
        <w:rPr>
          <w:szCs w:val="24"/>
        </w:rPr>
        <w:t>”</w:t>
      </w:r>
      <w:r w:rsidRPr="003E75EA">
        <w:rPr>
          <w:rStyle w:val="FootnoteReference"/>
          <w:szCs w:val="24"/>
        </w:rPr>
        <w:footnoteReference w:id="33"/>
      </w:r>
      <w:r w:rsidRPr="003E75EA">
        <w:rPr>
          <w:szCs w:val="24"/>
        </w:rPr>
        <w:t xml:space="preserve"> These visa forms offer temporary protection from deportation for qualifying immigrant crime survivors.</w:t>
      </w:r>
      <w:r w:rsidRPr="003E75EA">
        <w:rPr>
          <w:rStyle w:val="FootnoteReference"/>
          <w:szCs w:val="24"/>
        </w:rPr>
        <w:footnoteReference w:id="34"/>
      </w:r>
      <w:r w:rsidRPr="003E75EA">
        <w:rPr>
          <w:szCs w:val="24"/>
        </w:rPr>
        <w:t xml:space="preserve"> To qualify for a U visa, the noncitizen must demonstrate that he or she has been the victim of a “qualifying criminal activity.”</w:t>
      </w:r>
      <w:r w:rsidRPr="003E75EA">
        <w:rPr>
          <w:rStyle w:val="FootnoteReference"/>
          <w:szCs w:val="24"/>
        </w:rPr>
        <w:footnoteReference w:id="35"/>
      </w:r>
      <w:r w:rsidRPr="003E75EA">
        <w:rPr>
          <w:szCs w:val="24"/>
        </w:rPr>
        <w:t xml:space="preserve"> The majority of listed qualifying criminal activities are gender-based violence, and the law specifically includes trafficking, domestic violence, and sexual abuse and exploitation.</w:t>
      </w:r>
      <w:r w:rsidRPr="003E75EA">
        <w:rPr>
          <w:rStyle w:val="FootnoteReference"/>
          <w:szCs w:val="24"/>
        </w:rPr>
        <w:footnoteReference w:id="36"/>
      </w:r>
      <w:r w:rsidRPr="003E75EA">
        <w:rPr>
          <w:szCs w:val="24"/>
        </w:rPr>
        <w:t xml:space="preserve"> </w:t>
      </w:r>
      <w:r w:rsidRPr="003E75EA" w:rsidR="00D840F5">
        <w:rPr>
          <w:szCs w:val="24"/>
        </w:rPr>
        <w:t>Furthermore, the immigration provisions of the Victims of T</w:t>
      </w:r>
      <w:bookmarkStart w:name="_BA_Cite_E43650_000063" w:id="79"/>
      <w:bookmarkEnd w:id="79"/>
      <w:r w:rsidRPr="003E75EA" w:rsidR="00D840F5">
        <w:rPr>
          <w:szCs w:val="24"/>
        </w:rPr>
        <w:t xml:space="preserve">rafficking and Violence Prevention Act demonstrate Congress’ widespread desire to protect </w:t>
      </w:r>
      <w:r w:rsidRPr="003E75EA" w:rsidR="00923AD9">
        <w:rPr>
          <w:szCs w:val="24"/>
        </w:rPr>
        <w:t>survivors</w:t>
      </w:r>
      <w:r w:rsidRPr="003E75EA" w:rsidR="00D840F5">
        <w:rPr>
          <w:szCs w:val="24"/>
        </w:rPr>
        <w:t xml:space="preserve"> of gender-based violence.</w:t>
      </w:r>
      <w:r w:rsidRPr="003E75EA" w:rsidR="00D840F5">
        <w:rPr>
          <w:rStyle w:val="FootnoteReference"/>
          <w:szCs w:val="24"/>
        </w:rPr>
        <w:footnoteReference w:id="37"/>
      </w:r>
      <w:r w:rsidRPr="003E75EA" w:rsidR="00D840F5">
        <w:rPr>
          <w:szCs w:val="24"/>
        </w:rPr>
        <w:t xml:space="preserve"> </w:t>
      </w:r>
      <w:r w:rsidRPr="003E75EA">
        <w:rPr>
          <w:szCs w:val="24"/>
        </w:rPr>
        <w:lastRenderedPageBreak/>
        <w:t>Congress maintained its support for survivor pathways by reauthorizing V</w:t>
      </w:r>
      <w:bookmarkStart w:name="_BA_Cite_E43650_000205" w:id="81"/>
      <w:bookmarkEnd w:id="81"/>
      <w:r w:rsidRPr="003E75EA">
        <w:rPr>
          <w:szCs w:val="24"/>
        </w:rPr>
        <w:t>AWA a second time in 2013.</w:t>
      </w:r>
      <w:r w:rsidRPr="003E75EA">
        <w:rPr>
          <w:rStyle w:val="FootnoteReference"/>
          <w:szCs w:val="24"/>
        </w:rPr>
        <w:footnoteReference w:id="38"/>
      </w:r>
    </w:p>
    <w:p w:rsidRPr="003E75EA" w:rsidR="003F21B7" w:rsidRDefault="00163D7A" w14:paraId="5164C8BA" w14:textId="0EFEE4BF">
      <w:pPr>
        <w:widowControl w:val="0"/>
        <w:spacing w:line="480" w:lineRule="auto"/>
        <w:ind w:firstLine="720"/>
        <w:jc w:val="both"/>
        <w:rPr>
          <w:szCs w:val="24"/>
        </w:rPr>
      </w:pPr>
      <w:r w:rsidRPr="003E75EA">
        <w:rPr>
          <w:szCs w:val="24"/>
        </w:rPr>
        <w:t>Congress has a</w:t>
      </w:r>
      <w:r w:rsidRPr="003E75EA" w:rsidR="005B147F">
        <w:rPr>
          <w:szCs w:val="24"/>
        </w:rPr>
        <w:t>lso a</w:t>
      </w:r>
      <w:r w:rsidRPr="003E75EA">
        <w:rPr>
          <w:szCs w:val="24"/>
        </w:rPr>
        <w:t>lready recognized the impact of domestic violence on removal proceedings and has shown clear intent to alleviate that impact</w:t>
      </w:r>
      <w:r w:rsidRPr="003E75EA" w:rsidR="005B147F">
        <w:rPr>
          <w:szCs w:val="24"/>
        </w:rPr>
        <w:t xml:space="preserve"> through longer and more flexible deadlines</w:t>
      </w:r>
      <w:r w:rsidRPr="003E75EA">
        <w:rPr>
          <w:szCs w:val="24"/>
        </w:rPr>
        <w:t xml:space="preserve">. For example, </w:t>
      </w:r>
      <w:r w:rsidRPr="003E75EA" w:rsidR="003F21B7">
        <w:rPr>
          <w:szCs w:val="24"/>
        </w:rPr>
        <w:t>V</w:t>
      </w:r>
      <w:bookmarkStart w:name="_BA_Cite_E43650_000207" w:id="84"/>
      <w:bookmarkEnd w:id="84"/>
      <w:r w:rsidRPr="003E75EA" w:rsidR="003F21B7">
        <w:rPr>
          <w:szCs w:val="24"/>
        </w:rPr>
        <w:t>AWA provides survivors with more flexibility in filing motions to reopen removal proceedings</w:t>
      </w:r>
      <w:r w:rsidRPr="003E75EA" w:rsidR="00C22595">
        <w:rPr>
          <w:szCs w:val="24"/>
        </w:rPr>
        <w:t xml:space="preserve"> by implementing a one-year deadline for filing, as opposed to</w:t>
      </w:r>
      <w:r w:rsidRPr="003E75EA" w:rsidR="0074076F">
        <w:rPr>
          <w:szCs w:val="24"/>
        </w:rPr>
        <w:t xml:space="preserve"> ninety</w:t>
      </w:r>
      <w:r w:rsidRPr="003E75EA" w:rsidR="00C22595">
        <w:rPr>
          <w:szCs w:val="24"/>
        </w:rPr>
        <w:t xml:space="preserve"> </w:t>
      </w:r>
      <w:r w:rsidRPr="003E75EA" w:rsidR="0074076F">
        <w:rPr>
          <w:szCs w:val="24"/>
        </w:rPr>
        <w:t>(</w:t>
      </w:r>
      <w:r w:rsidRPr="003E75EA" w:rsidR="00C22595">
        <w:rPr>
          <w:szCs w:val="24"/>
        </w:rPr>
        <w:t>90</w:t>
      </w:r>
      <w:r w:rsidRPr="003E75EA" w:rsidR="0074076F">
        <w:rPr>
          <w:szCs w:val="24"/>
        </w:rPr>
        <w:t>)</w:t>
      </w:r>
      <w:r w:rsidRPr="003E75EA" w:rsidR="00C22595">
        <w:rPr>
          <w:szCs w:val="24"/>
        </w:rPr>
        <w:t xml:space="preserve"> days</w:t>
      </w:r>
      <w:r w:rsidRPr="003E75EA" w:rsidR="003F21B7">
        <w:rPr>
          <w:szCs w:val="24"/>
        </w:rPr>
        <w:t>.</w:t>
      </w:r>
      <w:r w:rsidRPr="003E75EA" w:rsidR="00C22595">
        <w:rPr>
          <w:rStyle w:val="FootnoteReference"/>
          <w:szCs w:val="24"/>
        </w:rPr>
        <w:footnoteReference w:id="39"/>
      </w:r>
      <w:r w:rsidRPr="003E75EA" w:rsidR="00E21D87">
        <w:rPr>
          <w:szCs w:val="24"/>
        </w:rPr>
        <w:t xml:space="preserve"> V</w:t>
      </w:r>
      <w:bookmarkStart w:name="_BA_Cite_E43650_000209" w:id="87"/>
      <w:bookmarkEnd w:id="87"/>
      <w:r w:rsidRPr="003E75EA" w:rsidR="00E21D87">
        <w:rPr>
          <w:szCs w:val="24"/>
        </w:rPr>
        <w:t xml:space="preserve">AWA further allows for discretionary excusal of the one-year deadline if the noncitizen survivor can show </w:t>
      </w:r>
      <w:r w:rsidRPr="003E75EA" w:rsidR="00C96A94">
        <w:rPr>
          <w:szCs w:val="24"/>
        </w:rPr>
        <w:t>“</w:t>
      </w:r>
      <w:r w:rsidRPr="003E75EA" w:rsidR="00E21D87">
        <w:rPr>
          <w:szCs w:val="24"/>
        </w:rPr>
        <w:t>extraordinary circumstances</w:t>
      </w:r>
      <w:r w:rsidRPr="003E75EA" w:rsidR="00C96A94">
        <w:rPr>
          <w:szCs w:val="24"/>
        </w:rPr>
        <w:t>”</w:t>
      </w:r>
      <w:r w:rsidRPr="003E75EA" w:rsidR="00E21D87">
        <w:rPr>
          <w:szCs w:val="24"/>
        </w:rPr>
        <w:t xml:space="preserve"> or extreme hardship to their child.</w:t>
      </w:r>
      <w:r w:rsidRPr="003E75EA" w:rsidR="00E21D87">
        <w:rPr>
          <w:rStyle w:val="FootnoteReference"/>
          <w:szCs w:val="24"/>
        </w:rPr>
        <w:footnoteReference w:id="40"/>
      </w:r>
      <w:r w:rsidRPr="003E75EA" w:rsidR="00E21D87">
        <w:rPr>
          <w:szCs w:val="24"/>
        </w:rPr>
        <w:t xml:space="preserve"> </w:t>
      </w:r>
      <w:r w:rsidRPr="003E75EA" w:rsidR="005B147F">
        <w:rPr>
          <w:szCs w:val="24"/>
        </w:rPr>
        <w:t>In addition</w:t>
      </w:r>
      <w:r w:rsidRPr="003E75EA" w:rsidR="00D93F0B">
        <w:rPr>
          <w:szCs w:val="24"/>
        </w:rPr>
        <w:t xml:space="preserve"> to the flexibility provided in V</w:t>
      </w:r>
      <w:bookmarkStart w:name="_BA_Cite_E43650_000211" w:id="89"/>
      <w:bookmarkEnd w:id="89"/>
      <w:r w:rsidRPr="003E75EA" w:rsidR="00D93F0B">
        <w:rPr>
          <w:szCs w:val="24"/>
        </w:rPr>
        <w:t xml:space="preserve">AWA, motions to reopen to rescind an in absentia order based on exceptional circumstances can be filed 180 days after entry of </w:t>
      </w:r>
      <w:r w:rsidRPr="003E75EA" w:rsidR="001F65CB">
        <w:rPr>
          <w:szCs w:val="24"/>
        </w:rPr>
        <w:t>the</w:t>
      </w:r>
      <w:r w:rsidRPr="003E75EA" w:rsidR="00D93F0B">
        <w:rPr>
          <w:szCs w:val="24"/>
        </w:rPr>
        <w:t xml:space="preserve"> final </w:t>
      </w:r>
      <w:r w:rsidRPr="003E75EA" w:rsidR="001F65CB">
        <w:rPr>
          <w:szCs w:val="24"/>
        </w:rPr>
        <w:t>o</w:t>
      </w:r>
      <w:r w:rsidRPr="003E75EA" w:rsidR="00D93F0B">
        <w:rPr>
          <w:szCs w:val="24"/>
        </w:rPr>
        <w:t>rder.</w:t>
      </w:r>
      <w:r w:rsidRPr="003E75EA" w:rsidR="001F65CB">
        <w:rPr>
          <w:rStyle w:val="FootnoteReference"/>
          <w:szCs w:val="24"/>
        </w:rPr>
        <w:footnoteReference w:id="41"/>
      </w:r>
      <w:r w:rsidRPr="003E75EA" w:rsidR="00D93F0B">
        <w:rPr>
          <w:szCs w:val="24"/>
        </w:rPr>
        <w:t xml:space="preserve"> </w:t>
      </w:r>
      <w:r w:rsidRPr="003E75EA" w:rsidR="001F65CB">
        <w:rPr>
          <w:szCs w:val="24"/>
        </w:rPr>
        <w:t>Exceptional circumstances include battery or extreme cruelty, thus providing survivors with more time to file a motion to reopen.</w:t>
      </w:r>
      <w:r w:rsidRPr="003E75EA" w:rsidR="001F65CB">
        <w:rPr>
          <w:rStyle w:val="FootnoteReference"/>
          <w:szCs w:val="24"/>
        </w:rPr>
        <w:footnoteReference w:id="42"/>
      </w:r>
    </w:p>
    <w:p w:rsidRPr="003E75EA" w:rsidR="00960792" w:rsidRDefault="005B147F" w14:paraId="412B5BDA" w14:textId="73C805C7">
      <w:pPr>
        <w:widowControl w:val="0"/>
        <w:spacing w:line="480" w:lineRule="auto"/>
        <w:ind w:firstLine="720"/>
        <w:jc w:val="both"/>
        <w:rPr>
          <w:szCs w:val="24"/>
        </w:rPr>
      </w:pPr>
      <w:r w:rsidRPr="003E75EA">
        <w:rPr>
          <w:szCs w:val="24"/>
        </w:rPr>
        <w:t>Notably</w:t>
      </w:r>
      <w:r w:rsidRPr="003E75EA" w:rsidR="00960792">
        <w:rPr>
          <w:szCs w:val="24"/>
        </w:rPr>
        <w:t>, it remains the stated policy of ICE that in removal cases involving crime victims and witnesses, ICE “should exercise all appropriate prosecutorial discretion to minimize any effect that immigration enforcement may have on the willingness and ability of victims, witnesses, and plaintiffs to call police and pursue justice.”</w:t>
      </w:r>
      <w:r w:rsidRPr="003E75EA" w:rsidR="00960792">
        <w:rPr>
          <w:rStyle w:val="FootnoteReference"/>
          <w:szCs w:val="24"/>
        </w:rPr>
        <w:footnoteReference w:id="43"/>
      </w:r>
      <w:r w:rsidRPr="003E75EA" w:rsidR="00960792">
        <w:rPr>
          <w:szCs w:val="24"/>
        </w:rPr>
        <w:t xml:space="preserve"> Considering whether a noncitizen is a victim of certain crimes when deciding whether to grant an untimely motion to reopen based upon a criminal vacatur is consistent with this stated policy. It encourages full trust and cooperation with the U.S. </w:t>
      </w:r>
      <w:r w:rsidRPr="003E75EA" w:rsidR="00960792">
        <w:rPr>
          <w:szCs w:val="24"/>
        </w:rPr>
        <w:lastRenderedPageBreak/>
        <w:t>legal process</w:t>
      </w:r>
      <w:r w:rsidRPr="003E75EA" w:rsidR="00EC4E3B">
        <w:rPr>
          <w:szCs w:val="24"/>
        </w:rPr>
        <w:t>.</w:t>
      </w:r>
    </w:p>
    <w:p w:rsidRPr="003E75EA" w:rsidR="00960792" w:rsidRDefault="00960792" w14:paraId="376F942F" w14:textId="64B771D3">
      <w:pPr>
        <w:widowControl w:val="0"/>
        <w:spacing w:line="480" w:lineRule="auto"/>
        <w:ind w:firstLine="720"/>
        <w:jc w:val="both"/>
        <w:rPr>
          <w:szCs w:val="24"/>
        </w:rPr>
      </w:pPr>
      <w:r w:rsidRPr="003E75EA">
        <w:rPr>
          <w:szCs w:val="24"/>
        </w:rPr>
        <w:t xml:space="preserve">The BIA should act consistently with the legitimate goals of Congress in this instance and provide survivors with more time to file motions to reopen. </w:t>
      </w:r>
      <w:r w:rsidRPr="003E75EA" w:rsidR="00EC4E3B">
        <w:rPr>
          <w:szCs w:val="24"/>
        </w:rPr>
        <w:t>This is e</w:t>
      </w:r>
      <w:r w:rsidRPr="003E75EA">
        <w:rPr>
          <w:szCs w:val="24"/>
        </w:rPr>
        <w:t xml:space="preserve">specially </w:t>
      </w:r>
      <w:r w:rsidRPr="003E75EA" w:rsidR="00EC4E3B">
        <w:rPr>
          <w:szCs w:val="24"/>
        </w:rPr>
        <w:t xml:space="preserve">necessary </w:t>
      </w:r>
      <w:r w:rsidRPr="003E75EA">
        <w:rPr>
          <w:szCs w:val="24"/>
        </w:rPr>
        <w:t xml:space="preserve">due to the prevalence of domestic and sexual violence in certain immigrant communities. </w:t>
      </w:r>
    </w:p>
    <w:p w:rsidRPr="003E75EA" w:rsidR="00960792" w:rsidP="00704F28" w:rsidRDefault="00960792" w14:paraId="0BC79B29" w14:textId="56ECF7C0">
      <w:pPr>
        <w:pStyle w:val="Heading3"/>
      </w:pPr>
      <w:bookmarkStart w:name="_Toc101944981" w:id="93"/>
      <w:r w:rsidRPr="003E75EA">
        <w:t>S</w:t>
      </w:r>
      <w:bookmarkStart w:name="_BA_Cite_E43650_000073" w:id="94"/>
      <w:bookmarkEnd w:id="94"/>
      <w:r w:rsidRPr="003E75EA">
        <w:t>tate Law</w:t>
      </w:r>
      <w:r w:rsidRPr="003E75EA" w:rsidR="00956318">
        <w:t xml:space="preserve">s </w:t>
      </w:r>
      <w:r w:rsidRPr="003E75EA" w:rsidR="00882A76">
        <w:t xml:space="preserve">Similarly </w:t>
      </w:r>
      <w:r w:rsidRPr="003E75EA" w:rsidR="00BA2C11">
        <w:t>Provid</w:t>
      </w:r>
      <w:r w:rsidRPr="003E75EA" w:rsidR="00882A76">
        <w:t>e</w:t>
      </w:r>
      <w:r w:rsidRPr="003E75EA" w:rsidR="00BA2C11">
        <w:t xml:space="preserve"> Additional Assistance </w:t>
      </w:r>
      <w:r w:rsidRPr="003E75EA" w:rsidR="00C76490">
        <w:t>t</w:t>
      </w:r>
      <w:r w:rsidRPr="003E75EA" w:rsidR="00BA2C11">
        <w:t xml:space="preserve">o Survivors </w:t>
      </w:r>
      <w:r w:rsidRPr="003E75EA" w:rsidR="00C76490">
        <w:t>o</w:t>
      </w:r>
      <w:r w:rsidRPr="003E75EA" w:rsidR="00BA2C11">
        <w:t xml:space="preserve">f Domestic Violence, Sexual Assault, </w:t>
      </w:r>
      <w:r w:rsidRPr="003E75EA" w:rsidR="00C76490">
        <w:t>a</w:t>
      </w:r>
      <w:r w:rsidRPr="003E75EA" w:rsidR="00BA2C11">
        <w:t>nd Human Trafficking</w:t>
      </w:r>
      <w:bookmarkEnd w:id="93"/>
    </w:p>
    <w:p w:rsidRPr="003E75EA" w:rsidR="00780E74" w:rsidP="00FE3A6D" w:rsidRDefault="001514D4" w14:paraId="6C05AEF7" w14:textId="5226F9FB">
      <w:pPr>
        <w:widowControl w:val="0"/>
        <w:spacing w:line="480" w:lineRule="auto"/>
        <w:ind w:firstLine="720"/>
        <w:jc w:val="both"/>
        <w:rPr>
          <w:szCs w:val="24"/>
        </w:rPr>
      </w:pPr>
      <w:r w:rsidRPr="003E75EA">
        <w:rPr>
          <w:szCs w:val="24"/>
        </w:rPr>
        <w:t xml:space="preserve">Likewise, the </w:t>
      </w:r>
      <w:r w:rsidRPr="003E75EA" w:rsidR="00B51130">
        <w:rPr>
          <w:szCs w:val="24"/>
        </w:rPr>
        <w:t>BIA</w:t>
      </w:r>
      <w:r w:rsidRPr="003E75EA">
        <w:rPr>
          <w:szCs w:val="24"/>
        </w:rPr>
        <w:t xml:space="preserve"> should also consider other protections under state law afforded to survivors of domestic violence, sexual assault, and human trafficking when considering an untimely motion to reopen that is premised on a vacatur of a criminal conviction. </w:t>
      </w:r>
      <w:r w:rsidRPr="003E75EA" w:rsidR="00780E74">
        <w:rPr>
          <w:szCs w:val="24"/>
        </w:rPr>
        <w:t>Vacatur of criminal convictions provides important redress for survivors of human trafficking, domest</w:t>
      </w:r>
      <w:r w:rsidRPr="003E75EA" w:rsidR="00EC298B">
        <w:rPr>
          <w:szCs w:val="24"/>
        </w:rPr>
        <w:t>ic</w:t>
      </w:r>
      <w:r w:rsidRPr="003E75EA" w:rsidR="00780E74">
        <w:rPr>
          <w:szCs w:val="24"/>
        </w:rPr>
        <w:t xml:space="preserve"> abuse, sexual assault, and other forms of gender-based violence. Vacatur provides survivors with a clean slate and an opportunity for a second chance. Vacatur statutes offer relief to survivors after their conviction and after the system improperly labeled victims as “criminals.” The need for survivors to vacate their convictions is crucial to remove the barriers to recovery and reintegration of survivors created by their criminal record. </w:t>
      </w:r>
    </w:p>
    <w:p w:rsidRPr="003E75EA" w:rsidR="00960792" w:rsidP="00FE3A6D" w:rsidRDefault="00780E74" w14:paraId="03981C96" w14:textId="7B2919FE">
      <w:pPr>
        <w:widowControl w:val="0"/>
        <w:spacing w:line="480" w:lineRule="auto"/>
        <w:ind w:firstLine="720"/>
        <w:jc w:val="both"/>
        <w:rPr>
          <w:szCs w:val="24"/>
        </w:rPr>
      </w:pPr>
      <w:r w:rsidRPr="003E75EA">
        <w:rPr>
          <w:szCs w:val="24"/>
        </w:rPr>
        <w:t xml:space="preserve">These protections are widespread in the trafficking context. </w:t>
      </w:r>
      <w:r w:rsidRPr="003E75EA" w:rsidR="00960792">
        <w:rPr>
          <w:szCs w:val="24"/>
        </w:rPr>
        <w:t xml:space="preserve">All </w:t>
      </w:r>
      <w:r w:rsidRPr="003E75EA" w:rsidR="001514D4">
        <w:rPr>
          <w:szCs w:val="24"/>
        </w:rPr>
        <w:t>fifty (</w:t>
      </w:r>
      <w:r w:rsidRPr="003E75EA" w:rsidR="00960792">
        <w:rPr>
          <w:szCs w:val="24"/>
        </w:rPr>
        <w:t>50</w:t>
      </w:r>
      <w:r w:rsidRPr="003E75EA" w:rsidR="001514D4">
        <w:rPr>
          <w:szCs w:val="24"/>
        </w:rPr>
        <w:t>)</w:t>
      </w:r>
      <w:r w:rsidRPr="003E75EA" w:rsidR="0043514C">
        <w:rPr>
          <w:szCs w:val="24"/>
        </w:rPr>
        <w:t xml:space="preserve"> </w:t>
      </w:r>
      <w:r w:rsidRPr="003E75EA" w:rsidR="00960792">
        <w:rPr>
          <w:szCs w:val="24"/>
        </w:rPr>
        <w:t>states have enacted laws criminalizing human trafficking</w:t>
      </w:r>
      <w:r w:rsidRPr="003E75EA">
        <w:rPr>
          <w:szCs w:val="24"/>
        </w:rPr>
        <w:t>,</w:t>
      </w:r>
      <w:r w:rsidRPr="003E75EA" w:rsidR="00960792">
        <w:rPr>
          <w:rStyle w:val="FootnoteReference"/>
          <w:szCs w:val="24"/>
        </w:rPr>
        <w:footnoteReference w:id="44"/>
      </w:r>
      <w:r w:rsidRPr="003E75EA" w:rsidR="003F2ABE">
        <w:rPr>
          <w:szCs w:val="24"/>
        </w:rPr>
        <w:t xml:space="preserve"> </w:t>
      </w:r>
      <w:r w:rsidRPr="003E75EA">
        <w:rPr>
          <w:szCs w:val="24"/>
        </w:rPr>
        <w:t>and t</w:t>
      </w:r>
      <w:r w:rsidRPr="003E75EA" w:rsidR="003F2ABE">
        <w:rPr>
          <w:szCs w:val="24"/>
        </w:rPr>
        <w:t xml:space="preserve">hirty-eight (38) states have laws that </w:t>
      </w:r>
      <w:r w:rsidRPr="003E75EA">
        <w:rPr>
          <w:szCs w:val="24"/>
        </w:rPr>
        <w:t xml:space="preserve">explicitly provide </w:t>
      </w:r>
      <w:r w:rsidRPr="003E75EA" w:rsidR="003F2ABE">
        <w:rPr>
          <w:szCs w:val="24"/>
        </w:rPr>
        <w:t>an affirmative defense for trafficking survivors.</w:t>
      </w:r>
      <w:r w:rsidRPr="003E75EA" w:rsidR="003F2ABE">
        <w:rPr>
          <w:rStyle w:val="FootnoteReference"/>
          <w:szCs w:val="24"/>
        </w:rPr>
        <w:footnoteReference w:id="45"/>
      </w:r>
      <w:r w:rsidRPr="003E75EA" w:rsidR="00960792">
        <w:rPr>
          <w:szCs w:val="24"/>
        </w:rPr>
        <w:t xml:space="preserve"> </w:t>
      </w:r>
      <w:r w:rsidRPr="003E75EA" w:rsidR="006A5A88">
        <w:rPr>
          <w:szCs w:val="24"/>
        </w:rPr>
        <w:t xml:space="preserve">Since New York enacted </w:t>
      </w:r>
      <w:r w:rsidRPr="003E75EA" w:rsidR="0043514C">
        <w:rPr>
          <w:szCs w:val="24"/>
        </w:rPr>
        <w:t>a</w:t>
      </w:r>
      <w:r w:rsidRPr="003E75EA" w:rsidR="006A5A88">
        <w:rPr>
          <w:szCs w:val="24"/>
        </w:rPr>
        <w:t xml:space="preserve"> vacatur statute</w:t>
      </w:r>
      <w:r w:rsidRPr="003E75EA" w:rsidR="0043514C">
        <w:rPr>
          <w:szCs w:val="24"/>
        </w:rPr>
        <w:t xml:space="preserve"> for survivors in 2010</w:t>
      </w:r>
      <w:r w:rsidRPr="003E75EA" w:rsidR="006A5A88">
        <w:rPr>
          <w:szCs w:val="24"/>
        </w:rPr>
        <w:t xml:space="preserve">, the majority of other states have followed suit. For example, forty-four (44) states have enacted a criminal record relief statute for </w:t>
      </w:r>
      <w:r w:rsidRPr="003E75EA" w:rsidR="004E4ACE">
        <w:rPr>
          <w:szCs w:val="24"/>
        </w:rPr>
        <w:t xml:space="preserve">survivors </w:t>
      </w:r>
      <w:r w:rsidRPr="003E75EA" w:rsidR="006A5A88">
        <w:rPr>
          <w:szCs w:val="24"/>
        </w:rPr>
        <w:t xml:space="preserve">of human </w:t>
      </w:r>
      <w:r w:rsidRPr="003E75EA" w:rsidR="006A5A88">
        <w:rPr>
          <w:szCs w:val="24"/>
        </w:rPr>
        <w:lastRenderedPageBreak/>
        <w:t>trafficking.</w:t>
      </w:r>
      <w:r w:rsidRPr="003E75EA" w:rsidR="006A5A88">
        <w:rPr>
          <w:rStyle w:val="FootnoteReference"/>
          <w:szCs w:val="24"/>
        </w:rPr>
        <w:footnoteReference w:id="46"/>
      </w:r>
      <w:r w:rsidRPr="003E75EA" w:rsidR="006A5A88">
        <w:rPr>
          <w:szCs w:val="24"/>
        </w:rPr>
        <w:t xml:space="preserve"> Thirty-five (35) states have gone a step beyond criminal record relief, enacting some variation of New York’s vacatur law.</w:t>
      </w:r>
      <w:r w:rsidRPr="003E75EA" w:rsidR="006A5A88">
        <w:rPr>
          <w:rStyle w:val="FootnoteReference"/>
          <w:szCs w:val="24"/>
        </w:rPr>
        <w:footnoteReference w:id="47"/>
      </w:r>
      <w:r w:rsidRPr="003E75EA" w:rsidR="006A5A88">
        <w:rPr>
          <w:szCs w:val="24"/>
        </w:rPr>
        <w:t xml:space="preserve"> </w:t>
      </w:r>
    </w:p>
    <w:p w:rsidRPr="003E75EA" w:rsidR="00960792" w:rsidP="00FE3A6D" w:rsidRDefault="003466D3" w14:paraId="104D66FF" w14:textId="3FF40B74">
      <w:pPr>
        <w:widowControl w:val="0"/>
        <w:spacing w:line="480" w:lineRule="auto"/>
        <w:ind w:firstLine="720"/>
        <w:jc w:val="both"/>
        <w:rPr>
          <w:szCs w:val="24"/>
        </w:rPr>
      </w:pPr>
      <w:r w:rsidRPr="003E75EA">
        <w:rPr>
          <w:szCs w:val="24"/>
        </w:rPr>
        <w:t>Laws that make relevant a survivor’s history of domestic violence, abuse, or human trafficking are crucial for protecting against the criminalization of these survivor-defendants.</w:t>
      </w:r>
      <w:r w:rsidRPr="003E75EA" w:rsidR="006A5A88">
        <w:rPr>
          <w:szCs w:val="24"/>
        </w:rPr>
        <w:t xml:space="preserve"> However,</w:t>
      </w:r>
      <w:r w:rsidRPr="003E75EA" w:rsidR="00F73E5F">
        <w:rPr>
          <w:szCs w:val="24"/>
        </w:rPr>
        <w:t xml:space="preserve"> </w:t>
      </w:r>
      <w:r w:rsidRPr="003E75EA" w:rsidR="006A5A88">
        <w:rPr>
          <w:szCs w:val="24"/>
        </w:rPr>
        <w:t>only three</w:t>
      </w:r>
      <w:r w:rsidRPr="003E75EA" w:rsidR="00E95A22">
        <w:rPr>
          <w:szCs w:val="24"/>
        </w:rPr>
        <w:t xml:space="preserve"> (3)</w:t>
      </w:r>
      <w:r w:rsidRPr="003E75EA" w:rsidR="006A5A88">
        <w:rPr>
          <w:szCs w:val="24"/>
        </w:rPr>
        <w:t xml:space="preserve"> states (New York, California, and Illinois) have passed </w:t>
      </w:r>
      <w:r w:rsidRPr="003E75EA" w:rsidR="00780E74">
        <w:rPr>
          <w:szCs w:val="24"/>
        </w:rPr>
        <w:t xml:space="preserve">explicit </w:t>
      </w:r>
      <w:r w:rsidRPr="003E75EA" w:rsidR="006A5A88">
        <w:rPr>
          <w:szCs w:val="24"/>
        </w:rPr>
        <w:t xml:space="preserve">laws </w:t>
      </w:r>
      <w:r w:rsidRPr="003E75EA" w:rsidR="00F73E5F">
        <w:rPr>
          <w:szCs w:val="24"/>
        </w:rPr>
        <w:t xml:space="preserve">to this effect </w:t>
      </w:r>
      <w:r w:rsidRPr="003E75EA" w:rsidR="006A5A88">
        <w:rPr>
          <w:szCs w:val="24"/>
        </w:rPr>
        <w:t xml:space="preserve">that </w:t>
      </w:r>
      <w:r w:rsidRPr="003E75EA" w:rsidR="00F73E5F">
        <w:rPr>
          <w:szCs w:val="24"/>
        </w:rPr>
        <w:t>provide some</w:t>
      </w:r>
      <w:r w:rsidRPr="003E75EA" w:rsidR="008F4E43">
        <w:rPr>
          <w:szCs w:val="24"/>
        </w:rPr>
        <w:t xml:space="preserve"> type of</w:t>
      </w:r>
      <w:r w:rsidRPr="003E75EA" w:rsidR="00F73E5F">
        <w:rPr>
          <w:szCs w:val="24"/>
        </w:rPr>
        <w:t xml:space="preserve"> relief to survivors of domestic violence or abuse</w:t>
      </w:r>
      <w:r w:rsidRPr="003E75EA" w:rsidR="00E33E7E">
        <w:rPr>
          <w:szCs w:val="24"/>
        </w:rPr>
        <w:t>.</w:t>
      </w:r>
      <w:r w:rsidRPr="003E75EA" w:rsidR="00E33E7E">
        <w:rPr>
          <w:rStyle w:val="FootnoteReference"/>
          <w:szCs w:val="24"/>
        </w:rPr>
        <w:footnoteReference w:id="48"/>
      </w:r>
      <w:r w:rsidRPr="003E75EA" w:rsidR="00E33E7E">
        <w:rPr>
          <w:szCs w:val="24"/>
        </w:rPr>
        <w:t xml:space="preserve"> </w:t>
      </w:r>
      <w:r w:rsidRPr="003E75EA" w:rsidR="00960792">
        <w:rPr>
          <w:szCs w:val="24"/>
        </w:rPr>
        <w:t xml:space="preserve"> </w:t>
      </w:r>
      <w:r w:rsidRPr="003E75EA" w:rsidR="009E320B">
        <w:rPr>
          <w:szCs w:val="24"/>
        </w:rPr>
        <w:t xml:space="preserve">    </w:t>
      </w:r>
    </w:p>
    <w:p w:rsidRPr="003E75EA" w:rsidR="00960792" w:rsidRDefault="00960792" w14:paraId="0474F352" w14:textId="26FAA995">
      <w:pPr>
        <w:widowControl w:val="0"/>
        <w:spacing w:line="480" w:lineRule="auto"/>
        <w:ind w:firstLine="720"/>
        <w:jc w:val="both"/>
        <w:rPr>
          <w:szCs w:val="24"/>
        </w:rPr>
      </w:pPr>
      <w:r w:rsidRPr="003E75EA">
        <w:rPr>
          <w:szCs w:val="24"/>
        </w:rPr>
        <w:t>The growing trend in states to enact vacatur statutes reflects an awareness of the public and the government that “some of the very people being criminalized are those that need the most protection….”</w:t>
      </w:r>
      <w:r w:rsidRPr="003E75EA">
        <w:rPr>
          <w:rStyle w:val="FootnoteReference"/>
          <w:szCs w:val="24"/>
        </w:rPr>
        <w:footnoteReference w:id="49"/>
      </w:r>
      <w:r w:rsidRPr="003E75EA">
        <w:rPr>
          <w:szCs w:val="24"/>
        </w:rPr>
        <w:t xml:space="preserve"> Vacatur provides greater opportunities for survivors to rebuild their lives by finding work, reducing their financial or economic vulnerabilities, as well as lowers the risk of being re-trafficked.</w:t>
      </w:r>
      <w:r w:rsidRPr="003E75EA">
        <w:rPr>
          <w:rStyle w:val="FootnoteReference"/>
          <w:szCs w:val="24"/>
        </w:rPr>
        <w:footnoteReference w:id="50"/>
      </w:r>
      <w:r w:rsidRPr="003E75EA">
        <w:rPr>
          <w:szCs w:val="24"/>
        </w:rPr>
        <w:t xml:space="preserve"> </w:t>
      </w:r>
    </w:p>
    <w:p w:rsidRPr="003E75EA" w:rsidR="009E320B" w:rsidRDefault="009E320B" w14:paraId="6E079F1C" w14:textId="77777777">
      <w:pPr>
        <w:widowControl w:val="0"/>
        <w:spacing w:line="480" w:lineRule="auto"/>
        <w:ind w:firstLine="720"/>
        <w:jc w:val="both"/>
        <w:rPr>
          <w:szCs w:val="24"/>
        </w:rPr>
      </w:pPr>
      <w:r w:rsidRPr="003E75EA">
        <w:rPr>
          <w:szCs w:val="24"/>
        </w:rPr>
        <w:t xml:space="preserve">The purpose of statutory remedies in this context—to recognize that survivors’ criminal records are driven by their abuse—will provide survivors with a way forward to heal without </w:t>
      </w:r>
      <w:r w:rsidRPr="003E75EA">
        <w:rPr>
          <w:szCs w:val="24"/>
        </w:rPr>
        <w:lastRenderedPageBreak/>
        <w:t xml:space="preserve">carrying the weight of a criminal record. An important part of this relief for survivors is built in flexibility on the time limitations for survivors to move for vacatur. </w:t>
      </w:r>
    </w:p>
    <w:p w:rsidRPr="003E75EA" w:rsidR="009E320B" w:rsidRDefault="009E320B" w14:paraId="79488447" w14:textId="182CB295">
      <w:pPr>
        <w:widowControl w:val="0"/>
        <w:spacing w:line="480" w:lineRule="auto"/>
        <w:ind w:firstLine="720"/>
        <w:jc w:val="both"/>
        <w:rPr>
          <w:szCs w:val="24"/>
        </w:rPr>
      </w:pPr>
      <w:r w:rsidRPr="003E75EA">
        <w:rPr>
          <w:szCs w:val="24"/>
        </w:rPr>
        <w:t xml:space="preserve">States that do not restrict motions to vacate with time limitations have helped survivors move forward with their lives. For example, Illinois’ vacatur statute allows </w:t>
      </w:r>
      <w:r w:rsidRPr="003E75EA" w:rsidR="004E4ACE">
        <w:rPr>
          <w:szCs w:val="24"/>
        </w:rPr>
        <w:t>survivors</w:t>
      </w:r>
      <w:r w:rsidRPr="003E75EA">
        <w:rPr>
          <w:szCs w:val="24"/>
        </w:rPr>
        <w:t xml:space="preserve"> to file motions to vacate a conviction “at any time” (provided the motion is filed with due diligence).</w:t>
      </w:r>
      <w:r w:rsidRPr="003E75EA">
        <w:rPr>
          <w:rStyle w:val="FootnoteReference"/>
          <w:szCs w:val="24"/>
        </w:rPr>
        <w:footnoteReference w:id="51"/>
      </w:r>
      <w:r w:rsidRPr="003E75EA">
        <w:rPr>
          <w:szCs w:val="24"/>
        </w:rPr>
        <w:t xml:space="preserve"> The statute’s lack of time constraints on its vacatur motions has helped trafficking survivors clear their criminal records, clearing their labels as “criminals” after over twenty years.</w:t>
      </w:r>
      <w:r w:rsidRPr="003E75EA">
        <w:rPr>
          <w:rStyle w:val="FootnoteReference"/>
          <w:szCs w:val="24"/>
        </w:rPr>
        <w:footnoteReference w:id="52"/>
      </w:r>
    </w:p>
    <w:p w:rsidRPr="003E75EA" w:rsidR="00F05A40" w:rsidP="00010FF6" w:rsidRDefault="00F05A40" w14:paraId="05CBBB93" w14:textId="46A19E8A">
      <w:pPr>
        <w:widowControl w:val="0"/>
        <w:spacing w:line="480" w:lineRule="auto"/>
        <w:jc w:val="center"/>
        <w:rPr>
          <w:szCs w:val="24"/>
        </w:rPr>
      </w:pPr>
      <w:r w:rsidRPr="003E75EA">
        <w:rPr>
          <w:szCs w:val="24"/>
        </w:rPr>
        <w:t>***</w:t>
      </w:r>
    </w:p>
    <w:p w:rsidRPr="003E75EA" w:rsidR="00187D63" w:rsidP="00FE3A6D" w:rsidRDefault="00EF5339" w14:paraId="282DE3DE" w14:textId="3B9D24FE">
      <w:pPr>
        <w:widowControl w:val="0"/>
        <w:spacing w:line="480" w:lineRule="auto"/>
        <w:ind w:firstLine="720"/>
        <w:jc w:val="both"/>
        <w:rPr>
          <w:szCs w:val="24"/>
        </w:rPr>
      </w:pPr>
      <w:r w:rsidRPr="003E75EA">
        <w:rPr>
          <w:szCs w:val="24"/>
        </w:rPr>
        <w:t>In short, d</w:t>
      </w:r>
      <w:r w:rsidRPr="003E75EA" w:rsidR="00187D63">
        <w:rPr>
          <w:szCs w:val="24"/>
        </w:rPr>
        <w:t xml:space="preserve">enying consideration of the untimely motion to reopen of a noncitizen victim of violent crime, specifically domestic abuse, sexual assault, and human trafficking, creates another avenue for perpetrators of abuse to weaponize the immigration legal system against their victims. Further, it is inconsistent with the intent of years of bipartisan Congressional efforts to support immigrant </w:t>
      </w:r>
      <w:r w:rsidRPr="003E75EA" w:rsidR="004E4ACE">
        <w:rPr>
          <w:szCs w:val="24"/>
        </w:rPr>
        <w:t>survivors</w:t>
      </w:r>
      <w:r w:rsidRPr="003E75EA" w:rsidR="00187D63">
        <w:rPr>
          <w:szCs w:val="24"/>
        </w:rPr>
        <w:t xml:space="preserve"> and encourage cooperation with the U.S. legal system. Punishing survivors of these crimes for vacated criminal convictions is inconsistent both with the current scheme of immigration law and the intent of Congress</w:t>
      </w:r>
      <w:r w:rsidRPr="003E75EA" w:rsidR="00F05A40">
        <w:rPr>
          <w:szCs w:val="24"/>
        </w:rPr>
        <w:t>.</w:t>
      </w:r>
      <w:r w:rsidRPr="003E75EA" w:rsidR="00070DF1">
        <w:rPr>
          <w:rStyle w:val="FootnoteReference"/>
          <w:szCs w:val="24"/>
        </w:rPr>
        <w:footnoteReference w:id="53"/>
      </w:r>
    </w:p>
    <w:p w:rsidRPr="003E75EA" w:rsidR="00960792" w:rsidP="00704F28" w:rsidRDefault="00824C8B" w14:paraId="15A74A7D" w14:textId="0A6F1E73">
      <w:pPr>
        <w:pStyle w:val="Heading1"/>
      </w:pPr>
      <w:bookmarkStart w:name="_Toc101944982" w:id="141"/>
      <w:r w:rsidRPr="003E75EA">
        <w:t>CONCLUSION</w:t>
      </w:r>
      <w:bookmarkEnd w:id="141"/>
    </w:p>
    <w:p w:rsidR="00DA4F08" w:rsidP="00704F28" w:rsidRDefault="00B51130" w14:paraId="76DE8617" w14:textId="07EB37E8">
      <w:pPr>
        <w:widowControl w:val="0"/>
        <w:spacing w:line="480" w:lineRule="auto"/>
        <w:ind w:firstLine="720"/>
        <w:jc w:val="both"/>
        <w:rPr>
          <w:szCs w:val="24"/>
        </w:rPr>
      </w:pPr>
      <w:r w:rsidRPr="003E75EA">
        <w:rPr>
          <w:szCs w:val="24"/>
        </w:rPr>
        <w:t xml:space="preserve">In sum, </w:t>
      </w:r>
      <w:r w:rsidRPr="003E75EA" w:rsidR="0056230F">
        <w:rPr>
          <w:szCs w:val="24"/>
        </w:rPr>
        <w:t xml:space="preserve">the </w:t>
      </w:r>
      <w:r w:rsidRPr="003E75EA">
        <w:rPr>
          <w:szCs w:val="24"/>
        </w:rPr>
        <w:t>BIA should consider the aforementioned</w:t>
      </w:r>
      <w:r w:rsidRPr="003E75EA" w:rsidR="0056230F">
        <w:rPr>
          <w:szCs w:val="24"/>
        </w:rPr>
        <w:t xml:space="preserve"> social, economic and legal</w:t>
      </w:r>
      <w:r w:rsidRPr="003E75EA">
        <w:rPr>
          <w:szCs w:val="24"/>
        </w:rPr>
        <w:t xml:space="preserve"> factors when determining whether to </w:t>
      </w:r>
      <w:r w:rsidRPr="003E75EA" w:rsidR="0056230F">
        <w:rPr>
          <w:szCs w:val="24"/>
        </w:rPr>
        <w:t>consider an untimely motion to reopen that is premised on a vacatur of a criminal conviction.</w:t>
      </w:r>
      <w:bookmarkEnd w:id="8"/>
      <w:bookmarkEnd w:id="9"/>
    </w:p>
    <w:p w:rsidR="00DA4F08" w:rsidRDefault="00DA4F08" w14:paraId="65CC802B" w14:textId="77777777">
      <w:pPr>
        <w:spacing w:after="160" w:line="259" w:lineRule="auto"/>
        <w:rPr>
          <w:szCs w:val="24"/>
        </w:rPr>
      </w:pPr>
      <w:r>
        <w:rPr>
          <w:szCs w:val="24"/>
        </w:rPr>
        <w:br w:type="page"/>
      </w:r>
    </w:p>
    <w:p w:rsidRPr="00DA4F08" w:rsidR="00DA4F08" w:rsidP="00DA4F08" w:rsidRDefault="00DA4F08" w14:paraId="1E3AC173" w14:textId="77777777">
      <w:pPr>
        <w:spacing w:line="480" w:lineRule="auto"/>
        <w:jc w:val="center"/>
        <w:rPr>
          <w:b/>
          <w:bCs/>
          <w:sz w:val="28"/>
          <w:szCs w:val="28"/>
        </w:rPr>
      </w:pPr>
      <w:r w:rsidRPr="00DA4F08">
        <w:rPr>
          <w:b/>
          <w:bCs/>
          <w:sz w:val="28"/>
          <w:szCs w:val="28"/>
        </w:rPr>
        <w:lastRenderedPageBreak/>
        <w:t>CERTIFICATE OF SERVICE</w:t>
      </w:r>
    </w:p>
    <w:p w:rsidRPr="00DA4F08" w:rsidR="00DA4F08" w:rsidP="00DA4F08" w:rsidRDefault="00DA4F08" w14:paraId="4F1C1DC9" w14:textId="36F60660">
      <w:pPr>
        <w:spacing w:line="480" w:lineRule="auto"/>
        <w:ind w:firstLine="720"/>
        <w:rPr>
          <w:sz w:val="28"/>
          <w:szCs w:val="28"/>
        </w:rPr>
      </w:pPr>
      <w:r w:rsidRPr="00DA4F08">
        <w:rPr>
          <w:sz w:val="28"/>
          <w:szCs w:val="28"/>
        </w:rPr>
        <w:t xml:space="preserve">I hereby certify that on this 27th day of </w:t>
      </w:r>
      <w:r w:rsidRPr="00DA4F08" w:rsidR="004237E6">
        <w:rPr>
          <w:sz w:val="28"/>
          <w:szCs w:val="28"/>
        </w:rPr>
        <w:t>April</w:t>
      </w:r>
      <w:r w:rsidRPr="00DA4F08">
        <w:rPr>
          <w:sz w:val="28"/>
          <w:szCs w:val="28"/>
        </w:rPr>
        <w:t xml:space="preserve"> 2022, I filed the foregoing with the Amicus Clerk at the Board of Immigration Appeals. Pursuant to Amicus Invitation No. 22-16-03, on this 27th day of April 2022, a copy of the foregoing was sent via courier to:</w:t>
      </w:r>
    </w:p>
    <w:p w:rsidRPr="00DA4F08" w:rsidR="00DA4F08" w:rsidP="00DA4F08" w:rsidRDefault="00DA4F08" w14:paraId="04AF8D07" w14:textId="77777777">
      <w:pPr>
        <w:rPr>
          <w:sz w:val="28"/>
          <w:szCs w:val="28"/>
        </w:rPr>
      </w:pPr>
      <w:r w:rsidRPr="00DA4F08">
        <w:rPr>
          <w:sz w:val="28"/>
          <w:szCs w:val="28"/>
        </w:rPr>
        <w:t>Amicus Clerk</w:t>
      </w:r>
    </w:p>
    <w:p w:rsidRPr="00DA4F08" w:rsidR="00DA4F08" w:rsidP="00DA4F08" w:rsidRDefault="00DA4F08" w14:paraId="5DC1F353" w14:textId="77777777">
      <w:pPr>
        <w:rPr>
          <w:sz w:val="28"/>
          <w:szCs w:val="28"/>
        </w:rPr>
      </w:pPr>
      <w:r w:rsidRPr="00DA4F08">
        <w:rPr>
          <w:sz w:val="28"/>
          <w:szCs w:val="28"/>
        </w:rPr>
        <w:t>Board of Immigration Appeals</w:t>
      </w:r>
    </w:p>
    <w:p w:rsidRPr="00DA4F08" w:rsidR="00DA4F08" w:rsidP="00DA4F08" w:rsidRDefault="00DA4F08" w14:paraId="74A09050" w14:textId="77777777">
      <w:pPr>
        <w:rPr>
          <w:sz w:val="28"/>
          <w:szCs w:val="28"/>
        </w:rPr>
      </w:pPr>
      <w:r w:rsidRPr="00DA4F08">
        <w:rPr>
          <w:sz w:val="28"/>
          <w:szCs w:val="28"/>
        </w:rPr>
        <w:t>Clerk’s Office</w:t>
      </w:r>
    </w:p>
    <w:p w:rsidRPr="00DA4F08" w:rsidR="00DA4F08" w:rsidP="00DA4F08" w:rsidRDefault="00DA4F08" w14:paraId="4ECD531C" w14:textId="77777777">
      <w:pPr>
        <w:rPr>
          <w:sz w:val="28"/>
          <w:szCs w:val="28"/>
        </w:rPr>
      </w:pPr>
      <w:r w:rsidRPr="00DA4F08">
        <w:rPr>
          <w:sz w:val="28"/>
          <w:szCs w:val="28"/>
        </w:rPr>
        <w:t>5107 Leesburg Pike, Suite 2000</w:t>
      </w:r>
    </w:p>
    <w:p w:rsidRPr="00DA4F08" w:rsidR="00DA4F08" w:rsidP="00DA4F08" w:rsidRDefault="00DA4F08" w14:paraId="35FA315D" w14:textId="77777777">
      <w:pPr>
        <w:rPr>
          <w:sz w:val="28"/>
          <w:szCs w:val="28"/>
        </w:rPr>
      </w:pPr>
      <w:r w:rsidRPr="00DA4F08">
        <w:rPr>
          <w:sz w:val="28"/>
          <w:szCs w:val="28"/>
        </w:rPr>
        <w:t>Falls Church, VA 22041</w:t>
      </w:r>
    </w:p>
    <w:p w:rsidRPr="00DA4F08" w:rsidR="00DA4F08" w:rsidP="00DA4F08" w:rsidRDefault="00DA4F08" w14:paraId="5A448E9B" w14:textId="77777777">
      <w:pPr>
        <w:rPr>
          <w:sz w:val="28"/>
          <w:szCs w:val="28"/>
        </w:rPr>
      </w:pPr>
      <w:r w:rsidRPr="00DA4F08">
        <w:rPr>
          <w:sz w:val="28"/>
          <w:szCs w:val="28"/>
        </w:rPr>
        <w:t>703-605-1007</w:t>
      </w:r>
    </w:p>
    <w:p w:rsidRPr="00DA4F08" w:rsidR="00DA4F08" w:rsidP="00DA4F08" w:rsidRDefault="00DA4F08" w14:paraId="131FB7A3" w14:textId="77777777">
      <w:pPr>
        <w:rPr>
          <w:sz w:val="28"/>
          <w:szCs w:val="28"/>
        </w:rPr>
      </w:pPr>
    </w:p>
    <w:p w:rsidRPr="00DA4F08" w:rsidR="00DA4F08" w:rsidP="00DA4F08" w:rsidRDefault="00DA4F08" w14:paraId="42D4AE33" w14:textId="77777777">
      <w:pPr>
        <w:tabs>
          <w:tab w:val="right" w:pos="7830"/>
        </w:tabs>
        <w:ind w:left="5400"/>
        <w:jc w:val="both"/>
        <w:rPr>
          <w:i/>
          <w:sz w:val="28"/>
          <w:szCs w:val="28"/>
          <w:u w:val="single"/>
        </w:rPr>
      </w:pPr>
      <w:r w:rsidRPr="00DA4F08">
        <w:rPr>
          <w:i/>
          <w:sz w:val="28"/>
          <w:szCs w:val="28"/>
          <w:u w:val="single"/>
        </w:rPr>
        <w:t>/s/ Kristen E. Bartolotta</w:t>
      </w:r>
      <w:r w:rsidRPr="00DA4F08">
        <w:rPr>
          <w:i/>
          <w:sz w:val="28"/>
          <w:szCs w:val="28"/>
          <w:u w:val="single"/>
        </w:rPr>
        <w:tab/>
      </w:r>
    </w:p>
    <w:p w:rsidRPr="00DA4F08" w:rsidR="00DA4F08" w:rsidP="00DA4F08" w:rsidRDefault="00DA4F08" w14:paraId="742BA707" w14:textId="77777777">
      <w:pPr>
        <w:ind w:left="5400"/>
        <w:contextualSpacing/>
        <w:rPr>
          <w:sz w:val="28"/>
          <w:szCs w:val="28"/>
        </w:rPr>
      </w:pPr>
      <w:r w:rsidRPr="00DA4F08">
        <w:rPr>
          <w:sz w:val="28"/>
          <w:szCs w:val="28"/>
        </w:rPr>
        <w:t>Kristen E. Bartolotta</w:t>
      </w:r>
    </w:p>
    <w:p w:rsidRPr="00DA4F08" w:rsidR="00DA4F08" w:rsidP="00DA4F08" w:rsidRDefault="00DA4F08" w14:paraId="49B3A2D7" w14:textId="77777777">
      <w:pPr>
        <w:ind w:left="5400"/>
        <w:contextualSpacing/>
        <w:rPr>
          <w:sz w:val="28"/>
          <w:szCs w:val="28"/>
        </w:rPr>
      </w:pPr>
      <w:r w:rsidRPr="00DA4F08">
        <w:rPr>
          <w:sz w:val="28"/>
          <w:szCs w:val="28"/>
        </w:rPr>
        <w:t>950 F St NW</w:t>
      </w:r>
    </w:p>
    <w:p w:rsidRPr="00DA4F08" w:rsidR="00DA4F08" w:rsidP="00DA4F08" w:rsidRDefault="00DA4F08" w14:paraId="0B7AF025" w14:textId="77777777">
      <w:pPr>
        <w:ind w:left="5400"/>
        <w:contextualSpacing/>
        <w:rPr>
          <w:sz w:val="28"/>
          <w:szCs w:val="28"/>
        </w:rPr>
      </w:pPr>
      <w:r w:rsidRPr="00DA4F08">
        <w:rPr>
          <w:sz w:val="28"/>
          <w:szCs w:val="28"/>
        </w:rPr>
        <w:t>Washington, D.C. 20002</w:t>
      </w:r>
    </w:p>
    <w:p w:rsidRPr="00DA4F08" w:rsidR="00DA4F08" w:rsidP="00DA4F08" w:rsidRDefault="00DA4F08" w14:paraId="065B6D59" w14:textId="77777777">
      <w:pPr>
        <w:ind w:left="5400"/>
        <w:contextualSpacing/>
        <w:rPr>
          <w:b/>
          <w:sz w:val="28"/>
          <w:szCs w:val="28"/>
        </w:rPr>
      </w:pPr>
      <w:r w:rsidRPr="00DA4F08">
        <w:rPr>
          <w:b/>
          <w:sz w:val="28"/>
          <w:szCs w:val="28"/>
        </w:rPr>
        <w:t>ALSTON &amp; BIRD LLP</w:t>
      </w:r>
    </w:p>
    <w:p w:rsidRPr="00DA4F08" w:rsidR="00DA4F08" w:rsidP="00DA4F08" w:rsidRDefault="00DA4F08" w14:paraId="7C7EA1C1" w14:textId="77777777">
      <w:pPr>
        <w:widowControl w:val="0"/>
        <w:ind w:left="5400"/>
        <w:rPr>
          <w:sz w:val="28"/>
          <w:szCs w:val="28"/>
        </w:rPr>
      </w:pPr>
      <w:r w:rsidRPr="00DA4F08">
        <w:rPr>
          <w:sz w:val="28"/>
          <w:szCs w:val="28"/>
        </w:rPr>
        <w:t>Telephone: 202-239-3166</w:t>
      </w:r>
    </w:p>
    <w:p w:rsidRPr="00DA4F08" w:rsidR="00DA4F08" w:rsidP="00DA4F08" w:rsidRDefault="00DA4F08" w14:paraId="211072AF" w14:textId="77777777">
      <w:pPr>
        <w:tabs>
          <w:tab w:val="center" w:pos="4320"/>
          <w:tab w:val="left" w:pos="4770"/>
          <w:tab w:val="right" w:pos="8640"/>
        </w:tabs>
        <w:ind w:left="5400"/>
        <w:rPr>
          <w:sz w:val="28"/>
          <w:szCs w:val="28"/>
        </w:rPr>
      </w:pPr>
      <w:r w:rsidRPr="00DA4F08">
        <w:rPr>
          <w:sz w:val="28"/>
          <w:szCs w:val="28"/>
        </w:rPr>
        <w:t>Kristen.Bartolotta@alston.com</w:t>
      </w:r>
    </w:p>
    <w:p w:rsidRPr="00DA4F08" w:rsidR="00DA4F08" w:rsidP="00DA4F08" w:rsidRDefault="00DA4F08" w14:paraId="0F0C69EF" w14:textId="77777777">
      <w:pPr>
        <w:tabs>
          <w:tab w:val="center" w:pos="4320"/>
          <w:tab w:val="left" w:pos="4770"/>
          <w:tab w:val="right" w:pos="8640"/>
        </w:tabs>
        <w:ind w:left="5400"/>
        <w:rPr>
          <w:sz w:val="28"/>
          <w:szCs w:val="28"/>
        </w:rPr>
      </w:pPr>
    </w:p>
    <w:p w:rsidRPr="00DA4F08" w:rsidR="00DA4F08" w:rsidP="00DA4F08" w:rsidRDefault="00DA4F08" w14:paraId="6A48BECD" w14:textId="77777777">
      <w:pPr>
        <w:tabs>
          <w:tab w:val="center" w:pos="4320"/>
          <w:tab w:val="left" w:pos="4770"/>
          <w:tab w:val="right" w:pos="8640"/>
        </w:tabs>
        <w:ind w:left="5400"/>
        <w:rPr>
          <w:i/>
          <w:sz w:val="28"/>
          <w:szCs w:val="28"/>
        </w:rPr>
      </w:pPr>
      <w:r w:rsidRPr="00DA4F08">
        <w:rPr>
          <w:i/>
          <w:sz w:val="28"/>
          <w:szCs w:val="28"/>
        </w:rPr>
        <w:t>Attorney for Amici Curiae</w:t>
      </w:r>
    </w:p>
    <w:p w:rsidRPr="00E97AE3" w:rsidR="003E61D2" w:rsidP="00704F28" w:rsidRDefault="003E61D2" w14:paraId="1342E22B" w14:textId="77777777">
      <w:pPr>
        <w:widowControl w:val="0"/>
        <w:spacing w:line="480" w:lineRule="auto"/>
        <w:ind w:firstLine="720"/>
        <w:jc w:val="both"/>
        <w:rPr>
          <w:szCs w:val="24"/>
        </w:rPr>
      </w:pPr>
    </w:p>
    <w:sectPr w:rsidRPr="00E97AE3" w:rsidR="003E61D2" w:rsidSect="0026005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508" w:rsidP="00960792" w:rsidRDefault="001F7508" w14:paraId="010500EE" w14:textId="77777777">
      <w:r>
        <w:separator/>
      </w:r>
    </w:p>
  </w:endnote>
  <w:endnote w:type="continuationSeparator" w:id="0">
    <w:p w:rsidR="001F7508" w:rsidP="00960792" w:rsidRDefault="001F7508" w14:paraId="247B34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4A54" w:rsidRDefault="00054A54" w14:paraId="5FCA18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784734"/>
      <w:docPartObj>
        <w:docPartGallery w:val="Page Numbers (Bottom of Page)"/>
        <w:docPartUnique/>
      </w:docPartObj>
    </w:sdtPr>
    <w:sdtEndPr>
      <w:rPr>
        <w:noProof/>
      </w:rPr>
    </w:sdtEndPr>
    <w:sdtContent>
      <w:p w:rsidR="00524969" w:rsidP="00260052" w:rsidRDefault="00524969" w14:paraId="00B8D7D5" w14:textId="5377C048">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4A54" w:rsidRDefault="00054A54" w14:paraId="64BB188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052" w:rsidP="00260052" w:rsidRDefault="00260052" w14:paraId="3EA092B7"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508" w:rsidP="00960792" w:rsidRDefault="001F7508" w14:paraId="0D3A6D71" w14:textId="77777777">
      <w:r>
        <w:separator/>
      </w:r>
    </w:p>
  </w:footnote>
  <w:footnote w:type="continuationSeparator" w:id="0">
    <w:p w:rsidR="001F7508" w:rsidP="00960792" w:rsidRDefault="001F7508" w14:paraId="354364F4" w14:textId="77777777">
      <w:r>
        <w:continuationSeparator/>
      </w:r>
    </w:p>
  </w:footnote>
  <w:footnote w:id="1">
    <w:p w:rsidRPr="003E07F6" w:rsidR="00010FF6" w:rsidRDefault="00010FF6" w14:paraId="1A81EB2D" w14:textId="39D4EC34">
      <w:pPr>
        <w:pStyle w:val="FootnoteText"/>
      </w:pPr>
      <w:r w:rsidRPr="003E07F6">
        <w:rPr>
          <w:rStyle w:val="FootnoteReference"/>
          <w:sz w:val="20"/>
          <w:szCs w:val="20"/>
        </w:rPr>
        <w:footnoteRef/>
      </w:r>
      <w:r w:rsidRPr="003E07F6">
        <w:t xml:space="preserve"> </w:t>
      </w:r>
      <w:r w:rsidRPr="003E07F6">
        <w:rPr>
          <w:sz w:val="20"/>
          <w:szCs w:val="20"/>
        </w:rPr>
        <w:t>Human Trafficking and the S</w:t>
      </w:r>
      <w:bookmarkStart w:name="_BA_Cite_E43650_000155" w:id="15"/>
      <w:bookmarkEnd w:id="15"/>
      <w:r w:rsidRPr="003E07F6">
        <w:rPr>
          <w:sz w:val="20"/>
          <w:szCs w:val="20"/>
        </w:rPr>
        <w:t xml:space="preserve">tate Courts Collaborative, </w:t>
      </w:r>
      <w:r w:rsidRPr="003E07F6">
        <w:rPr>
          <w:i/>
          <w:iCs/>
          <w:sz w:val="20"/>
          <w:szCs w:val="20"/>
        </w:rPr>
        <w:t>Post-Conviction Relief for Human Trafficking Victims Convicted of Crimes Coerced By a Trafficker</w:t>
      </w:r>
      <w:r w:rsidRPr="003E07F6">
        <w:rPr>
          <w:sz w:val="20"/>
          <w:szCs w:val="20"/>
        </w:rPr>
        <w:t>, at 1 (Aug. 2015), http://www.htcourts.org/wp-content/uploads/150904_PostConviction_Relief_forHTvictims_v05.pdf.</w:t>
      </w:r>
    </w:p>
  </w:footnote>
  <w:footnote w:id="2">
    <w:p w:rsidRPr="003E07F6" w:rsidR="002A0947" w:rsidP="00010FF6" w:rsidRDefault="002A0947" w14:paraId="2BBCABC2" w14:textId="1839C7C1">
      <w:pPr>
        <w:pStyle w:val="FootnoteText"/>
        <w:spacing w:after="0"/>
        <w:jc w:val="both"/>
      </w:pPr>
      <w:r w:rsidRPr="003E07F6">
        <w:rPr>
          <w:rStyle w:val="FootnoteReference"/>
          <w:sz w:val="20"/>
          <w:szCs w:val="20"/>
        </w:rPr>
        <w:footnoteRef/>
      </w:r>
      <w:r w:rsidRPr="003E07F6">
        <w:rPr>
          <w:sz w:val="20"/>
          <w:szCs w:val="20"/>
        </w:rPr>
        <w:t xml:space="preserve"> </w:t>
      </w:r>
      <w:r w:rsidRPr="003E07F6" w:rsidR="00010FF6">
        <w:rPr>
          <w:i/>
          <w:iCs/>
          <w:sz w:val="20"/>
          <w:szCs w:val="20"/>
        </w:rPr>
        <w:t>P</w:t>
      </w:r>
      <w:bookmarkStart w:name="_BA_Cite_E43650_000213" w:id="19"/>
      <w:bookmarkEnd w:id="19"/>
      <w:r w:rsidRPr="003E07F6" w:rsidR="00010FF6">
        <w:rPr>
          <w:i/>
          <w:iCs/>
          <w:sz w:val="20"/>
          <w:szCs w:val="20"/>
        </w:rPr>
        <w:t>ost-Conviction Relief</w:t>
      </w:r>
      <w:r w:rsidRPr="003E07F6" w:rsidR="00010FF6">
        <w:rPr>
          <w:sz w:val="20"/>
          <w:szCs w:val="20"/>
        </w:rPr>
        <w:t xml:space="preserve">, </w:t>
      </w:r>
      <w:r w:rsidRPr="003E07F6" w:rsidR="00010FF6">
        <w:rPr>
          <w:i/>
          <w:iCs/>
          <w:sz w:val="20"/>
          <w:szCs w:val="20"/>
        </w:rPr>
        <w:t>supra</w:t>
      </w:r>
      <w:r w:rsidRPr="003E07F6" w:rsidR="00010FF6">
        <w:rPr>
          <w:sz w:val="20"/>
          <w:szCs w:val="20"/>
        </w:rPr>
        <w:t xml:space="preserve"> at 1; </w:t>
      </w:r>
      <w:r w:rsidRPr="003E07F6" w:rsidR="00010FF6">
        <w:rPr>
          <w:i/>
          <w:iCs/>
          <w:sz w:val="20"/>
          <w:szCs w:val="20"/>
        </w:rPr>
        <w:t>Reasons for Intimate Partner Violence Perpetration Among Arrested Women</w:t>
      </w:r>
      <w:r w:rsidRPr="003E07F6" w:rsidR="00010FF6">
        <w:rPr>
          <w:sz w:val="20"/>
          <w:szCs w:val="20"/>
        </w:rPr>
        <w:t xml:space="preserve">, 12 Violence Against Women 609 (2006); </w:t>
      </w:r>
      <w:r w:rsidRPr="003E07F6" w:rsidR="00010FF6">
        <w:rPr>
          <w:i/>
          <w:iCs/>
          <w:sz w:val="20"/>
          <w:szCs w:val="20"/>
        </w:rPr>
        <w:t>see also</w:t>
      </w:r>
      <w:r w:rsidRPr="003E07F6" w:rsidR="00010FF6">
        <w:rPr>
          <w:sz w:val="20"/>
          <w:szCs w:val="20"/>
        </w:rPr>
        <w:t xml:space="preserve"> D</w:t>
      </w:r>
      <w:bookmarkStart w:name="_BA_Cite_E43650_000215" w:id="20"/>
      <w:bookmarkEnd w:id="20"/>
      <w:r w:rsidRPr="003E07F6" w:rsidR="00010FF6">
        <w:rPr>
          <w:sz w:val="20"/>
          <w:szCs w:val="20"/>
        </w:rPr>
        <w:t>eLeon-Granados et al</w:t>
      </w:r>
      <w:r w:rsidRPr="003E07F6" w:rsidR="00010FF6">
        <w:rPr>
          <w:i/>
          <w:iCs/>
          <w:sz w:val="20"/>
          <w:szCs w:val="20"/>
        </w:rPr>
        <w:t>., Arresting developments: Trends in female arrests for domestic violence and proposed explanations</w:t>
      </w:r>
      <w:r w:rsidRPr="003E07F6" w:rsidR="00010FF6">
        <w:rPr>
          <w:sz w:val="20"/>
          <w:szCs w:val="20"/>
        </w:rPr>
        <w:t>, 12 Violence Against Women 355 (2006); C</w:t>
      </w:r>
      <w:bookmarkStart w:name="_BA_Cite_E43650_000217" w:id="21"/>
      <w:bookmarkEnd w:id="21"/>
      <w:r w:rsidRPr="003E07F6" w:rsidR="00010FF6">
        <w:rPr>
          <w:sz w:val="20"/>
          <w:szCs w:val="20"/>
        </w:rPr>
        <w:t xml:space="preserve">rager et al., </w:t>
      </w:r>
      <w:r w:rsidRPr="003E07F6" w:rsidR="00010FF6">
        <w:rPr>
          <w:i/>
          <w:iCs/>
          <w:sz w:val="20"/>
          <w:szCs w:val="20"/>
        </w:rPr>
        <w:t>Victim-Defendants: An Emerging Challenge in Responding to Domestic Violence in Seattle and the King County Region</w:t>
      </w:r>
      <w:r w:rsidRPr="003E07F6" w:rsidR="00010FF6">
        <w:rPr>
          <w:sz w:val="20"/>
          <w:szCs w:val="20"/>
        </w:rPr>
        <w:t xml:space="preserve"> (2003); Bierria &amp; Lenz, </w:t>
      </w:r>
      <w:r w:rsidRPr="003E07F6" w:rsidR="00010FF6">
        <w:rPr>
          <w:i/>
          <w:iCs/>
          <w:sz w:val="20"/>
          <w:szCs w:val="20"/>
        </w:rPr>
        <w:t>D</w:t>
      </w:r>
      <w:bookmarkStart w:name="_BA_Cite_E43650_000163" w:id="22"/>
      <w:bookmarkEnd w:id="22"/>
      <w:r w:rsidRPr="003E07F6" w:rsidR="00010FF6">
        <w:rPr>
          <w:i/>
          <w:iCs/>
          <w:sz w:val="20"/>
          <w:szCs w:val="20"/>
        </w:rPr>
        <w:t>efending Self-Defense</w:t>
      </w:r>
      <w:r w:rsidRPr="003E07F6" w:rsidR="00010FF6">
        <w:rPr>
          <w:sz w:val="20"/>
          <w:szCs w:val="20"/>
        </w:rPr>
        <w:t>, Survived &amp; Punished, at 3 (Mar. 2022), https://survivedandpunished.org/wp-content/uploads/2022/03/DSD-Report-Mar-21-final.pdf.</w:t>
      </w:r>
    </w:p>
  </w:footnote>
  <w:footnote w:id="3">
    <w:p w:rsidRPr="003E07F6" w:rsidR="00737076" w:rsidP="00010FF6" w:rsidRDefault="00737076" w14:paraId="75497D15" w14:textId="4D4CB2B7">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010FF6">
        <w:rPr>
          <w:i/>
          <w:iCs/>
          <w:sz w:val="20"/>
          <w:szCs w:val="20"/>
        </w:rPr>
        <w:t>P</w:t>
      </w:r>
      <w:bookmarkStart w:name="_BA_Cite_E43650_000219" w:id="23"/>
      <w:bookmarkEnd w:id="23"/>
      <w:r w:rsidRPr="003E07F6" w:rsidR="00010FF6">
        <w:rPr>
          <w:i/>
          <w:iCs/>
          <w:sz w:val="20"/>
          <w:szCs w:val="20"/>
        </w:rPr>
        <w:t>ost-Conviction Relief, supra</w:t>
      </w:r>
      <w:r w:rsidRPr="003E07F6" w:rsidR="00010FF6">
        <w:rPr>
          <w:sz w:val="20"/>
          <w:szCs w:val="20"/>
        </w:rPr>
        <w:t xml:space="preserve"> at 1.</w:t>
      </w:r>
    </w:p>
  </w:footnote>
  <w:footnote w:id="4">
    <w:p w:rsidRPr="003E07F6" w:rsidR="00FA4A7C" w:rsidP="00BD41B1" w:rsidRDefault="00FA4A7C" w14:paraId="73EAED1C" w14:textId="6D525C23">
      <w:pPr>
        <w:ind w:firstLine="720"/>
        <w:jc w:val="both"/>
        <w:rPr>
          <w:sz w:val="20"/>
        </w:rPr>
      </w:pPr>
      <w:r w:rsidRPr="003E07F6">
        <w:rPr>
          <w:rStyle w:val="FootnoteReference"/>
          <w:sz w:val="20"/>
          <w:szCs w:val="16"/>
        </w:rPr>
        <w:footnoteRef/>
      </w:r>
      <w:r w:rsidRPr="003E07F6">
        <w:rPr>
          <w:sz w:val="20"/>
        </w:rPr>
        <w:t xml:space="preserve"> </w:t>
      </w:r>
      <w:r w:rsidRPr="003E07F6" w:rsidR="00010FF6">
        <w:rPr>
          <w:sz w:val="20"/>
        </w:rPr>
        <w:t xml:space="preserve">Green, B. L., Dass-Brailsford, P., Hurtado de Mendoza, A., Mete, M., Lynch, S. M., DeHart, D. D., &amp; Belknap, J. (2016). </w:t>
      </w:r>
      <w:r w:rsidRPr="003E07F6" w:rsidR="00010FF6">
        <w:rPr>
          <w:i/>
          <w:iCs/>
          <w:sz w:val="20"/>
        </w:rPr>
        <w:t>Trauma experiences and mental health among incarcerated women</w:t>
      </w:r>
      <w:r w:rsidRPr="003E07F6" w:rsidR="00010FF6">
        <w:rPr>
          <w:sz w:val="20"/>
        </w:rPr>
        <w:t>. Psychological Trauma: Theory, Research, Practice, and Policy, 8(4), 455–463. doi:</w:t>
      </w:r>
      <w:r w:rsidRPr="00DA4F08" w:rsidR="00010FF6">
        <w:rPr>
          <w:sz w:val="20"/>
        </w:rPr>
        <w:t>10.1037/tra0000113.</w:t>
      </w:r>
    </w:p>
  </w:footnote>
  <w:footnote w:id="5">
    <w:p w:rsidRPr="003E07F6" w:rsidR="00FA4A7C" w:rsidP="00BD41B1" w:rsidRDefault="00FA4A7C" w14:paraId="16973DD1" w14:textId="46E5880C">
      <w:pPr>
        <w:ind w:firstLine="720"/>
        <w:jc w:val="both"/>
        <w:rPr>
          <w:sz w:val="20"/>
        </w:rPr>
      </w:pPr>
      <w:r w:rsidRPr="003E07F6">
        <w:rPr>
          <w:rStyle w:val="FootnoteReference"/>
          <w:sz w:val="20"/>
          <w:szCs w:val="16"/>
        </w:rPr>
        <w:footnoteRef/>
      </w:r>
      <w:r w:rsidRPr="003E07F6">
        <w:rPr>
          <w:sz w:val="20"/>
        </w:rPr>
        <w:t xml:space="preserve"> </w:t>
      </w:r>
      <w:r w:rsidRPr="003E07F6" w:rsidR="00010FF6">
        <w:rPr>
          <w:sz w:val="20"/>
        </w:rPr>
        <w:t xml:space="preserve">Kennedy, S. C., Tripodi, S. J., Pettus-Davis, C., &amp; Ayers, J. (2015). </w:t>
      </w:r>
      <w:r w:rsidRPr="003E07F6" w:rsidR="00010FF6">
        <w:rPr>
          <w:sz w:val="20"/>
          <w:u w:val="single"/>
        </w:rPr>
        <w:t>Examining dose-response relationships between childhood victimization, depression, symptoms of psychosis, and substance misuse for incarcerated women</w:t>
      </w:r>
      <w:r w:rsidRPr="003E07F6" w:rsidR="00010FF6">
        <w:rPr>
          <w:sz w:val="20"/>
        </w:rPr>
        <w:t xml:space="preserve">. </w:t>
      </w:r>
      <w:r w:rsidRPr="00DA4F08" w:rsidR="00010FF6">
        <w:rPr>
          <w:sz w:val="20"/>
        </w:rPr>
        <w:t>Women &amp; Criminal Justice,</w:t>
      </w:r>
      <w:r w:rsidRPr="00DA4F08" w:rsidR="00010FF6">
        <w:rPr>
          <w:sz w:val="20"/>
          <w:highlight w:val="white"/>
        </w:rPr>
        <w:t xml:space="preserve"> </w:t>
      </w:r>
      <w:r w:rsidRPr="00DA4F08" w:rsidR="00010FF6">
        <w:rPr>
          <w:sz w:val="20"/>
        </w:rPr>
        <w:t>26:2,</w:t>
      </w:r>
      <w:r w:rsidRPr="00DA4F08" w:rsidR="00010FF6">
        <w:rPr>
          <w:sz w:val="20"/>
          <w:highlight w:val="white"/>
        </w:rPr>
        <w:t xml:space="preserve"> </w:t>
      </w:r>
      <w:r w:rsidRPr="00DA4F08" w:rsidR="00010FF6">
        <w:rPr>
          <w:sz w:val="20"/>
        </w:rPr>
        <w:t xml:space="preserve">77-98, </w:t>
      </w:r>
      <w:r w:rsidRPr="003E07F6" w:rsidR="00010FF6">
        <w:rPr>
          <w:sz w:val="20"/>
        </w:rPr>
        <w:t xml:space="preserve">doi:10.1080/08974454.2015.1023486; Radatz, D. L. &amp; Wright, E. M. (2015). </w:t>
      </w:r>
      <w:r w:rsidRPr="003E07F6" w:rsidR="00010FF6">
        <w:rPr>
          <w:i/>
          <w:iCs/>
          <w:sz w:val="20"/>
        </w:rPr>
        <w:t>Does polyvictimization affect incarcerated and non-incarcerated adults women differently? An exploration into internalizing problems.</w:t>
      </w:r>
      <w:r w:rsidRPr="003E07F6" w:rsidR="00010FF6">
        <w:rPr>
          <w:sz w:val="20"/>
        </w:rPr>
        <w:t xml:space="preserve"> Journal of Interpersonal Violence. </w:t>
      </w:r>
      <w:r w:rsidRPr="00DA4F08" w:rsidR="00010FF6">
        <w:rPr>
          <w:sz w:val="20"/>
          <w:highlight w:val="white"/>
        </w:rPr>
        <w:t>2017 May;32(9):1379-1400.</w:t>
      </w:r>
      <w:r w:rsidRPr="003E07F6" w:rsidR="00010FF6">
        <w:rPr>
          <w:sz w:val="20"/>
        </w:rPr>
        <w:t>doi:</w:t>
      </w:r>
      <w:r w:rsidRPr="00DA4F08" w:rsidR="00010FF6">
        <w:rPr>
          <w:sz w:val="20"/>
        </w:rPr>
        <w:t>10.1177/ 0886260515588921.</w:t>
      </w:r>
    </w:p>
  </w:footnote>
  <w:footnote w:id="6">
    <w:p w:rsidRPr="003E07F6" w:rsidR="00FA4A7C" w:rsidP="00BD41B1" w:rsidRDefault="00FA4A7C" w14:paraId="6D911534" w14:textId="705F9FE2">
      <w:pPr>
        <w:ind w:firstLine="720"/>
        <w:jc w:val="both"/>
        <w:rPr>
          <w:sz w:val="20"/>
        </w:rPr>
      </w:pPr>
      <w:r w:rsidRPr="003E07F6">
        <w:rPr>
          <w:rStyle w:val="FootnoteReference"/>
          <w:sz w:val="20"/>
          <w:szCs w:val="16"/>
        </w:rPr>
        <w:footnoteRef/>
      </w:r>
      <w:r w:rsidRPr="003E07F6">
        <w:rPr>
          <w:sz w:val="16"/>
          <w:szCs w:val="16"/>
        </w:rPr>
        <w:t xml:space="preserve"> </w:t>
      </w:r>
      <w:r w:rsidRPr="003E07F6" w:rsidR="00010FF6">
        <w:rPr>
          <w:sz w:val="20"/>
        </w:rPr>
        <w:t xml:space="preserve">Fuentes, C. M. (2014). </w:t>
      </w:r>
      <w:r w:rsidRPr="003E07F6" w:rsidR="00010FF6">
        <w:rPr>
          <w:i/>
          <w:iCs/>
          <w:sz w:val="20"/>
        </w:rPr>
        <w:t>Nobody’s child: The role of trauma and interpersonal violence in women’s pathways to incarceration and resultant service needs</w:t>
      </w:r>
      <w:r w:rsidRPr="003E07F6" w:rsidR="00010FF6">
        <w:rPr>
          <w:sz w:val="20"/>
        </w:rPr>
        <w:t>. Medical Anthropology Quarterly, 28(1), 85–104. doi:</w:t>
      </w:r>
      <w:r w:rsidRPr="00DA4F08" w:rsidR="00010FF6">
        <w:rPr>
          <w:sz w:val="20"/>
        </w:rPr>
        <w:t xml:space="preserve">10.1111/maq.12058; </w:t>
      </w:r>
      <w:r w:rsidRPr="003E07F6" w:rsidR="00010FF6">
        <w:rPr>
          <w:sz w:val="20"/>
        </w:rPr>
        <w:t>Chesney-Lind, M. &amp; Shelden, R. G. (2014). Girls, delinquency, and juvenile justice (4th ed.). West Sussex, UK: Wiley Blackwell.</w:t>
      </w:r>
    </w:p>
  </w:footnote>
  <w:footnote w:id="7">
    <w:p w:rsidRPr="003E07F6" w:rsidR="00FA4A7C" w:rsidP="00BD41B1" w:rsidRDefault="00FA4A7C" w14:paraId="71E76619" w14:textId="4468DA92">
      <w:pPr>
        <w:ind w:firstLine="720"/>
        <w:jc w:val="both"/>
        <w:rPr>
          <w:sz w:val="20"/>
        </w:rPr>
      </w:pPr>
      <w:r w:rsidRPr="003E07F6">
        <w:rPr>
          <w:rStyle w:val="FootnoteReference"/>
          <w:sz w:val="20"/>
          <w:szCs w:val="16"/>
        </w:rPr>
        <w:footnoteRef/>
      </w:r>
      <w:r w:rsidRPr="003E07F6">
        <w:rPr>
          <w:sz w:val="16"/>
          <w:szCs w:val="16"/>
        </w:rPr>
        <w:t xml:space="preserve"> </w:t>
      </w:r>
      <w:r w:rsidRPr="003E07F6" w:rsidR="005A0215">
        <w:rPr>
          <w:sz w:val="20"/>
        </w:rPr>
        <w:t>Chesney-Lind &amp; Shelden,</w:t>
      </w:r>
      <w:r w:rsidRPr="003E07F6" w:rsidR="005A0215">
        <w:rPr>
          <w:i/>
          <w:sz w:val="20"/>
        </w:rPr>
        <w:t xml:space="preserve"> supra</w:t>
      </w:r>
      <w:r w:rsidRPr="003E07F6" w:rsidR="005A0215">
        <w:rPr>
          <w:iCs/>
          <w:sz w:val="20"/>
        </w:rPr>
        <w:t>, a</w:t>
      </w:r>
      <w:r w:rsidRPr="003E07F6" w:rsidR="005A0215">
        <w:rPr>
          <w:sz w:val="20"/>
        </w:rPr>
        <w:t>t 6.</w:t>
      </w:r>
    </w:p>
  </w:footnote>
  <w:footnote w:id="8">
    <w:p w:rsidRPr="003E07F6" w:rsidR="00DC5B82" w:rsidP="00BD41B1" w:rsidRDefault="00DC5B82" w14:paraId="358B4894" w14:textId="011D8379">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5A0215">
        <w:rPr>
          <w:i/>
          <w:iCs/>
          <w:sz w:val="20"/>
          <w:szCs w:val="20"/>
        </w:rPr>
        <w:t>See, e.g.</w:t>
      </w:r>
      <w:r w:rsidRPr="003E07F6" w:rsidR="005A0215">
        <w:rPr>
          <w:sz w:val="20"/>
          <w:szCs w:val="20"/>
        </w:rPr>
        <w:t>, L</w:t>
      </w:r>
      <w:bookmarkStart w:name="_BA_Cite_E43650_000149" w:id="24"/>
      <w:bookmarkEnd w:id="24"/>
      <w:r w:rsidRPr="003E07F6" w:rsidR="005A0215">
        <w:rPr>
          <w:sz w:val="20"/>
          <w:szCs w:val="20"/>
        </w:rPr>
        <w:t xml:space="preserve">ewis, </w:t>
      </w:r>
      <w:r w:rsidRPr="003E07F6" w:rsidR="005A0215">
        <w:rPr>
          <w:i/>
          <w:iCs/>
          <w:sz w:val="20"/>
          <w:szCs w:val="20"/>
        </w:rPr>
        <w:t>The Mills of Cruelty</w:t>
      </w:r>
      <w:r w:rsidRPr="003E07F6" w:rsidR="005A0215">
        <w:rPr>
          <w:sz w:val="20"/>
          <w:szCs w:val="20"/>
        </w:rPr>
        <w:t>, New York Times, Dec. 14, 1999 (“[F]or biting an abusive husband during a domestic dispute, Ms. Flores is to be deported.”).</w:t>
      </w:r>
    </w:p>
  </w:footnote>
  <w:footnote w:id="9">
    <w:p w:rsidRPr="003E07F6" w:rsidR="00D02EE1" w:rsidP="00BD41B1" w:rsidRDefault="00D02EE1" w14:paraId="25A7FB4F" w14:textId="2B3EEFAD">
      <w:pPr>
        <w:pStyle w:val="FootnoteText"/>
        <w:jc w:val="both"/>
      </w:pPr>
      <w:r w:rsidRPr="003E07F6">
        <w:rPr>
          <w:rStyle w:val="FootnoteReference"/>
          <w:sz w:val="20"/>
          <w:szCs w:val="20"/>
        </w:rPr>
        <w:footnoteRef/>
      </w:r>
      <w:r w:rsidRPr="003E07F6">
        <w:t xml:space="preserve"> </w:t>
      </w:r>
      <w:r w:rsidRPr="003E07F6" w:rsidR="005A0215">
        <w:rPr>
          <w:sz w:val="20"/>
          <w:szCs w:val="20"/>
        </w:rPr>
        <w:t>Gael B. Strack, “She hit me, too” I</w:t>
      </w:r>
      <w:bookmarkStart w:name="_BA_Cite_E43650_000165" w:id="25"/>
      <w:bookmarkEnd w:id="25"/>
      <w:r w:rsidRPr="003E07F6" w:rsidR="005A0215">
        <w:rPr>
          <w:sz w:val="20"/>
          <w:szCs w:val="20"/>
        </w:rPr>
        <w:t>dentifying the Primary Aggressor: A Prosecutor’s Perspective 3, 5, available at http://www.ncdsv.org/images/she_hit_me.pdf; M</w:t>
      </w:r>
      <w:bookmarkStart w:name="_BA_Cite_E43650_000221" w:id="26"/>
      <w:bookmarkEnd w:id="26"/>
      <w:r w:rsidRPr="003E07F6" w:rsidR="005A0215">
        <w:rPr>
          <w:sz w:val="20"/>
          <w:szCs w:val="20"/>
        </w:rPr>
        <w:t xml:space="preserve">iller, </w:t>
      </w:r>
      <w:r w:rsidRPr="003E07F6" w:rsidR="005A0215">
        <w:rPr>
          <w:i/>
          <w:iCs/>
          <w:sz w:val="20"/>
          <w:szCs w:val="20"/>
        </w:rPr>
        <w:t>The Paradox of Women Arrested for Domestic Violence: Criminal Justice Professionals and Service Providers Respond</w:t>
      </w:r>
      <w:r w:rsidRPr="003E07F6" w:rsidR="005A0215">
        <w:rPr>
          <w:sz w:val="20"/>
          <w:szCs w:val="20"/>
        </w:rPr>
        <w:t>, 7 Violence Against Women 1339, 1351–63 (2001).</w:t>
      </w:r>
    </w:p>
  </w:footnote>
  <w:footnote w:id="10">
    <w:p w:rsidRPr="003E07F6" w:rsidR="00DC5B82" w:rsidP="00010FF6" w:rsidRDefault="00DC5B82" w14:paraId="3B6C373F" w14:textId="739ADC55">
      <w:pPr>
        <w:pStyle w:val="FootnoteText"/>
        <w:spacing w:after="0"/>
        <w:jc w:val="both"/>
      </w:pPr>
      <w:r w:rsidRPr="003E07F6">
        <w:rPr>
          <w:rStyle w:val="FootnoteReference"/>
          <w:sz w:val="20"/>
          <w:szCs w:val="20"/>
        </w:rPr>
        <w:footnoteRef/>
      </w:r>
      <w:r w:rsidRPr="003E07F6">
        <w:rPr>
          <w:sz w:val="20"/>
          <w:szCs w:val="20"/>
        </w:rPr>
        <w:t xml:space="preserve"> </w:t>
      </w:r>
      <w:r w:rsidRPr="003E07F6" w:rsidR="005A0215">
        <w:rPr>
          <w:i/>
          <w:iCs/>
          <w:sz w:val="20"/>
          <w:szCs w:val="20"/>
        </w:rPr>
        <w:t>Cf. U</w:t>
      </w:r>
      <w:bookmarkStart w:name="_BA_Cite_E43650_000013" w:id="28"/>
      <w:bookmarkEnd w:id="28"/>
      <w:r w:rsidRPr="003E07F6" w:rsidR="005A0215">
        <w:rPr>
          <w:i/>
          <w:iCs/>
          <w:sz w:val="20"/>
          <w:szCs w:val="20"/>
        </w:rPr>
        <w:t>nited States v. Booker</w:t>
      </w:r>
      <w:r w:rsidRPr="003E07F6" w:rsidR="005A0215">
        <w:rPr>
          <w:sz w:val="20"/>
          <w:szCs w:val="20"/>
        </w:rPr>
        <w:t>, 644 F.3d 12, 20–21 (1st Cir. 2011).</w:t>
      </w:r>
    </w:p>
  </w:footnote>
  <w:footnote w:id="11">
    <w:p w:rsidRPr="003E07F6" w:rsidR="00DC5B82" w:rsidP="00010FF6" w:rsidRDefault="00DC5B82" w14:paraId="589E8D6B" w14:textId="031457B2">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5A0215">
        <w:rPr>
          <w:i/>
          <w:iCs/>
          <w:sz w:val="20"/>
          <w:szCs w:val="20"/>
        </w:rPr>
        <w:t xml:space="preserve">See, e.g., </w:t>
      </w:r>
      <w:r w:rsidRPr="003E07F6" w:rsidR="005A0215">
        <w:rPr>
          <w:sz w:val="20"/>
          <w:szCs w:val="20"/>
        </w:rPr>
        <w:t>E</w:t>
      </w:r>
      <w:bookmarkStart w:name="_BA_Cite_E43650_000223" w:id="29"/>
      <w:bookmarkEnd w:id="29"/>
      <w:r w:rsidRPr="003E07F6" w:rsidR="005A0215">
        <w:rPr>
          <w:sz w:val="20"/>
          <w:szCs w:val="20"/>
        </w:rPr>
        <w:t>ditorial</w:t>
      </w:r>
      <w:r w:rsidRPr="003E07F6" w:rsidR="005A0215">
        <w:rPr>
          <w:i/>
          <w:iCs/>
          <w:sz w:val="20"/>
          <w:szCs w:val="20"/>
        </w:rPr>
        <w:t xml:space="preserve">, Secure Communities Program: A Flawed Deportation Tool, </w:t>
      </w:r>
      <w:r w:rsidRPr="003E07F6" w:rsidR="005A0215">
        <w:rPr>
          <w:sz w:val="20"/>
          <w:szCs w:val="20"/>
        </w:rPr>
        <w:t>L</w:t>
      </w:r>
      <w:bookmarkStart w:name="_BA_Cite_E43650_000167" w:id="30"/>
      <w:bookmarkEnd w:id="30"/>
      <w:r w:rsidRPr="003E07F6" w:rsidR="005A0215">
        <w:rPr>
          <w:sz w:val="20"/>
          <w:szCs w:val="20"/>
        </w:rPr>
        <w:t>.A. Times, May 23, 2011,  http://articles.latimes.com/2011/may/23/opinion/la-ed-secure-20110523.</w:t>
      </w:r>
    </w:p>
  </w:footnote>
  <w:footnote w:id="12">
    <w:p w:rsidRPr="003E07F6" w:rsidR="00DC5B82" w:rsidP="00010FF6" w:rsidRDefault="00DC5B82" w14:paraId="55A4364F" w14:textId="493B667E">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5A0215">
        <w:rPr>
          <w:sz w:val="20"/>
          <w:szCs w:val="20"/>
        </w:rPr>
        <w:t>National Clearinghouse for the Defense of B</w:t>
      </w:r>
      <w:bookmarkStart w:name="_BA_Cite_E43650_000157" w:id="31"/>
      <w:bookmarkEnd w:id="31"/>
      <w:r w:rsidRPr="003E07F6" w:rsidR="005A0215">
        <w:rPr>
          <w:sz w:val="20"/>
          <w:szCs w:val="20"/>
        </w:rPr>
        <w:t xml:space="preserve">attered Women, </w:t>
      </w:r>
      <w:r w:rsidRPr="003E07F6" w:rsidR="005A0215">
        <w:rPr>
          <w:i/>
          <w:iCs/>
          <w:sz w:val="20"/>
          <w:szCs w:val="20"/>
        </w:rPr>
        <w:t>The Impact of Arrests and Convictions on Battered Women</w:t>
      </w:r>
      <w:r w:rsidRPr="003E07F6" w:rsidR="005A0215">
        <w:rPr>
          <w:sz w:val="20"/>
          <w:szCs w:val="20"/>
        </w:rPr>
        <w:t>, at 2 (2008),  http://www.biscmi.org/wshh/NCDBW_%20Impact_of_Arrest.pdf.</w:t>
      </w:r>
    </w:p>
  </w:footnote>
  <w:footnote w:id="13">
    <w:p w:rsidRPr="003E07F6" w:rsidR="00DC5B82" w:rsidP="00010FF6" w:rsidRDefault="00DC5B82" w14:paraId="17C458E2" w14:textId="77777777">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88" w:id="33"/>
      <w:bookmarkEnd w:id="33"/>
      <w:r w:rsidRPr="003E07F6">
        <w:rPr>
          <w:i/>
          <w:iCs/>
          <w:sz w:val="20"/>
          <w:szCs w:val="20"/>
        </w:rPr>
        <w:t>d.</w:t>
      </w:r>
    </w:p>
  </w:footnote>
  <w:footnote w:id="14">
    <w:p w:rsidRPr="003E07F6" w:rsidR="00140AEA" w:rsidP="00BD41B1" w:rsidRDefault="00140AEA" w14:paraId="2CA86A82" w14:textId="08BCA692">
      <w:pPr>
        <w:pStyle w:val="FootnoteText"/>
        <w:spacing w:after="0"/>
        <w:jc w:val="both"/>
      </w:pPr>
      <w:r w:rsidRPr="003E07F6">
        <w:rPr>
          <w:rStyle w:val="FootnoteReference"/>
          <w:sz w:val="20"/>
          <w:szCs w:val="20"/>
        </w:rPr>
        <w:footnoteRef/>
      </w:r>
      <w:r w:rsidRPr="003E07F6">
        <w:rPr>
          <w:sz w:val="20"/>
          <w:szCs w:val="20"/>
        </w:rPr>
        <w:t xml:space="preserve"> </w:t>
      </w:r>
      <w:sdt>
        <w:sdtPr>
          <w:rPr>
            <w:sz w:val="20"/>
            <w:szCs w:val="20"/>
          </w:rPr>
          <w:tag w:val="goog_rdk_51"/>
          <w:id w:val="-1037048107"/>
        </w:sdtPr>
        <w:sdtEndPr>
          <w:rPr>
            <w:sz w:val="24"/>
            <w:szCs w:val="24"/>
          </w:rPr>
        </w:sdtEndPr>
        <w:sdtContent>
          <w:sdt>
            <w:sdtPr>
              <w:rPr>
                <w:sz w:val="20"/>
                <w:szCs w:val="20"/>
              </w:rPr>
              <w:tag w:val="goog_rdk_51"/>
              <w:id w:val="104401144"/>
            </w:sdtPr>
            <w:sdtEndPr>
              <w:rPr>
                <w:sz w:val="24"/>
                <w:szCs w:val="24"/>
              </w:rPr>
            </w:sdtEndPr>
            <w:sdtContent>
              <w:sdt>
                <w:sdtPr>
                  <w:rPr>
                    <w:sz w:val="20"/>
                    <w:szCs w:val="20"/>
                  </w:rPr>
                  <w:tag w:val="goog_rdk_52"/>
                  <w:id w:val="1833022892"/>
                </w:sdtPr>
                <w:sdtEndPr/>
                <w:sdtContent>
                  <w:r w:rsidRPr="00DA4F08" w:rsidR="005A0215">
                    <w:rPr>
                      <w:sz w:val="20"/>
                      <w:szCs w:val="20"/>
                    </w:rPr>
                    <w:t xml:space="preserve"> M</w:t>
                  </w:r>
                  <w:bookmarkStart w:name="_BA_Cite_E43650_000268" w:id="34"/>
                  <w:bookmarkEnd w:id="34"/>
                  <w:r w:rsidRPr="003E07F6" w:rsidR="005A0215">
                    <w:rPr>
                      <w:sz w:val="20"/>
                      <w:szCs w:val="20"/>
                    </w:rPr>
                    <w:t xml:space="preserve">arsh, Anthony, Emerson, </w:t>
                  </w:r>
                  <w:r w:rsidRPr="003E07F6" w:rsidR="001C69F7">
                    <w:rPr>
                      <w:sz w:val="20"/>
                      <w:szCs w:val="20"/>
                    </w:rPr>
                    <w:t>&amp;</w:t>
                  </w:r>
                  <w:r w:rsidRPr="003E07F6" w:rsidR="005A0215">
                    <w:rPr>
                      <w:sz w:val="20"/>
                      <w:szCs w:val="20"/>
                    </w:rPr>
                    <w:t xml:space="preserve"> Mogulescu, </w:t>
                  </w:r>
                </w:sdtContent>
              </w:sdt>
              <w:sdt>
                <w:sdtPr>
                  <w:rPr>
                    <w:i/>
                    <w:iCs/>
                  </w:rPr>
                  <w:tag w:val="goog_rdk_53"/>
                  <w:id w:val="-602572158"/>
                </w:sdtPr>
                <w:sdtEndPr>
                  <w:rPr>
                    <w:i w:val="0"/>
                    <w:iCs w:val="0"/>
                  </w:rPr>
                </w:sdtEndPr>
                <w:sdtContent>
                  <w:r w:rsidRPr="00DA4F08" w:rsidR="005A0215">
                    <w:rPr>
                      <w:i/>
                      <w:iCs/>
                      <w:sz w:val="20"/>
                    </w:rPr>
                    <w:t>State Report Cards: Grading Criminal Record Relief Laws for Survivors of Human Trafficking</w:t>
                  </w:r>
                </w:sdtContent>
              </w:sdt>
              <w:sdt>
                <w:sdtPr>
                  <w:tag w:val="goog_rdk_54"/>
                  <w:id w:val="439265532"/>
                </w:sdtPr>
                <w:sdtEndPr/>
                <w:sdtContent>
                  <w:r w:rsidRPr="00DA4F08" w:rsidR="005A0215">
                    <w:rPr>
                      <w:sz w:val="20"/>
                    </w:rPr>
                    <w:t xml:space="preserve">, 5, Polaris Project (2019) https://polarisproject.org/wp-content/uploads/2019/03/Grading-Criminal-Record-Relief-Laws-for-Survivors-of-Human-Trafficking.pdf. </w:t>
                  </w:r>
                </w:sdtContent>
              </w:sdt>
            </w:sdtContent>
          </w:sdt>
        </w:sdtContent>
      </w:sdt>
    </w:p>
  </w:footnote>
  <w:footnote w:id="15">
    <w:p w:rsidRPr="003E07F6" w:rsidR="00140AEA" w:rsidP="00010FF6" w:rsidRDefault="00140AEA" w14:paraId="34DAE924" w14:textId="484EE48A">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Pr>
          <w:i/>
          <w:iCs/>
          <w:sz w:val="20"/>
          <w:szCs w:val="20"/>
        </w:rPr>
        <w:t>Clearing the State: Seeking Effective Remedies for C</w:t>
      </w:r>
      <w:bookmarkStart w:name="_BA_Cite_E43650_000171" w:id="35"/>
      <w:bookmarkEnd w:id="35"/>
      <w:r w:rsidRPr="003E07F6">
        <w:rPr>
          <w:i/>
          <w:iCs/>
          <w:sz w:val="20"/>
          <w:szCs w:val="20"/>
        </w:rPr>
        <w:t>riminalized Trafficking Victims</w:t>
      </w:r>
      <w:r w:rsidRPr="003E07F6">
        <w:rPr>
          <w:sz w:val="20"/>
          <w:szCs w:val="20"/>
        </w:rPr>
        <w:t>, 16, CUNY School of Law</w:t>
      </w:r>
      <w:r w:rsidRPr="003E07F6" w:rsidR="001C69F7">
        <w:rPr>
          <w:sz w:val="20"/>
          <w:szCs w:val="20"/>
        </w:rPr>
        <w:t>,</w:t>
      </w:r>
      <w:r w:rsidRPr="003E07F6">
        <w:rPr>
          <w:sz w:val="20"/>
          <w:szCs w:val="20"/>
        </w:rPr>
        <w:t xml:space="preserve"> (June 2017) https://mvlslaw.org/wp-content/uploads/2017/06/Effective-Remedies-for-Criminalized-Trafficking-Victims-CUNY-2014.pdf.</w:t>
      </w:r>
    </w:p>
  </w:footnote>
  <w:footnote w:id="16">
    <w:p w:rsidRPr="003E07F6" w:rsidR="00140AEA" w:rsidP="00010FF6" w:rsidRDefault="00140AEA" w14:paraId="16FC6D4F" w14:textId="24583DB0">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5A0215">
        <w:rPr>
          <w:i/>
          <w:iCs/>
          <w:sz w:val="20"/>
          <w:szCs w:val="20"/>
        </w:rPr>
        <w:t>I</w:t>
      </w:r>
      <w:bookmarkStart w:name="_BA_Cite_E43650_000183" w:id="36"/>
      <w:bookmarkEnd w:id="36"/>
      <w:r w:rsidRPr="003E07F6" w:rsidR="005A0215">
        <w:rPr>
          <w:i/>
          <w:iCs/>
          <w:sz w:val="20"/>
          <w:szCs w:val="20"/>
        </w:rPr>
        <w:t>d.</w:t>
      </w:r>
      <w:r w:rsidRPr="003E07F6" w:rsidR="005A0215">
        <w:rPr>
          <w:sz w:val="20"/>
          <w:szCs w:val="20"/>
        </w:rPr>
        <w:t xml:space="preserve"> at 17.</w:t>
      </w:r>
    </w:p>
  </w:footnote>
  <w:footnote w:id="17">
    <w:p w:rsidRPr="003E07F6" w:rsidR="00960792" w:rsidP="00010FF6" w:rsidRDefault="00960792" w14:paraId="173CAC06" w14:textId="7C8B6BB5">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5A0215">
        <w:rPr>
          <w:sz w:val="20"/>
          <w:szCs w:val="20"/>
        </w:rPr>
        <w:t xml:space="preserve">Marsh, Anthony, Emerson, &amp; Mogulescu, </w:t>
      </w:r>
      <w:r w:rsidRPr="003E07F6" w:rsidR="005A0215">
        <w:rPr>
          <w:i/>
          <w:iCs/>
          <w:sz w:val="20"/>
          <w:szCs w:val="20"/>
        </w:rPr>
        <w:t>supra</w:t>
      </w:r>
      <w:r w:rsidRPr="003E07F6" w:rsidR="005A0215">
        <w:rPr>
          <w:sz w:val="20"/>
          <w:szCs w:val="20"/>
        </w:rPr>
        <w:t xml:space="preserve"> at 5.</w:t>
      </w:r>
    </w:p>
  </w:footnote>
  <w:footnote w:id="18">
    <w:p w:rsidRPr="003E07F6" w:rsidR="00960792" w:rsidP="00010FF6" w:rsidRDefault="00960792" w14:paraId="0DA021F2" w14:textId="5B20FF3B">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5A0215">
        <w:rPr>
          <w:i/>
          <w:iCs/>
          <w:sz w:val="20"/>
          <w:szCs w:val="20"/>
        </w:rPr>
        <w:t>I</w:t>
      </w:r>
      <w:bookmarkStart w:name="_BA_Cite_E43650_000189" w:id="37"/>
      <w:bookmarkEnd w:id="37"/>
      <w:r w:rsidRPr="003E07F6" w:rsidR="005A0215">
        <w:rPr>
          <w:i/>
          <w:iCs/>
          <w:sz w:val="20"/>
          <w:szCs w:val="20"/>
        </w:rPr>
        <w:t>d.</w:t>
      </w:r>
      <w:r w:rsidRPr="003E07F6">
        <w:rPr>
          <w:sz w:val="20"/>
          <w:szCs w:val="20"/>
        </w:rPr>
        <w:t xml:space="preserve"> </w:t>
      </w:r>
    </w:p>
  </w:footnote>
  <w:footnote w:id="19">
    <w:p w:rsidRPr="003E07F6" w:rsidR="0077665F" w:rsidP="00010FF6" w:rsidRDefault="0077665F" w14:paraId="5F3DFCB5" w14:textId="6871B556">
      <w:pPr>
        <w:pStyle w:val="FootnoteText"/>
        <w:spacing w:after="0"/>
        <w:jc w:val="both"/>
      </w:pPr>
      <w:r w:rsidRPr="003E07F6">
        <w:rPr>
          <w:rStyle w:val="FootnoteReference"/>
          <w:sz w:val="20"/>
          <w:szCs w:val="20"/>
        </w:rPr>
        <w:footnoteRef/>
      </w:r>
      <w:r w:rsidRPr="003E07F6">
        <w:t xml:space="preserve"> </w:t>
      </w:r>
      <w:r w:rsidRPr="003E07F6" w:rsidR="005A0215">
        <w:rPr>
          <w:sz w:val="20"/>
          <w:szCs w:val="20"/>
        </w:rPr>
        <w:t xml:space="preserve">Bierria &amp; Lenz, </w:t>
      </w:r>
      <w:r w:rsidRPr="003E07F6" w:rsidR="005A0215">
        <w:rPr>
          <w:i/>
          <w:iCs/>
          <w:sz w:val="20"/>
          <w:szCs w:val="20"/>
        </w:rPr>
        <w:t xml:space="preserve">supra </w:t>
      </w:r>
      <w:r w:rsidRPr="003E07F6" w:rsidR="005A0215">
        <w:rPr>
          <w:sz w:val="20"/>
          <w:szCs w:val="20"/>
        </w:rPr>
        <w:t>at 7.</w:t>
      </w:r>
    </w:p>
  </w:footnote>
  <w:footnote w:id="20">
    <w:p w:rsidRPr="003E07F6" w:rsidR="00E750FF" w:rsidP="00BD41B1" w:rsidRDefault="00E750FF" w14:paraId="331243C9" w14:textId="1B546702">
      <w:pPr>
        <w:pStyle w:val="FootnoteText"/>
        <w:spacing w:after="0"/>
      </w:pPr>
      <w:r w:rsidRPr="003E07F6">
        <w:rPr>
          <w:rStyle w:val="FootnoteReference"/>
          <w:sz w:val="20"/>
          <w:szCs w:val="20"/>
        </w:rPr>
        <w:footnoteRef/>
      </w:r>
      <w:r w:rsidRPr="003E07F6">
        <w:rPr>
          <w:sz w:val="20"/>
          <w:szCs w:val="20"/>
        </w:rPr>
        <w:t xml:space="preserve"> </w:t>
      </w:r>
      <w:r w:rsidRPr="003E07F6">
        <w:rPr>
          <w:sz w:val="20"/>
        </w:rPr>
        <w:t xml:space="preserve">K.B. White, </w:t>
      </w:r>
      <w:r w:rsidRPr="003E07F6">
        <w:rPr>
          <w:i/>
          <w:iCs/>
          <w:sz w:val="20"/>
        </w:rPr>
        <w:t>Impact of Arrest and Conviction Histories on T</w:t>
      </w:r>
      <w:bookmarkStart w:name="_BA_Cite_E43650_000173" w:id="40"/>
      <w:bookmarkEnd w:id="40"/>
      <w:r w:rsidRPr="003E07F6">
        <w:rPr>
          <w:i/>
          <w:iCs/>
          <w:sz w:val="20"/>
        </w:rPr>
        <w:t>rafficking Survivors</w:t>
      </w:r>
      <w:r w:rsidRPr="003E07F6">
        <w:rPr>
          <w:sz w:val="20"/>
        </w:rPr>
        <w:t>, Freedom Network USA, (Dec. 6, 2021) https://freedomnetworkusa.org/2021/11/10/impact-of-arrest-and-conviction-histories-on-trafficking-survivors/.</w:t>
      </w:r>
    </w:p>
  </w:footnote>
  <w:footnote w:id="21">
    <w:p w:rsidRPr="003E07F6" w:rsidR="00A34F6E" w:rsidP="00A34F6E" w:rsidRDefault="00A34F6E" w14:paraId="110B30E9" w14:textId="77777777">
      <w:pPr>
        <w:pStyle w:val="FootnoteText"/>
        <w:spacing w:after="0"/>
        <w:rPr>
          <w:sz w:val="20"/>
          <w:szCs w:val="20"/>
        </w:rPr>
      </w:pPr>
      <w:r w:rsidRPr="003E07F6">
        <w:rPr>
          <w:rStyle w:val="FootnoteReference"/>
          <w:sz w:val="20"/>
          <w:szCs w:val="20"/>
        </w:rPr>
        <w:footnoteRef/>
      </w:r>
      <w:r w:rsidRPr="003E07F6">
        <w:rPr>
          <w:sz w:val="20"/>
          <w:szCs w:val="20"/>
        </w:rPr>
        <w:t xml:space="preserve"> </w:t>
      </w:r>
      <w:r w:rsidRPr="003E07F6">
        <w:rPr>
          <w:i/>
          <w:iCs/>
          <w:sz w:val="20"/>
        </w:rPr>
        <w:t>C</w:t>
      </w:r>
      <w:bookmarkStart w:name="_BA_Cite_E43650_000225" w:id="41"/>
      <w:bookmarkEnd w:id="41"/>
      <w:r w:rsidRPr="003E07F6">
        <w:rPr>
          <w:i/>
          <w:iCs/>
          <w:sz w:val="20"/>
        </w:rPr>
        <w:t>learing the State</w:t>
      </w:r>
      <w:r w:rsidRPr="003E07F6">
        <w:rPr>
          <w:sz w:val="20"/>
        </w:rPr>
        <w:t xml:space="preserve">, </w:t>
      </w:r>
      <w:r w:rsidRPr="003E07F6">
        <w:rPr>
          <w:i/>
          <w:iCs/>
          <w:sz w:val="20"/>
        </w:rPr>
        <w:t xml:space="preserve">supra </w:t>
      </w:r>
      <w:r w:rsidRPr="003E07F6">
        <w:rPr>
          <w:sz w:val="20"/>
        </w:rPr>
        <w:t>at 25 (In an interview, a trafficking survivor recounted:</w:t>
      </w:r>
    </w:p>
    <w:p w:rsidRPr="003E07F6" w:rsidR="00A34F6E" w:rsidP="00BD41B1" w:rsidRDefault="00A34F6E" w14:paraId="45F046D8" w14:textId="0A2C2FB3">
      <w:pPr>
        <w:pStyle w:val="FootnoteText"/>
        <w:spacing w:after="0"/>
        <w:ind w:left="1440" w:firstLine="0"/>
        <w:rPr>
          <w:sz w:val="20"/>
        </w:rPr>
      </w:pPr>
      <w:r w:rsidRPr="003E07F6">
        <w:rPr>
          <w:sz w:val="20"/>
        </w:rPr>
        <w:t>“My experience and my criminal record affect me emotionally as well. I have many nightmares. Sometimes, I dream about passing by the house where [my trafficker] held me captive. Other times, I fear that the police are coming to arrest me. …This is the burden I have carried around every day, marking me that I was in this type of work.”).</w:t>
      </w:r>
    </w:p>
  </w:footnote>
  <w:footnote w:id="22">
    <w:p w:rsidRPr="003E07F6" w:rsidR="00A34F6E" w:rsidP="00BD41B1" w:rsidRDefault="00A34F6E" w14:paraId="32ADF497" w14:textId="1833ED0B">
      <w:pPr>
        <w:pStyle w:val="FootnoteText"/>
        <w:spacing w:after="0"/>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90" w:id="42"/>
      <w:bookmarkEnd w:id="42"/>
      <w:r w:rsidRPr="003E07F6">
        <w:rPr>
          <w:i/>
          <w:iCs/>
          <w:sz w:val="20"/>
          <w:szCs w:val="20"/>
        </w:rPr>
        <w:t>d.</w:t>
      </w:r>
      <w:r w:rsidRPr="003E07F6">
        <w:rPr>
          <w:sz w:val="20"/>
          <w:szCs w:val="20"/>
        </w:rPr>
        <w:t xml:space="preserve"> (Another survivor stated, “I began to get incredibly depressed and felt almost as stuck as I did when I was [being trafficked].”).</w:t>
      </w:r>
    </w:p>
  </w:footnote>
  <w:footnote w:id="23">
    <w:p w:rsidRPr="003E07F6" w:rsidR="00D35E1D" w:rsidP="00BD41B1" w:rsidRDefault="00D35E1D" w14:paraId="28711AC4" w14:textId="0CE44445">
      <w:pPr>
        <w:pStyle w:val="FootnoteText"/>
        <w:spacing w:after="0"/>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84" w:id="43"/>
      <w:bookmarkEnd w:id="43"/>
      <w:r w:rsidRPr="003E07F6">
        <w:rPr>
          <w:i/>
          <w:iCs/>
          <w:sz w:val="20"/>
          <w:szCs w:val="20"/>
        </w:rPr>
        <w:t>d.</w:t>
      </w:r>
      <w:r w:rsidRPr="003E07F6">
        <w:rPr>
          <w:sz w:val="20"/>
          <w:szCs w:val="20"/>
        </w:rPr>
        <w:t xml:space="preserve"> at 21.</w:t>
      </w:r>
    </w:p>
  </w:footnote>
  <w:footnote w:id="24">
    <w:p w:rsidRPr="003E07F6" w:rsidR="00D35E1D" w:rsidP="00BD41B1" w:rsidRDefault="00D35E1D" w14:paraId="2CEB9E11" w14:textId="7C0619F5">
      <w:pPr>
        <w:pStyle w:val="FootnoteText"/>
        <w:spacing w:after="0"/>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85" w:id="44"/>
      <w:bookmarkEnd w:id="44"/>
      <w:r w:rsidRPr="003E07F6">
        <w:rPr>
          <w:i/>
          <w:iCs/>
          <w:sz w:val="20"/>
          <w:szCs w:val="20"/>
        </w:rPr>
        <w:t xml:space="preserve">d. </w:t>
      </w:r>
      <w:r w:rsidRPr="003E07F6">
        <w:rPr>
          <w:sz w:val="20"/>
          <w:szCs w:val="20"/>
        </w:rPr>
        <w:t>at 25 (One survivor explained, “I always felt like a criminal. I never felt like a victim at all. Victims don’t do time in jail, they work on the healing process. I was a criminal because I spent time in jail.”).</w:t>
      </w:r>
    </w:p>
  </w:footnote>
  <w:footnote w:id="25">
    <w:p w:rsidRPr="003E07F6" w:rsidR="00D35E1D" w:rsidP="00BD41B1" w:rsidRDefault="00D35E1D" w14:paraId="411087C7" w14:textId="7EC0E4E8">
      <w:pPr>
        <w:pStyle w:val="FootnoteText"/>
        <w:spacing w:after="0"/>
        <w:rPr>
          <w:i/>
          <w:iCs/>
        </w:rPr>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91" w:id="45"/>
      <w:bookmarkEnd w:id="45"/>
      <w:r w:rsidRPr="003E07F6">
        <w:rPr>
          <w:i/>
          <w:iCs/>
          <w:sz w:val="20"/>
          <w:szCs w:val="20"/>
        </w:rPr>
        <w:t>d.</w:t>
      </w:r>
    </w:p>
  </w:footnote>
  <w:footnote w:id="26">
    <w:p w:rsidRPr="003E07F6" w:rsidR="00D35E1D" w:rsidP="00BD41B1" w:rsidRDefault="00D35E1D" w14:paraId="16C6B9D0" w14:textId="340D8080">
      <w:pPr>
        <w:pStyle w:val="FootnoteText"/>
        <w:spacing w:after="0"/>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86" w:id="46"/>
      <w:bookmarkEnd w:id="46"/>
      <w:r w:rsidRPr="003E07F6">
        <w:rPr>
          <w:i/>
          <w:iCs/>
          <w:sz w:val="20"/>
          <w:szCs w:val="20"/>
        </w:rPr>
        <w:t xml:space="preserve">d. </w:t>
      </w:r>
      <w:r w:rsidRPr="003E07F6">
        <w:rPr>
          <w:sz w:val="20"/>
          <w:szCs w:val="20"/>
        </w:rPr>
        <w:t>at 43.</w:t>
      </w:r>
    </w:p>
  </w:footnote>
  <w:footnote w:id="27">
    <w:p w:rsidRPr="003E07F6" w:rsidR="00960792" w:rsidP="00010FF6" w:rsidRDefault="00960792" w14:paraId="2EF941AE" w14:textId="77777777">
      <w:pPr>
        <w:pStyle w:val="FootnoteText"/>
        <w:spacing w:after="0"/>
        <w:jc w:val="both"/>
        <w:rPr>
          <w:sz w:val="20"/>
          <w:szCs w:val="20"/>
        </w:rPr>
      </w:pPr>
      <w:r w:rsidRPr="003E07F6">
        <w:rPr>
          <w:rStyle w:val="FootnoteReference"/>
          <w:sz w:val="20"/>
          <w:szCs w:val="20"/>
        </w:rPr>
        <w:footnoteRef/>
      </w:r>
      <w:r w:rsidRPr="003E07F6">
        <w:rPr>
          <w:sz w:val="20"/>
          <w:szCs w:val="20"/>
        </w:rPr>
        <w:t xml:space="preserve"> A</w:t>
      </w:r>
      <w:bookmarkStart w:name="_BA_Cite_E43650_000153" w:id="48"/>
      <w:bookmarkEnd w:id="48"/>
      <w:r w:rsidRPr="003E07F6">
        <w:rPr>
          <w:sz w:val="20"/>
          <w:szCs w:val="20"/>
        </w:rPr>
        <w:t>merican Bar Association Commission on I</w:t>
      </w:r>
      <w:bookmarkStart w:name="_BA_Cite_E43650_000227" w:id="49"/>
      <w:bookmarkEnd w:id="49"/>
      <w:r w:rsidRPr="003E07F6">
        <w:rPr>
          <w:sz w:val="20"/>
          <w:szCs w:val="20"/>
        </w:rPr>
        <w:t xml:space="preserve">mmigration, </w:t>
      </w:r>
      <w:r w:rsidRPr="003E07F6">
        <w:rPr>
          <w:i/>
          <w:iCs/>
          <w:sz w:val="20"/>
          <w:szCs w:val="20"/>
        </w:rPr>
        <w:t>Reforming the Immigration System: Proposals to Promote Independence, Fairness, Efficiency, and Professionalism in the Adjudication of Removal Cases</w:t>
      </w:r>
      <w:r w:rsidRPr="003E07F6">
        <w:rPr>
          <w:sz w:val="20"/>
          <w:szCs w:val="20"/>
        </w:rPr>
        <w:t xml:space="preserve"> 5-8 (2010) (noting that most immigrants go unrepresented in removal proceedings).</w:t>
      </w:r>
    </w:p>
  </w:footnote>
  <w:footnote w:id="28">
    <w:p w:rsidRPr="003E07F6" w:rsidR="0055657F" w:rsidP="00010FF6" w:rsidRDefault="0055657F" w14:paraId="5A28F5A3" w14:textId="7CA05F40">
      <w:pPr>
        <w:pStyle w:val="FootnoteText"/>
        <w:spacing w:after="0"/>
        <w:jc w:val="both"/>
        <w:rPr>
          <w:sz w:val="20"/>
          <w:szCs w:val="20"/>
        </w:rPr>
      </w:pPr>
      <w:r w:rsidRPr="003E07F6">
        <w:rPr>
          <w:rStyle w:val="FootnoteReference"/>
          <w:sz w:val="20"/>
          <w:szCs w:val="20"/>
        </w:rPr>
        <w:footnoteRef/>
      </w:r>
      <w:r w:rsidRPr="003E07F6">
        <w:rPr>
          <w:sz w:val="20"/>
          <w:szCs w:val="20"/>
        </w:rPr>
        <w:t xml:space="preserve"> I</w:t>
      </w:r>
      <w:bookmarkStart w:name="_BA_Cite_E43650_000051" w:id="61"/>
      <w:bookmarkEnd w:id="61"/>
      <w:r w:rsidRPr="003E07F6">
        <w:rPr>
          <w:sz w:val="20"/>
          <w:szCs w:val="20"/>
        </w:rPr>
        <w:t>mmigration Act of 1990. 8</w:t>
      </w:r>
      <w:bookmarkStart w:name="_BA_Cite_E43650_000053" w:id="62"/>
      <w:bookmarkEnd w:id="62"/>
      <w:r w:rsidRPr="003E07F6">
        <w:rPr>
          <w:sz w:val="20"/>
          <w:szCs w:val="20"/>
        </w:rPr>
        <w:t xml:space="preserve"> U.S.C. §1186a(c)(4).</w:t>
      </w:r>
    </w:p>
  </w:footnote>
  <w:footnote w:id="29">
    <w:p w:rsidRPr="003E07F6" w:rsidR="00960792" w:rsidP="00070DF1" w:rsidRDefault="00960792" w14:paraId="25AA3F8B" w14:textId="62D1A1E2">
      <w:pPr>
        <w:ind w:firstLine="720"/>
        <w:jc w:val="both"/>
        <w:rPr>
          <w:sz w:val="20"/>
        </w:rPr>
      </w:pPr>
      <w:r w:rsidRPr="003E07F6">
        <w:rPr>
          <w:rStyle w:val="FootnoteReference"/>
          <w:sz w:val="20"/>
        </w:rPr>
        <w:footnoteRef/>
      </w:r>
      <w:r w:rsidRPr="003E07F6">
        <w:rPr>
          <w:sz w:val="20"/>
        </w:rPr>
        <w:t xml:space="preserve"> </w:t>
      </w:r>
      <w:r w:rsidRPr="003E07F6" w:rsidR="001C69F7">
        <w:rPr>
          <w:sz w:val="20"/>
        </w:rPr>
        <w:t>R</w:t>
      </w:r>
      <w:bookmarkStart w:name="_BA_Cite_E43650_000019" w:id="63"/>
      <w:bookmarkEnd w:id="63"/>
      <w:r w:rsidRPr="003E07F6" w:rsidR="001C69F7">
        <w:rPr>
          <w:sz w:val="20"/>
        </w:rPr>
        <w:t>epresentatives Family Unity and Employment Opportunity Immigration Act, 136 Cong. Rec. H8642 (Oct. 2, 1990) (Statement of Rep. Slaughter).</w:t>
      </w:r>
    </w:p>
  </w:footnote>
  <w:footnote w:id="30">
    <w:p w:rsidRPr="003E07F6" w:rsidR="00960792" w:rsidP="00010FF6" w:rsidRDefault="00960792" w14:paraId="0F54764A" w14:textId="256B96D7">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D16AD2">
        <w:rPr>
          <w:i/>
          <w:iCs/>
          <w:sz w:val="20"/>
          <w:szCs w:val="20"/>
        </w:rPr>
        <w:t>See</w:t>
      </w:r>
      <w:r w:rsidRPr="003E07F6" w:rsidR="00D16AD2">
        <w:rPr>
          <w:sz w:val="20"/>
          <w:szCs w:val="20"/>
        </w:rPr>
        <w:t xml:space="preserve"> Ivie et al., </w:t>
      </w:r>
      <w:r w:rsidRPr="003E07F6" w:rsidR="00D16AD2">
        <w:rPr>
          <w:i/>
          <w:iCs/>
          <w:sz w:val="20"/>
          <w:szCs w:val="20"/>
        </w:rPr>
        <w:t>Overcoming Fear and Building Trust with I</w:t>
      </w:r>
      <w:bookmarkStart w:name="_BA_Cite_E43650_000175" w:id="66"/>
      <w:bookmarkEnd w:id="66"/>
      <w:r w:rsidRPr="003E07F6" w:rsidR="00D16AD2">
        <w:rPr>
          <w:i/>
          <w:iCs/>
          <w:sz w:val="20"/>
          <w:szCs w:val="20"/>
        </w:rPr>
        <w:t>mmigrant Communities and Crime Victims</w:t>
      </w:r>
      <w:r w:rsidRPr="003E07F6" w:rsidR="00D16AD2">
        <w:rPr>
          <w:sz w:val="20"/>
          <w:szCs w:val="20"/>
        </w:rPr>
        <w:t>, 85 THE POLICE CHIEF 4, 34–36 (Apr. 2018), http://library.niwap.org/wp-content/uploads/PoliceChief_April-2018_Building-Trust-With-Immigrant-Victims.pdf.</w:t>
      </w:r>
    </w:p>
  </w:footnote>
  <w:footnote w:id="31">
    <w:p w:rsidRPr="003E07F6" w:rsidR="00960792" w:rsidP="00010FF6" w:rsidRDefault="00960792" w14:paraId="364AB09A" w14:textId="78907720">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87" w:id="67"/>
      <w:bookmarkEnd w:id="67"/>
      <w:r w:rsidRPr="003E07F6">
        <w:rPr>
          <w:i/>
          <w:iCs/>
          <w:sz w:val="20"/>
          <w:szCs w:val="20"/>
        </w:rPr>
        <w:t>d</w:t>
      </w:r>
      <w:r w:rsidRPr="003E07F6" w:rsidR="00950595">
        <w:rPr>
          <w:sz w:val="20"/>
          <w:szCs w:val="20"/>
        </w:rPr>
        <w:t>.</w:t>
      </w:r>
      <w:r w:rsidRPr="003E07F6">
        <w:rPr>
          <w:sz w:val="20"/>
          <w:szCs w:val="20"/>
        </w:rPr>
        <w:t xml:space="preserve"> at 34.</w:t>
      </w:r>
    </w:p>
  </w:footnote>
  <w:footnote w:id="32">
    <w:p w:rsidRPr="003E07F6" w:rsidR="00960792" w:rsidP="00010FF6" w:rsidRDefault="00960792" w14:paraId="6A65D4DE" w14:textId="0C1D0CD8">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1C69F7">
        <w:rPr>
          <w:i/>
          <w:iCs/>
          <w:sz w:val="20"/>
          <w:szCs w:val="20"/>
        </w:rPr>
        <w:t>See</w:t>
      </w:r>
      <w:r w:rsidRPr="003E07F6" w:rsidR="001C69F7">
        <w:rPr>
          <w:sz w:val="20"/>
          <w:szCs w:val="20"/>
        </w:rPr>
        <w:t xml:space="preserve"> 8</w:t>
      </w:r>
      <w:bookmarkStart w:name="_BA_Cite_E43650_000055" w:id="70"/>
      <w:bookmarkEnd w:id="70"/>
      <w:r w:rsidRPr="003E07F6" w:rsidR="001C69F7">
        <w:rPr>
          <w:sz w:val="20"/>
          <w:szCs w:val="20"/>
        </w:rPr>
        <w:t xml:space="preserve"> U.S.C. §§ 1154(a)(1)(A)(ii), 1154(a)(1)(B)(ii); Castillo et al., </w:t>
      </w:r>
      <w:r w:rsidRPr="003E07F6" w:rsidR="001C69F7">
        <w:rPr>
          <w:i/>
          <w:iCs/>
          <w:sz w:val="20"/>
          <w:szCs w:val="20"/>
        </w:rPr>
        <w:t>Legislative History of V</w:t>
      </w:r>
      <w:bookmarkStart w:name="_BA_Cite_E43650_000203" w:id="71"/>
      <w:bookmarkEnd w:id="71"/>
      <w:r w:rsidRPr="003E07F6" w:rsidR="001C69F7">
        <w:rPr>
          <w:i/>
          <w:iCs/>
          <w:sz w:val="20"/>
          <w:szCs w:val="20"/>
        </w:rPr>
        <w:t>AWA (94, 00, 05), T</w:t>
      </w:r>
      <w:bookmarkStart w:name="_BA_Cite_E43650_000177" w:id="72"/>
      <w:bookmarkEnd w:id="72"/>
      <w:r w:rsidRPr="003E07F6" w:rsidR="001C69F7">
        <w:rPr>
          <w:i/>
          <w:iCs/>
          <w:sz w:val="20"/>
          <w:szCs w:val="20"/>
        </w:rPr>
        <w:t xml:space="preserve"> and U-Visas, Battered Spouse Waiver, and VAWA Confidentiality</w:t>
      </w:r>
      <w:r w:rsidRPr="003E07F6" w:rsidR="001C69F7">
        <w:rPr>
          <w:sz w:val="20"/>
          <w:szCs w:val="20"/>
        </w:rPr>
        <w:t>, Nat’l Immigrant Women’s Advocacy Project (June 17, 2015), https://niwaplibrary.wcl.american.edu/pubs/vawa_leg-history_final-6-17-15-sji.</w:t>
      </w:r>
    </w:p>
  </w:footnote>
  <w:footnote w:id="33">
    <w:p w:rsidRPr="003E07F6" w:rsidR="00960792" w:rsidP="00010FF6" w:rsidRDefault="00960792" w14:paraId="5FA42914" w14:textId="77777777">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bookmarkStart w:name="_Hlk101201799" w:id="74"/>
      <w:r w:rsidRPr="003E07F6">
        <w:rPr>
          <w:sz w:val="20"/>
          <w:szCs w:val="20"/>
        </w:rPr>
        <w:t>V</w:t>
      </w:r>
      <w:bookmarkStart w:name="_BA_Cite_E43650_000029" w:id="75"/>
      <w:bookmarkEnd w:id="75"/>
      <w:r w:rsidRPr="003E07F6">
        <w:rPr>
          <w:sz w:val="20"/>
          <w:szCs w:val="20"/>
        </w:rPr>
        <w:t>ictims of Trafficking and Violence Prevention Act of 2000</w:t>
      </w:r>
      <w:bookmarkEnd w:id="74"/>
      <w:r w:rsidRPr="003E07F6">
        <w:rPr>
          <w:sz w:val="20"/>
          <w:szCs w:val="20"/>
        </w:rPr>
        <w:t>, Pub. L. No.  106–386, 114 Stat. 1464–1548 (Oct. 28, 2000).</w:t>
      </w:r>
    </w:p>
  </w:footnote>
  <w:footnote w:id="34">
    <w:p w:rsidRPr="003E07F6" w:rsidR="00960792" w:rsidP="00010FF6" w:rsidRDefault="00960792" w14:paraId="37C8DBB4" w14:textId="7E3979CF">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8C5A35">
        <w:rPr>
          <w:i/>
          <w:iCs/>
          <w:sz w:val="20"/>
          <w:szCs w:val="20"/>
        </w:rPr>
        <w:t>See</w:t>
      </w:r>
      <w:r w:rsidRPr="003E07F6" w:rsidR="008C5A35">
        <w:rPr>
          <w:sz w:val="20"/>
          <w:szCs w:val="20"/>
        </w:rPr>
        <w:t xml:space="preserve"> 8</w:t>
      </w:r>
      <w:bookmarkStart w:name="_BA_Cite_E43650_000059" w:id="76"/>
      <w:bookmarkEnd w:id="76"/>
      <w:r w:rsidRPr="003E07F6" w:rsidR="008C5A35">
        <w:rPr>
          <w:sz w:val="20"/>
          <w:szCs w:val="20"/>
        </w:rPr>
        <w:t xml:space="preserve"> U.S.C. §§ 1101(a)(15)(T)–1101(a)(15)(U).</w:t>
      </w:r>
    </w:p>
  </w:footnote>
  <w:footnote w:id="35">
    <w:p w:rsidRPr="003E07F6" w:rsidR="00960792" w:rsidP="00010FF6" w:rsidRDefault="00960792" w14:paraId="2FA15066" w14:textId="7E02F35B">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8C5A35">
        <w:rPr>
          <w:i/>
          <w:iCs/>
          <w:sz w:val="20"/>
          <w:szCs w:val="20"/>
        </w:rPr>
        <w:t>See</w:t>
      </w:r>
      <w:r w:rsidRPr="003E07F6" w:rsidR="008C5A35">
        <w:rPr>
          <w:sz w:val="20"/>
          <w:szCs w:val="20"/>
        </w:rPr>
        <w:t xml:space="preserve"> 8</w:t>
      </w:r>
      <w:bookmarkStart w:name="_BA_Cite_E43650_000061" w:id="77"/>
      <w:bookmarkEnd w:id="77"/>
      <w:r w:rsidRPr="003E07F6" w:rsidR="008C5A35">
        <w:rPr>
          <w:sz w:val="20"/>
          <w:szCs w:val="20"/>
        </w:rPr>
        <w:t xml:space="preserve"> U.S.C. § 1101(a)(15)(U)(iii).</w:t>
      </w:r>
    </w:p>
  </w:footnote>
  <w:footnote w:id="36">
    <w:p w:rsidRPr="003E07F6" w:rsidR="00960792" w:rsidP="00010FF6" w:rsidRDefault="00960792" w14:paraId="5A9621E2" w14:textId="77777777">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92" w:id="78"/>
      <w:bookmarkEnd w:id="78"/>
      <w:r w:rsidRPr="003E07F6">
        <w:rPr>
          <w:i/>
          <w:iCs/>
          <w:sz w:val="20"/>
          <w:szCs w:val="20"/>
        </w:rPr>
        <w:t>d.</w:t>
      </w:r>
    </w:p>
  </w:footnote>
  <w:footnote w:id="37">
    <w:p w:rsidRPr="003E07F6" w:rsidR="00D840F5" w:rsidP="00010FF6" w:rsidRDefault="00D840F5" w14:paraId="43AD7E67" w14:textId="77777777">
      <w:pPr>
        <w:pStyle w:val="FootnoteText"/>
        <w:spacing w:after="0"/>
        <w:jc w:val="both"/>
        <w:rPr>
          <w:sz w:val="20"/>
          <w:szCs w:val="20"/>
        </w:rPr>
      </w:pPr>
      <w:r w:rsidRPr="003E07F6">
        <w:rPr>
          <w:rStyle w:val="FootnoteReference"/>
          <w:sz w:val="20"/>
          <w:szCs w:val="20"/>
        </w:rPr>
        <w:footnoteRef/>
      </w:r>
      <w:r w:rsidRPr="003E07F6">
        <w:rPr>
          <w:sz w:val="20"/>
          <w:szCs w:val="20"/>
        </w:rPr>
        <w:t xml:space="preserve"> P</w:t>
      </w:r>
      <w:bookmarkStart w:name="_BA_Cite_E43650_000065" w:id="80"/>
      <w:bookmarkEnd w:id="80"/>
      <w:r w:rsidRPr="003E07F6">
        <w:rPr>
          <w:sz w:val="20"/>
          <w:szCs w:val="20"/>
        </w:rPr>
        <w:t>ub. L. No.  106–386, 114 Stat. 1464–1548 (Oct. 28, 2000).</w:t>
      </w:r>
    </w:p>
  </w:footnote>
  <w:footnote w:id="38">
    <w:p w:rsidRPr="003E07F6" w:rsidR="00960792" w:rsidP="00010FF6" w:rsidRDefault="00960792" w14:paraId="4C9ECA38" w14:textId="77777777">
      <w:pPr>
        <w:pStyle w:val="FootnoteText"/>
        <w:spacing w:after="0"/>
        <w:jc w:val="both"/>
        <w:rPr>
          <w:sz w:val="20"/>
          <w:szCs w:val="20"/>
        </w:rPr>
      </w:pPr>
      <w:r w:rsidRPr="003E07F6">
        <w:rPr>
          <w:rStyle w:val="FootnoteReference"/>
          <w:sz w:val="20"/>
          <w:szCs w:val="20"/>
        </w:rPr>
        <w:footnoteRef/>
      </w:r>
      <w:r w:rsidRPr="003E07F6">
        <w:rPr>
          <w:sz w:val="20"/>
          <w:szCs w:val="20"/>
        </w:rPr>
        <w:t xml:space="preserve"> V</w:t>
      </w:r>
      <w:bookmarkStart w:name="_BA_Cite_E43650_000031" w:id="82"/>
      <w:bookmarkEnd w:id="82"/>
      <w:r w:rsidRPr="003E07F6">
        <w:rPr>
          <w:sz w:val="20"/>
          <w:szCs w:val="20"/>
        </w:rPr>
        <w:t>iolence Against Women Reauthorization Act of 2013, Pub. L. No. 113-4, 127 Stat. 54 (codified in scattered sections of 4</w:t>
      </w:r>
      <w:bookmarkStart w:name="_BA_Cite_E43650_000067" w:id="83"/>
      <w:bookmarkEnd w:id="83"/>
      <w:r w:rsidRPr="003E07F6">
        <w:rPr>
          <w:sz w:val="20"/>
          <w:szCs w:val="20"/>
        </w:rPr>
        <w:t>2 U.S.C.).</w:t>
      </w:r>
    </w:p>
  </w:footnote>
  <w:footnote w:id="39">
    <w:p w:rsidRPr="003E07F6" w:rsidR="00C22595" w:rsidP="00BD41B1" w:rsidRDefault="00C22595" w14:paraId="5CD742C2" w14:textId="510A30F8">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8C5A35">
        <w:rPr>
          <w:sz w:val="20"/>
          <w:szCs w:val="20"/>
        </w:rPr>
        <w:t>P</w:t>
      </w:r>
      <w:bookmarkStart w:name="_BA_Cite_E43650_000069" w:id="85"/>
      <w:bookmarkEnd w:id="85"/>
      <w:r w:rsidRPr="003E07F6" w:rsidR="008C5A35">
        <w:rPr>
          <w:sz w:val="20"/>
          <w:szCs w:val="20"/>
        </w:rPr>
        <w:t>ub. L. 106–386, div. B, tit. V, § 1506(c)(2), Oct. 28, 2000, 114 Stat. 1528 , as amended by P</w:t>
      </w:r>
      <w:bookmarkStart w:name="_BA_Cite_E43650_000071" w:id="86"/>
      <w:bookmarkEnd w:id="86"/>
      <w:r w:rsidRPr="003E07F6" w:rsidR="008C5A35">
        <w:rPr>
          <w:sz w:val="20"/>
          <w:szCs w:val="20"/>
        </w:rPr>
        <w:t>ub. L. 109–162, title VIII, §§814(a), 825(b), Jan. 5, 2006, 119 Stat. 3058 , 3064.</w:t>
      </w:r>
    </w:p>
  </w:footnote>
  <w:footnote w:id="40">
    <w:p w:rsidRPr="003E07F6" w:rsidR="00E21D87" w:rsidP="00BD41B1" w:rsidRDefault="00E21D87" w14:paraId="43AF7080" w14:textId="1550F0FD">
      <w:pPr>
        <w:pStyle w:val="FootnoteText"/>
        <w:spacing w:after="0"/>
        <w:jc w:val="both"/>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93" w:id="88"/>
      <w:bookmarkEnd w:id="88"/>
      <w:r w:rsidRPr="003E07F6">
        <w:rPr>
          <w:i/>
          <w:iCs/>
          <w:sz w:val="20"/>
          <w:szCs w:val="20"/>
        </w:rPr>
        <w:t>d.</w:t>
      </w:r>
    </w:p>
  </w:footnote>
  <w:footnote w:id="41">
    <w:p w:rsidRPr="003E07F6" w:rsidR="001F65CB" w:rsidP="00BD41B1" w:rsidRDefault="001F65CB" w14:paraId="002C3652" w14:textId="6D590FEB">
      <w:pPr>
        <w:pStyle w:val="FootnoteText"/>
        <w:spacing w:after="0"/>
        <w:jc w:val="both"/>
      </w:pPr>
      <w:r w:rsidRPr="003E07F6">
        <w:rPr>
          <w:rStyle w:val="FootnoteReference"/>
          <w:sz w:val="20"/>
          <w:szCs w:val="20"/>
        </w:rPr>
        <w:footnoteRef/>
      </w:r>
      <w:r w:rsidRPr="003E07F6">
        <w:rPr>
          <w:sz w:val="20"/>
          <w:szCs w:val="20"/>
        </w:rPr>
        <w:t xml:space="preserve"> 8</w:t>
      </w:r>
      <w:bookmarkStart w:name="_BA_Cite_E43650_000017" w:id="90"/>
      <w:bookmarkEnd w:id="90"/>
      <w:r w:rsidRPr="003E07F6">
        <w:rPr>
          <w:sz w:val="20"/>
          <w:szCs w:val="20"/>
        </w:rPr>
        <w:t xml:space="preserve"> C.F.R. § 1003.23(b)(4)(ii)</w:t>
      </w:r>
      <w:r w:rsidRPr="003E07F6" w:rsidR="007E3827">
        <w:rPr>
          <w:sz w:val="20"/>
          <w:szCs w:val="20"/>
        </w:rPr>
        <w:t>.</w:t>
      </w:r>
    </w:p>
  </w:footnote>
  <w:footnote w:id="42">
    <w:p w:rsidRPr="003E07F6" w:rsidR="001F65CB" w:rsidP="00BD41B1" w:rsidRDefault="001F65CB" w14:paraId="64C9A84E" w14:textId="5B1C3793">
      <w:pPr>
        <w:pStyle w:val="FootnoteText"/>
        <w:spacing w:after="0"/>
        <w:jc w:val="both"/>
      </w:pPr>
      <w:r w:rsidRPr="003E07F6">
        <w:rPr>
          <w:rStyle w:val="FootnoteReference"/>
          <w:sz w:val="20"/>
          <w:szCs w:val="20"/>
        </w:rPr>
        <w:footnoteRef/>
      </w:r>
      <w:r w:rsidRPr="003E07F6">
        <w:rPr>
          <w:sz w:val="20"/>
          <w:szCs w:val="20"/>
        </w:rPr>
        <w:t xml:space="preserve"> </w:t>
      </w:r>
      <w:r w:rsidRPr="003E07F6">
        <w:rPr>
          <w:i/>
          <w:iCs/>
          <w:sz w:val="20"/>
          <w:szCs w:val="20"/>
        </w:rPr>
        <w:t>I</w:t>
      </w:r>
      <w:bookmarkStart w:name="_BA_Cite_E43650_000194" w:id="91"/>
      <w:bookmarkEnd w:id="91"/>
      <w:r w:rsidRPr="003E07F6">
        <w:rPr>
          <w:i/>
          <w:iCs/>
          <w:sz w:val="20"/>
          <w:szCs w:val="20"/>
        </w:rPr>
        <w:t>d.</w:t>
      </w:r>
    </w:p>
  </w:footnote>
  <w:footnote w:id="43">
    <w:p w:rsidRPr="003E07F6" w:rsidR="00960792" w:rsidP="00010FF6" w:rsidRDefault="00960792" w14:paraId="02C0AE80" w14:textId="1D41DF2C">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1C69F7">
        <w:rPr>
          <w:sz w:val="20"/>
          <w:szCs w:val="20"/>
        </w:rPr>
        <w:t>U</w:t>
      </w:r>
      <w:bookmarkStart w:name="_BA_Cite_E43650_000159" w:id="92"/>
      <w:bookmarkEnd w:id="92"/>
      <w:r w:rsidRPr="003E07F6" w:rsidR="001C69F7">
        <w:rPr>
          <w:sz w:val="20"/>
          <w:szCs w:val="20"/>
        </w:rPr>
        <w:t xml:space="preserve">.S. Immigration and Customs Enforcement, </w:t>
      </w:r>
      <w:r w:rsidRPr="003E07F6" w:rsidR="001C69F7">
        <w:rPr>
          <w:i/>
          <w:iCs/>
          <w:sz w:val="20"/>
          <w:szCs w:val="20"/>
        </w:rPr>
        <w:t>Prosecutorial Discretion: Certain Victims, Witnesses, and Plaintiffs</w:t>
      </w:r>
      <w:r w:rsidRPr="003E07F6" w:rsidR="001C69F7">
        <w:rPr>
          <w:sz w:val="20"/>
          <w:szCs w:val="20"/>
        </w:rPr>
        <w:t xml:space="preserve"> (June. 17, 2011), https://www.ice.gov/doclib/foia/prosecutorial-discretion/certain-victims-witnesses-plaintiffs.pdf.</w:t>
      </w:r>
    </w:p>
  </w:footnote>
  <w:footnote w:id="44">
    <w:p w:rsidRPr="003E07F6" w:rsidR="00960792" w:rsidP="00010FF6" w:rsidRDefault="00960792" w14:paraId="05E44B22" w14:textId="01AE0526">
      <w:pPr>
        <w:pStyle w:val="FootnoteText"/>
        <w:spacing w:after="0"/>
        <w:jc w:val="both"/>
        <w:rPr>
          <w:sz w:val="20"/>
          <w:szCs w:val="20"/>
        </w:rPr>
      </w:pPr>
      <w:r w:rsidRPr="003E07F6">
        <w:rPr>
          <w:rStyle w:val="FootnoteReference"/>
          <w:sz w:val="20"/>
          <w:szCs w:val="20"/>
        </w:rPr>
        <w:footnoteRef/>
      </w:r>
      <w:r w:rsidRPr="003E07F6" w:rsidR="007E3827">
        <w:rPr>
          <w:sz w:val="20"/>
          <w:szCs w:val="20"/>
        </w:rPr>
        <w:t xml:space="preserve"> C</w:t>
      </w:r>
      <w:bookmarkStart w:name="_BA_Cite_E43650_000316" w:id="95"/>
      <w:bookmarkEnd w:id="95"/>
      <w:r w:rsidRPr="003E07F6" w:rsidR="007E3827">
        <w:rPr>
          <w:sz w:val="20"/>
          <w:szCs w:val="20"/>
        </w:rPr>
        <w:t xml:space="preserve">oppedge, </w:t>
      </w:r>
      <w:r w:rsidRPr="003E07F6" w:rsidR="007E3827">
        <w:rPr>
          <w:i/>
          <w:iCs/>
          <w:sz w:val="20"/>
          <w:szCs w:val="20"/>
        </w:rPr>
        <w:t>Stop Criminalizing the Victims</w:t>
      </w:r>
      <w:r w:rsidRPr="003E07F6" w:rsidR="007E3827">
        <w:rPr>
          <w:sz w:val="20"/>
          <w:szCs w:val="20"/>
        </w:rPr>
        <w:t>, CNN (Mar. 17, 2016) https://www.cnn.com/2016/03/17/opinions/coppedge-freedom-project-new-lives/index.html?eref=rss_latest.</w:t>
      </w:r>
    </w:p>
  </w:footnote>
  <w:footnote w:id="45">
    <w:p w:rsidRPr="003E07F6" w:rsidR="003F2ABE" w:rsidP="00010FF6" w:rsidRDefault="003F2ABE" w14:paraId="22E9E941" w14:textId="345BD905">
      <w:pPr>
        <w:pStyle w:val="FootnoteText"/>
        <w:spacing w:after="0"/>
        <w:jc w:val="both"/>
      </w:pPr>
      <w:r w:rsidRPr="003E07F6">
        <w:rPr>
          <w:rStyle w:val="FootnoteReference"/>
          <w:sz w:val="20"/>
          <w:szCs w:val="20"/>
        </w:rPr>
        <w:footnoteRef/>
      </w:r>
      <w:r w:rsidRPr="003E07F6">
        <w:rPr>
          <w:sz w:val="20"/>
          <w:szCs w:val="20"/>
        </w:rPr>
        <w:t xml:space="preserve"> </w:t>
      </w:r>
      <w:r w:rsidRPr="003E07F6" w:rsidR="001C69F7">
        <w:rPr>
          <w:sz w:val="20"/>
          <w:szCs w:val="20"/>
        </w:rPr>
        <w:t>R</w:t>
      </w:r>
      <w:bookmarkStart w:name="_BA_Cite_E43650_000151" w:id="96"/>
      <w:bookmarkEnd w:id="96"/>
      <w:r w:rsidRPr="003E07F6" w:rsidR="001C69F7">
        <w:rPr>
          <w:sz w:val="20"/>
          <w:szCs w:val="20"/>
        </w:rPr>
        <w:t xml:space="preserve">ichert, </w:t>
      </w:r>
      <w:r w:rsidRPr="003E07F6" w:rsidR="001C69F7">
        <w:rPr>
          <w:i/>
          <w:iCs/>
          <w:sz w:val="20"/>
          <w:szCs w:val="20"/>
        </w:rPr>
        <w:t>Failed Interventions: Domestic Violence, Human Trafficking, and the Criminalization of Survival</w:t>
      </w:r>
      <w:r w:rsidRPr="003E07F6" w:rsidR="001C69F7">
        <w:rPr>
          <w:sz w:val="20"/>
          <w:szCs w:val="20"/>
        </w:rPr>
        <w:t>, 120 Mich. L. Rev. 315,</w:t>
      </w:r>
      <w:r w:rsidRPr="003E07F6" w:rsidDel="005347A1" w:rsidR="001C69F7">
        <w:rPr>
          <w:sz w:val="20"/>
          <w:szCs w:val="20"/>
        </w:rPr>
        <w:t xml:space="preserve"> </w:t>
      </w:r>
      <w:r w:rsidRPr="003E07F6" w:rsidR="001C69F7">
        <w:rPr>
          <w:sz w:val="20"/>
          <w:szCs w:val="20"/>
        </w:rPr>
        <w:t>327 n.93 (2021).</w:t>
      </w:r>
    </w:p>
  </w:footnote>
  <w:footnote w:id="46">
    <w:p w:rsidRPr="003E07F6" w:rsidR="006A5A88" w:rsidP="00010FF6" w:rsidRDefault="006A5A88" w14:paraId="13DE013E" w14:textId="509DADB6">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7E3827">
        <w:rPr>
          <w:sz w:val="20"/>
          <w:szCs w:val="20"/>
        </w:rPr>
        <w:t xml:space="preserve">Marsh, Anthony, Emerson, </w:t>
      </w:r>
      <w:r w:rsidRPr="003E07F6" w:rsidR="001C69F7">
        <w:rPr>
          <w:sz w:val="20"/>
          <w:szCs w:val="20"/>
        </w:rPr>
        <w:t>&amp;</w:t>
      </w:r>
      <w:r w:rsidRPr="003E07F6" w:rsidR="007E3827">
        <w:rPr>
          <w:sz w:val="20"/>
          <w:szCs w:val="20"/>
        </w:rPr>
        <w:t xml:space="preserve"> Mogulescu, </w:t>
      </w:r>
      <w:r w:rsidRPr="003E07F6" w:rsidR="007E3827">
        <w:rPr>
          <w:i/>
          <w:iCs/>
          <w:sz w:val="20"/>
          <w:szCs w:val="20"/>
        </w:rPr>
        <w:t>supra</w:t>
      </w:r>
      <w:r w:rsidRPr="003E07F6" w:rsidR="007E3827">
        <w:rPr>
          <w:sz w:val="20"/>
          <w:szCs w:val="20"/>
        </w:rPr>
        <w:t xml:space="preserve"> at 10 (The six states lacking relief for victims of human trafficking include Alaska, Iowa, Maine, Minnesota, South Dakota, and Virginia).</w:t>
      </w:r>
    </w:p>
  </w:footnote>
  <w:footnote w:id="47">
    <w:p w:rsidRPr="003E07F6" w:rsidR="006A5A88" w:rsidP="00010FF6" w:rsidRDefault="006A5A88" w14:paraId="46E2668A" w14:textId="7ABB145E">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7E3827">
        <w:rPr>
          <w:i/>
          <w:iCs/>
          <w:sz w:val="20"/>
          <w:szCs w:val="20"/>
        </w:rPr>
        <w:t>N</w:t>
      </w:r>
      <w:bookmarkStart w:name="_BA_Cite_E43650_000266" w:id="97"/>
      <w:bookmarkEnd w:id="97"/>
      <w:r w:rsidRPr="003E07F6" w:rsidR="007E3827">
        <w:rPr>
          <w:i/>
          <w:iCs/>
          <w:sz w:val="20"/>
          <w:szCs w:val="20"/>
        </w:rPr>
        <w:t>ational State Law Survey: Expungement and Vacatur Laws</w:t>
      </w:r>
      <w:r w:rsidRPr="003E07F6" w:rsidR="007E3827">
        <w:rPr>
          <w:sz w:val="20"/>
          <w:szCs w:val="20"/>
        </w:rPr>
        <w:t>, Shared Hope Int’l (2017)</w:t>
      </w:r>
      <w:r w:rsidRPr="003E07F6" w:rsidR="001C69F7">
        <w:rPr>
          <w:sz w:val="20"/>
          <w:szCs w:val="20"/>
        </w:rPr>
        <w:t>,</w:t>
      </w:r>
      <w:r w:rsidRPr="003E07F6" w:rsidR="007E3827">
        <w:rPr>
          <w:sz w:val="20"/>
          <w:szCs w:val="20"/>
        </w:rPr>
        <w:t xml:space="preserve"> https://sharedhope.org/wp-content/uploads/2016/03/NSL_Survey_Expungement-and-Vacatur-Laws.pdf.</w:t>
      </w:r>
      <w:r w:rsidRPr="003E07F6" w:rsidR="001C69F7">
        <w:rPr>
          <w:sz w:val="20"/>
          <w:szCs w:val="20"/>
        </w:rPr>
        <w:t xml:space="preserve"> </w:t>
      </w:r>
      <w:r w:rsidRPr="003E07F6" w:rsidR="007E3827">
        <w:rPr>
          <w:sz w:val="20"/>
          <w:szCs w:val="20"/>
        </w:rPr>
        <w:t>The following is a list of state statutes that contain a vacatur provision for victims of human trafficking: Arizona (A</w:t>
      </w:r>
      <w:bookmarkStart w:name="_BA_Cite_E43650_000079" w:id="98"/>
      <w:bookmarkEnd w:id="98"/>
      <w:r w:rsidRPr="003E07F6" w:rsidR="007E3827">
        <w:rPr>
          <w:sz w:val="20"/>
          <w:szCs w:val="20"/>
        </w:rPr>
        <w:t>riz. Rev. Stat. Ann. § 13-909); California (C</w:t>
      </w:r>
      <w:bookmarkStart w:name="_BA_Cite_E43650_000081" w:id="99"/>
      <w:bookmarkEnd w:id="99"/>
      <w:r w:rsidRPr="003E07F6" w:rsidR="007E3827">
        <w:rPr>
          <w:sz w:val="20"/>
          <w:szCs w:val="20"/>
        </w:rPr>
        <w:t>al. Penal Code § 236.14); Connecticut (C</w:t>
      </w:r>
      <w:bookmarkStart w:name="_BA_Cite_E43650_000083" w:id="100"/>
      <w:bookmarkEnd w:id="100"/>
      <w:r w:rsidRPr="003E07F6" w:rsidR="007E3827">
        <w:rPr>
          <w:sz w:val="20"/>
          <w:szCs w:val="20"/>
        </w:rPr>
        <w:t>onn. Gen. Stat. Ann. § 54-95c); Delaware (D</w:t>
      </w:r>
      <w:bookmarkStart w:name="_BA_Cite_E43650_000085" w:id="101"/>
      <w:bookmarkEnd w:id="101"/>
      <w:r w:rsidRPr="003E07F6" w:rsidR="007E3827">
        <w:rPr>
          <w:sz w:val="20"/>
          <w:szCs w:val="20"/>
        </w:rPr>
        <w:t>el. Code Ann. tit. 11, § 787); Florida (F</w:t>
      </w:r>
      <w:bookmarkStart w:name="_BA_Cite_E43650_000087" w:id="102"/>
      <w:bookmarkEnd w:id="102"/>
      <w:r w:rsidRPr="003E07F6" w:rsidR="007E3827">
        <w:rPr>
          <w:sz w:val="20"/>
          <w:szCs w:val="20"/>
        </w:rPr>
        <w:t>la. Stat. Ann. § 943.0583); G</w:t>
      </w:r>
      <w:bookmarkStart w:name="_BA_Cite_E43650_000254" w:id="103"/>
      <w:bookmarkEnd w:id="103"/>
      <w:r w:rsidRPr="003E07F6" w:rsidR="007E3827">
        <w:rPr>
          <w:sz w:val="20"/>
          <w:szCs w:val="20"/>
        </w:rPr>
        <w:t>eorgia (O.C.G.A. § 15-11-32); H</w:t>
      </w:r>
      <w:bookmarkStart w:name="_BA_Cite_E43650_000256" w:id="104"/>
      <w:bookmarkEnd w:id="104"/>
      <w:r w:rsidRPr="003E07F6" w:rsidR="007E3827">
        <w:rPr>
          <w:sz w:val="20"/>
          <w:szCs w:val="20"/>
        </w:rPr>
        <w:t>awaii (HRS § 712-1209.6); I</w:t>
      </w:r>
      <w:bookmarkStart w:name="_BA_Cite_E43650_000258" w:id="105"/>
      <w:bookmarkEnd w:id="105"/>
      <w:r w:rsidRPr="003E07F6" w:rsidR="007E3827">
        <w:rPr>
          <w:sz w:val="20"/>
          <w:szCs w:val="20"/>
        </w:rPr>
        <w:t>daho (Idaho Code Ann. § 67-3014); I</w:t>
      </w:r>
      <w:bookmarkStart w:name="_BA_Cite_E43650_000238" w:id="106"/>
      <w:bookmarkEnd w:id="106"/>
      <w:r w:rsidRPr="003E07F6" w:rsidR="007E3827">
        <w:rPr>
          <w:sz w:val="20"/>
          <w:szCs w:val="20"/>
        </w:rPr>
        <w:t>llinois (725 Ill. Comp. Stat. Ann. 5/116-2.1); I</w:t>
      </w:r>
      <w:bookmarkStart w:name="_BA_Cite_E43650_000240" w:id="107"/>
      <w:bookmarkEnd w:id="107"/>
      <w:r w:rsidRPr="003E07F6" w:rsidR="007E3827">
        <w:rPr>
          <w:sz w:val="20"/>
          <w:szCs w:val="20"/>
        </w:rPr>
        <w:t>ndiana (Ind. Code Ann. § 31-37-22-11); K</w:t>
      </w:r>
      <w:bookmarkStart w:name="_BA_Cite_E43650_000242" w:id="108"/>
      <w:bookmarkEnd w:id="108"/>
      <w:r w:rsidRPr="003E07F6" w:rsidR="007E3827">
        <w:rPr>
          <w:sz w:val="20"/>
          <w:szCs w:val="20"/>
        </w:rPr>
        <w:t>entucky (Ky. Rev. Stat. Ann. § 610.330); L</w:t>
      </w:r>
      <w:bookmarkStart w:name="_BA_Cite_E43650_000288" w:id="109"/>
      <w:bookmarkEnd w:id="109"/>
      <w:r w:rsidRPr="003E07F6" w:rsidR="007E3827">
        <w:rPr>
          <w:sz w:val="20"/>
          <w:szCs w:val="20"/>
        </w:rPr>
        <w:t>ouisiana (LA. Child Code Ann. Art. 923); M</w:t>
      </w:r>
      <w:bookmarkStart w:name="_BA_Cite_E43650_000244" w:id="110"/>
      <w:bookmarkEnd w:id="110"/>
      <w:r w:rsidRPr="003E07F6" w:rsidR="007E3827">
        <w:rPr>
          <w:sz w:val="20"/>
          <w:szCs w:val="20"/>
        </w:rPr>
        <w:t>aryland (MD. Code Ann., Crim. Proc. § 8-302); M</w:t>
      </w:r>
      <w:bookmarkStart w:name="_BA_Cite_E43650_000246" w:id="111"/>
      <w:bookmarkEnd w:id="111"/>
      <w:r w:rsidRPr="003E07F6" w:rsidR="007E3827">
        <w:rPr>
          <w:sz w:val="20"/>
          <w:szCs w:val="20"/>
        </w:rPr>
        <w:t>ichigan (Mich. Comp. Laws Ann. § 712A.18e); M</w:t>
      </w:r>
      <w:bookmarkStart w:name="_BA_Cite_E43650_000248" w:id="112"/>
      <w:bookmarkEnd w:id="112"/>
      <w:r w:rsidRPr="003E07F6" w:rsidR="007E3827">
        <w:rPr>
          <w:sz w:val="20"/>
          <w:szCs w:val="20"/>
        </w:rPr>
        <w:t>ississippi (Miss. Code Ann. § 97-3-54.6); M</w:t>
      </w:r>
      <w:bookmarkStart w:name="_BA_Cite_E43650_000250" w:id="113"/>
      <w:bookmarkEnd w:id="113"/>
      <w:r w:rsidRPr="003E07F6" w:rsidR="007E3827">
        <w:rPr>
          <w:sz w:val="20"/>
          <w:szCs w:val="20"/>
        </w:rPr>
        <w:t>ontana (Mont. Code Ann. § 46-18-608); Nevada (S</w:t>
      </w:r>
      <w:bookmarkStart w:name="_BA_Cite_E43650_000021" w:id="114"/>
      <w:bookmarkEnd w:id="114"/>
      <w:r w:rsidRPr="003E07F6" w:rsidR="007E3827">
        <w:rPr>
          <w:sz w:val="20"/>
          <w:szCs w:val="20"/>
        </w:rPr>
        <w:t>. Res. 243, 2017 Leg., 79th Sess. (Nev. 2017); N</w:t>
      </w:r>
      <w:bookmarkStart w:name="_BA_Cite_E43650_000260" w:id="115"/>
      <w:bookmarkEnd w:id="115"/>
      <w:r w:rsidRPr="003E07F6" w:rsidR="007E3827">
        <w:rPr>
          <w:sz w:val="20"/>
          <w:szCs w:val="20"/>
        </w:rPr>
        <w:t>ew Hampshire (N.H. Rev. Stat. Ann. § 633.7); New Jersey (N</w:t>
      </w:r>
      <w:bookmarkStart w:name="_BA_Cite_E43650_000111" w:id="116"/>
      <w:bookmarkEnd w:id="116"/>
      <w:r w:rsidRPr="003E07F6" w:rsidR="007E3827">
        <w:rPr>
          <w:sz w:val="20"/>
          <w:szCs w:val="20"/>
        </w:rPr>
        <w:t>.J. Stat. Ann. §2C:44-1.1); New Mexico (N</w:t>
      </w:r>
      <w:bookmarkStart w:name="_BA_Cite_E43650_000113" w:id="117"/>
      <w:bookmarkEnd w:id="117"/>
      <w:r w:rsidRPr="003E07F6" w:rsidR="007E3827">
        <w:rPr>
          <w:sz w:val="20"/>
          <w:szCs w:val="20"/>
        </w:rPr>
        <w:t>.M. Stat. Ann. § 32A-3B-21); N</w:t>
      </w:r>
      <w:bookmarkStart w:name="_BA_Cite_E43650_000284" w:id="118"/>
      <w:bookmarkEnd w:id="118"/>
      <w:r w:rsidRPr="003E07F6" w:rsidR="007E3827">
        <w:rPr>
          <w:sz w:val="20"/>
          <w:szCs w:val="20"/>
        </w:rPr>
        <w:t>ew York (N.Y. Crim. Proc. Law § 440.10); N</w:t>
      </w:r>
      <w:bookmarkStart w:name="_BA_Cite_E43650_000252" w:id="119"/>
      <w:bookmarkEnd w:id="119"/>
      <w:r w:rsidRPr="003E07F6" w:rsidR="007E3827">
        <w:rPr>
          <w:sz w:val="20"/>
          <w:szCs w:val="20"/>
        </w:rPr>
        <w:t>orth Carolina (N.C. Gen. Stat. Ann. § 15A-1416.1); N</w:t>
      </w:r>
      <w:bookmarkStart w:name="_BA_Cite_E43650_000290" w:id="120"/>
      <w:bookmarkEnd w:id="120"/>
      <w:r w:rsidRPr="003E07F6" w:rsidR="007E3827">
        <w:rPr>
          <w:sz w:val="20"/>
          <w:szCs w:val="20"/>
        </w:rPr>
        <w:t>orth Dakota (N.D. Cent. Code Ann. § 12.1-41-14); O</w:t>
      </w:r>
      <w:bookmarkStart w:name="_BA_Cite_E43650_000262" w:id="121"/>
      <w:bookmarkEnd w:id="121"/>
      <w:r w:rsidRPr="003E07F6" w:rsidR="007E3827">
        <w:rPr>
          <w:sz w:val="20"/>
          <w:szCs w:val="20"/>
        </w:rPr>
        <w:t>hio (Ohio Rev. Code Ann. § 2151.358); O</w:t>
      </w:r>
      <w:bookmarkStart w:name="_BA_Cite_E43650_000318" w:id="122"/>
      <w:bookmarkEnd w:id="122"/>
      <w:r w:rsidRPr="003E07F6" w:rsidR="007E3827">
        <w:rPr>
          <w:sz w:val="20"/>
          <w:szCs w:val="20"/>
        </w:rPr>
        <w:t>regon (S. B. 249, 80th Gen. Assemb., Reg. Sess. (Or. 2019)); Pennsylvania (1</w:t>
      </w:r>
      <w:bookmarkStart w:name="_BA_Cite_E43650_000121" w:id="123"/>
      <w:bookmarkEnd w:id="123"/>
      <w:r w:rsidRPr="003E07F6" w:rsidR="007E3827">
        <w:rPr>
          <w:sz w:val="20"/>
          <w:szCs w:val="20"/>
        </w:rPr>
        <w:t>8 PA. Cons. Stat. § 3019); R</w:t>
      </w:r>
      <w:bookmarkStart w:name="_BA_Cite_E43650_000292" w:id="124"/>
      <w:bookmarkEnd w:id="124"/>
      <w:r w:rsidRPr="003E07F6" w:rsidR="007E3827">
        <w:rPr>
          <w:sz w:val="20"/>
          <w:szCs w:val="20"/>
        </w:rPr>
        <w:t>hode Island (R.I. Gen. Laws Ann. § 11-67.1-17); S</w:t>
      </w:r>
      <w:bookmarkStart w:name="_BA_Cite_E43650_000264" w:id="125"/>
      <w:bookmarkEnd w:id="125"/>
      <w:r w:rsidRPr="003E07F6" w:rsidR="007E3827">
        <w:rPr>
          <w:sz w:val="20"/>
          <w:szCs w:val="20"/>
        </w:rPr>
        <w:t>outh Carolina (S.C. Code Ann. § 16-3-2020); T</w:t>
      </w:r>
      <w:bookmarkStart w:name="_BA_Cite_E43650_000282" w:id="126"/>
      <w:bookmarkEnd w:id="126"/>
      <w:r w:rsidRPr="003E07F6" w:rsidR="007E3827">
        <w:rPr>
          <w:sz w:val="20"/>
          <w:szCs w:val="20"/>
        </w:rPr>
        <w:t>exas (Tex. Fam. Code Ann. § 58.003); U</w:t>
      </w:r>
      <w:bookmarkStart w:name="_BA_Cite_E43650_000280" w:id="127"/>
      <w:bookmarkEnd w:id="127"/>
      <w:r w:rsidRPr="003E07F6" w:rsidR="007E3827">
        <w:rPr>
          <w:sz w:val="20"/>
          <w:szCs w:val="20"/>
        </w:rPr>
        <w:t>tah (Utah Code Ann. § 78B-9-104); V</w:t>
      </w:r>
      <w:bookmarkStart w:name="_BA_Cite_E43650_000278" w:id="128"/>
      <w:bookmarkEnd w:id="128"/>
      <w:r w:rsidRPr="003E07F6" w:rsidR="007E3827">
        <w:rPr>
          <w:sz w:val="20"/>
          <w:szCs w:val="20"/>
        </w:rPr>
        <w:t>ermont (Vt. Stat. Ann. Tit. 13, § 2658); W</w:t>
      </w:r>
      <w:bookmarkStart w:name="_BA_Cite_E43650_000274" w:id="129"/>
      <w:bookmarkEnd w:id="129"/>
      <w:r w:rsidRPr="003E07F6" w:rsidR="007E3827">
        <w:rPr>
          <w:sz w:val="20"/>
          <w:szCs w:val="20"/>
        </w:rPr>
        <w:t>ashington (Wash. Rev. Code Ann. § 9.96.060); W</w:t>
      </w:r>
      <w:bookmarkStart w:name="_BA_Cite_E43650_000276" w:id="130"/>
      <w:bookmarkEnd w:id="130"/>
      <w:r w:rsidRPr="003E07F6" w:rsidR="007E3827">
        <w:rPr>
          <w:sz w:val="20"/>
          <w:szCs w:val="20"/>
        </w:rPr>
        <w:t>est Virginia (W. Va. Code Ann. § 61-14-9); W</w:t>
      </w:r>
      <w:bookmarkStart w:name="_BA_Cite_E43650_000272" w:id="131"/>
      <w:bookmarkEnd w:id="131"/>
      <w:r w:rsidRPr="003E07F6" w:rsidR="007E3827">
        <w:rPr>
          <w:sz w:val="20"/>
          <w:szCs w:val="20"/>
        </w:rPr>
        <w:t>isconsin (Wis. Stat. Ann. § 973.015); and W</w:t>
      </w:r>
      <w:bookmarkStart w:name="_BA_Cite_E43650_000270" w:id="132"/>
      <w:bookmarkEnd w:id="132"/>
      <w:r w:rsidRPr="003E07F6" w:rsidR="007E3827">
        <w:rPr>
          <w:sz w:val="20"/>
          <w:szCs w:val="20"/>
        </w:rPr>
        <w:t>yoming (WYO. Stat. Ann. § 6-2-708).</w:t>
      </w:r>
    </w:p>
  </w:footnote>
  <w:footnote w:id="48">
    <w:p w:rsidRPr="003E07F6" w:rsidR="00E33E7E" w:rsidP="00010FF6" w:rsidRDefault="00E33E7E" w14:paraId="53403E14" w14:textId="20E96B29">
      <w:pPr>
        <w:pStyle w:val="FootnoteText"/>
        <w:spacing w:after="0"/>
        <w:jc w:val="both"/>
      </w:pPr>
      <w:r w:rsidRPr="003E07F6">
        <w:rPr>
          <w:rStyle w:val="FootnoteReference"/>
          <w:sz w:val="20"/>
          <w:szCs w:val="20"/>
        </w:rPr>
        <w:footnoteRef/>
      </w:r>
      <w:r w:rsidRPr="003E07F6">
        <w:rPr>
          <w:sz w:val="20"/>
          <w:szCs w:val="20"/>
        </w:rPr>
        <w:t xml:space="preserve"> N</w:t>
      </w:r>
      <w:bookmarkStart w:name="_BA_Cite_E43650_000286" w:id="133"/>
      <w:bookmarkEnd w:id="133"/>
      <w:r w:rsidRPr="003E07F6">
        <w:rPr>
          <w:sz w:val="20"/>
          <w:szCs w:val="20"/>
        </w:rPr>
        <w:t>.Y. Penal Law § 60.12(1) (2021); C</w:t>
      </w:r>
      <w:bookmarkStart w:name="_BA_Cite_E43650_000141" w:id="134"/>
      <w:bookmarkEnd w:id="134"/>
      <w:r w:rsidRPr="003E07F6">
        <w:rPr>
          <w:sz w:val="20"/>
          <w:szCs w:val="20"/>
        </w:rPr>
        <w:t>al. Penal Code § 4801(a) (2021); 7</w:t>
      </w:r>
      <w:bookmarkStart w:name="_BA_Cite_E43650_000143" w:id="135"/>
      <w:bookmarkEnd w:id="135"/>
      <w:r w:rsidRPr="003E07F6">
        <w:rPr>
          <w:sz w:val="20"/>
          <w:szCs w:val="20"/>
        </w:rPr>
        <w:t>30 I.L.C.S. 5/5-5-3.1 (2020); 7</w:t>
      </w:r>
      <w:bookmarkStart w:name="_BA_Cite_E43650_000145" w:id="136"/>
      <w:bookmarkEnd w:id="136"/>
      <w:r w:rsidRPr="003E07F6">
        <w:rPr>
          <w:sz w:val="20"/>
          <w:szCs w:val="20"/>
        </w:rPr>
        <w:t>35 I.L.C.S. 5/2-1401 (2020)</w:t>
      </w:r>
      <w:r w:rsidRPr="003E07F6" w:rsidR="007E3827">
        <w:rPr>
          <w:sz w:val="20"/>
          <w:szCs w:val="20"/>
        </w:rPr>
        <w:t>.</w:t>
      </w:r>
    </w:p>
  </w:footnote>
  <w:footnote w:id="49">
    <w:p w:rsidRPr="003E07F6" w:rsidR="00960792" w:rsidP="00010FF6" w:rsidRDefault="00960792" w14:paraId="7A364EAC" w14:textId="1B73B269">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7E3827">
        <w:rPr>
          <w:sz w:val="20"/>
          <w:szCs w:val="20"/>
        </w:rPr>
        <w:t>C</w:t>
      </w:r>
      <w:bookmarkStart w:name="_BA_Cite_E43650_000320" w:id="137"/>
      <w:bookmarkEnd w:id="137"/>
      <w:r w:rsidRPr="003E07F6" w:rsidR="007E3827">
        <w:rPr>
          <w:sz w:val="20"/>
          <w:szCs w:val="20"/>
        </w:rPr>
        <w:t xml:space="preserve">oppedge, </w:t>
      </w:r>
      <w:r w:rsidRPr="003E07F6" w:rsidR="007E3827">
        <w:rPr>
          <w:i/>
          <w:iCs/>
          <w:sz w:val="20"/>
          <w:szCs w:val="20"/>
        </w:rPr>
        <w:t>supra</w:t>
      </w:r>
      <w:r w:rsidRPr="003E07F6" w:rsidR="007E3827">
        <w:rPr>
          <w:sz w:val="20"/>
          <w:szCs w:val="20"/>
        </w:rPr>
        <w:t>.</w:t>
      </w:r>
    </w:p>
  </w:footnote>
  <w:footnote w:id="50">
    <w:p w:rsidRPr="003E07F6" w:rsidR="00960792" w:rsidP="00010FF6" w:rsidRDefault="00960792" w14:paraId="10750B9B" w14:textId="126DAD93">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F7104B">
        <w:rPr>
          <w:i/>
          <w:iCs/>
          <w:sz w:val="20"/>
          <w:szCs w:val="20"/>
        </w:rPr>
        <w:t>I</w:t>
      </w:r>
      <w:bookmarkStart w:name="_BA_Cite_E43650_000195" w:id="138"/>
      <w:bookmarkEnd w:id="138"/>
      <w:r w:rsidRPr="003E07F6" w:rsidR="00F7104B">
        <w:rPr>
          <w:i/>
          <w:iCs/>
          <w:sz w:val="20"/>
          <w:szCs w:val="20"/>
        </w:rPr>
        <w:t>d.</w:t>
      </w:r>
      <w:r w:rsidRPr="003E07F6">
        <w:rPr>
          <w:sz w:val="20"/>
          <w:szCs w:val="20"/>
        </w:rPr>
        <w:t xml:space="preserve"> </w:t>
      </w:r>
    </w:p>
  </w:footnote>
  <w:footnote w:id="51">
    <w:p w:rsidRPr="003E07F6" w:rsidR="009E320B" w:rsidP="00010FF6" w:rsidRDefault="009E320B" w14:paraId="05ABBC02" w14:textId="40D2010E">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1C69F7">
        <w:rPr>
          <w:sz w:val="20"/>
          <w:szCs w:val="20"/>
        </w:rPr>
        <w:t>7</w:t>
      </w:r>
      <w:bookmarkStart w:name="_BA_Cite_E43650_000147" w:id="139"/>
      <w:bookmarkEnd w:id="139"/>
      <w:r w:rsidRPr="003E07F6" w:rsidR="001C69F7">
        <w:rPr>
          <w:sz w:val="20"/>
          <w:szCs w:val="20"/>
        </w:rPr>
        <w:t>25 ILCS 5/116-2.1.</w:t>
      </w:r>
    </w:p>
  </w:footnote>
  <w:footnote w:id="52">
    <w:p w:rsidRPr="003E07F6" w:rsidR="009E320B" w:rsidP="00010FF6" w:rsidRDefault="009E320B" w14:paraId="2858453C" w14:textId="2BD06794">
      <w:pPr>
        <w:pStyle w:val="FootnoteText"/>
        <w:spacing w:after="0"/>
        <w:jc w:val="both"/>
        <w:rPr>
          <w:sz w:val="20"/>
          <w:szCs w:val="20"/>
        </w:rPr>
      </w:pPr>
      <w:r w:rsidRPr="003E07F6">
        <w:rPr>
          <w:rStyle w:val="FootnoteReference"/>
          <w:sz w:val="20"/>
          <w:szCs w:val="20"/>
        </w:rPr>
        <w:footnoteRef/>
      </w:r>
      <w:r w:rsidRPr="003E07F6">
        <w:rPr>
          <w:sz w:val="20"/>
          <w:szCs w:val="20"/>
        </w:rPr>
        <w:t xml:space="preserve"> </w:t>
      </w:r>
      <w:r w:rsidRPr="003E07F6" w:rsidR="007E3827">
        <w:rPr>
          <w:sz w:val="20"/>
          <w:szCs w:val="20"/>
        </w:rPr>
        <w:t>U</w:t>
      </w:r>
      <w:bookmarkStart w:name="_BA_Cite_E43650_000161" w:id="140"/>
      <w:bookmarkEnd w:id="140"/>
      <w:r w:rsidRPr="003E07F6" w:rsidR="007E3827">
        <w:rPr>
          <w:sz w:val="20"/>
          <w:szCs w:val="20"/>
        </w:rPr>
        <w:t xml:space="preserve">lrich, J.D., </w:t>
      </w:r>
      <w:r w:rsidRPr="003E07F6" w:rsidR="007E3827">
        <w:rPr>
          <w:i/>
          <w:iCs/>
          <w:sz w:val="20"/>
          <w:szCs w:val="20"/>
        </w:rPr>
        <w:t>Vacatur Statutes for Survivors of Sex Trafficking, Amara Legal Center</w:t>
      </w:r>
      <w:r w:rsidRPr="003E07F6" w:rsidR="007E3827">
        <w:rPr>
          <w:sz w:val="20"/>
          <w:szCs w:val="20"/>
        </w:rPr>
        <w:t xml:space="preserve"> 5 (2016)</w:t>
      </w:r>
      <w:r w:rsidRPr="003E07F6" w:rsidR="001C69F7">
        <w:rPr>
          <w:sz w:val="20"/>
          <w:szCs w:val="20"/>
        </w:rPr>
        <w:t>,</w:t>
      </w:r>
      <w:r w:rsidRPr="003E07F6" w:rsidR="007E3827">
        <w:rPr>
          <w:sz w:val="20"/>
          <w:szCs w:val="20"/>
        </w:rPr>
        <w:t xml:space="preserve"> https://www.amaralegal.org/wp-content/uploads/2016/06/Vacatur-Statutes-for-Survivors-of-Sex-Trafficking.pdf.</w:t>
      </w:r>
    </w:p>
  </w:footnote>
  <w:footnote w:id="53">
    <w:p w:rsidRPr="003E07F6" w:rsidR="00070DF1" w:rsidP="00010FF6" w:rsidRDefault="00070DF1" w14:paraId="16A0EC95" w14:textId="5969949F">
      <w:pPr>
        <w:pStyle w:val="FootnoteText"/>
        <w:jc w:val="both"/>
        <w:rPr>
          <w:sz w:val="20"/>
          <w:szCs w:val="20"/>
        </w:rPr>
      </w:pPr>
      <w:r w:rsidRPr="003E07F6">
        <w:rPr>
          <w:rStyle w:val="FootnoteReference"/>
          <w:sz w:val="20"/>
          <w:szCs w:val="20"/>
        </w:rPr>
        <w:footnoteRef/>
      </w:r>
      <w:r w:rsidRPr="003E07F6">
        <w:rPr>
          <w:sz w:val="20"/>
          <w:szCs w:val="20"/>
        </w:rPr>
        <w:t xml:space="preserve"> For the purposes of this brief, amici do not address the validity of a conviction that has been vacated for reasons other than procedural or substantive defects for immigration purposes.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4A54" w:rsidRDefault="00054A54" w14:paraId="02AE49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4A54" w:rsidRDefault="00054A54" w14:paraId="36BAFF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4A54" w:rsidRDefault="00054A54" w14:paraId="454816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AFE"/>
    <w:multiLevelType w:val="hybridMultilevel"/>
    <w:tmpl w:val="E6CA9120"/>
    <w:lvl w:ilvl="0" w:tplc="726AC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646C3"/>
    <w:multiLevelType w:val="hybridMultilevel"/>
    <w:tmpl w:val="C55E4B0A"/>
    <w:lvl w:ilvl="0" w:tplc="1E12135C">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C350C"/>
    <w:multiLevelType w:val="hybridMultilevel"/>
    <w:tmpl w:val="ED9632EA"/>
    <w:lvl w:ilvl="0" w:tplc="9516F28A">
      <w:start w:val="1"/>
      <w:numFmt w:val="upperRoman"/>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830CE"/>
    <w:multiLevelType w:val="hybridMultilevel"/>
    <w:tmpl w:val="D4D0DEA4"/>
    <w:lvl w:ilvl="0" w:tplc="B950CB6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73E82"/>
    <w:multiLevelType w:val="hybridMultilevel"/>
    <w:tmpl w:val="31CA7FF0"/>
    <w:lvl w:ilvl="0" w:tplc="F8B4A7D6">
      <w:start w:val="9"/>
      <w:numFmt w:val="lowerLetter"/>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1F160D"/>
    <w:multiLevelType w:val="hybridMultilevel"/>
    <w:tmpl w:val="92CC310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C61C3"/>
    <w:multiLevelType w:val="hybridMultilevel"/>
    <w:tmpl w:val="1BDADFEE"/>
    <w:lvl w:ilvl="0" w:tplc="DF2C28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B3484E"/>
    <w:multiLevelType w:val="hybridMultilevel"/>
    <w:tmpl w:val="63761D62"/>
    <w:lvl w:ilvl="0" w:tplc="AD925E98">
      <w:start w:val="1"/>
      <w:numFmt w:val="upperLetter"/>
      <w:lvlText w:val="%1."/>
      <w:lvlJc w:val="left"/>
      <w:pPr>
        <w:ind w:left="1080" w:hanging="360"/>
      </w:pPr>
      <w:rPr>
        <w:rFonts w:hint="default"/>
        <w:b/>
        <w:bCs/>
      </w:rPr>
    </w:lvl>
    <w:lvl w:ilvl="1" w:tplc="C9E872D4">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C648BB"/>
    <w:multiLevelType w:val="hybridMultilevel"/>
    <w:tmpl w:val="99AE4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E6919"/>
    <w:multiLevelType w:val="hybridMultilevel"/>
    <w:tmpl w:val="17B276F8"/>
    <w:lvl w:ilvl="0" w:tplc="1B2A6C3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2E56EE"/>
    <w:multiLevelType w:val="hybridMultilevel"/>
    <w:tmpl w:val="597C77B4"/>
    <w:lvl w:ilvl="0" w:tplc="C21C300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E2D3286"/>
    <w:multiLevelType w:val="hybridMultilevel"/>
    <w:tmpl w:val="B0B0E08C"/>
    <w:lvl w:ilvl="0" w:tplc="2E12C81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6B6214"/>
    <w:multiLevelType w:val="hybridMultilevel"/>
    <w:tmpl w:val="318AF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10EA9"/>
    <w:multiLevelType w:val="hybridMultilevel"/>
    <w:tmpl w:val="7EAC200E"/>
    <w:lvl w:ilvl="0" w:tplc="C8F60216">
      <w:start w:val="2"/>
      <w:numFmt w:val="lowerRoman"/>
      <w:lvlText w:val="%1."/>
      <w:lvlJc w:val="left"/>
      <w:pPr>
        <w:ind w:left="2880" w:hanging="72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1"/>
  </w:num>
  <w:num w:numId="3">
    <w:abstractNumId w:val="5"/>
  </w:num>
  <w:num w:numId="4">
    <w:abstractNumId w:val="8"/>
  </w:num>
  <w:num w:numId="5">
    <w:abstractNumId w:val="12"/>
  </w:num>
  <w:num w:numId="6">
    <w:abstractNumId w:val="11"/>
  </w:num>
  <w:num w:numId="7">
    <w:abstractNumId w:val="4"/>
  </w:num>
  <w:num w:numId="8">
    <w:abstractNumId w:val="13"/>
  </w:num>
  <w:num w:numId="9">
    <w:abstractNumId w:val="10"/>
  </w:num>
  <w:num w:numId="10">
    <w:abstractNumId w:val="9"/>
  </w:num>
  <w:num w:numId="11">
    <w:abstractNumId w:val="6"/>
  </w:num>
  <w:num w:numId="12">
    <w:abstractNumId w:val="0"/>
  </w:num>
  <w:num w:numId="13">
    <w:abstractNumId w:val="2"/>
  </w:num>
  <w:num w:numId="14">
    <w:abstractNumId w:val="3"/>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F5"/>
    <w:rsid w:val="00006D6B"/>
    <w:rsid w:val="00007A13"/>
    <w:rsid w:val="00010FF6"/>
    <w:rsid w:val="000162D1"/>
    <w:rsid w:val="000266B3"/>
    <w:rsid w:val="00031C90"/>
    <w:rsid w:val="000365A2"/>
    <w:rsid w:val="00042EA2"/>
    <w:rsid w:val="0005465A"/>
    <w:rsid w:val="00054A54"/>
    <w:rsid w:val="00070DF1"/>
    <w:rsid w:val="00071D21"/>
    <w:rsid w:val="0007262A"/>
    <w:rsid w:val="000750D6"/>
    <w:rsid w:val="000829DE"/>
    <w:rsid w:val="00082AE1"/>
    <w:rsid w:val="00087FDC"/>
    <w:rsid w:val="00092C4C"/>
    <w:rsid w:val="000A4571"/>
    <w:rsid w:val="000C5C89"/>
    <w:rsid w:val="000E5A00"/>
    <w:rsid w:val="000E6ED2"/>
    <w:rsid w:val="000E770E"/>
    <w:rsid w:val="000F2704"/>
    <w:rsid w:val="00116D88"/>
    <w:rsid w:val="001170A8"/>
    <w:rsid w:val="00123DD1"/>
    <w:rsid w:val="00130395"/>
    <w:rsid w:val="00140AEA"/>
    <w:rsid w:val="00144917"/>
    <w:rsid w:val="00150B87"/>
    <w:rsid w:val="001514D4"/>
    <w:rsid w:val="001538C4"/>
    <w:rsid w:val="0015559A"/>
    <w:rsid w:val="0016367A"/>
    <w:rsid w:val="00163D7A"/>
    <w:rsid w:val="00164181"/>
    <w:rsid w:val="0017259E"/>
    <w:rsid w:val="00180EC0"/>
    <w:rsid w:val="00187D63"/>
    <w:rsid w:val="001A045E"/>
    <w:rsid w:val="001A2135"/>
    <w:rsid w:val="001A40B0"/>
    <w:rsid w:val="001A47A9"/>
    <w:rsid w:val="001A67D1"/>
    <w:rsid w:val="001A741F"/>
    <w:rsid w:val="001A758D"/>
    <w:rsid w:val="001C3010"/>
    <w:rsid w:val="001C69F7"/>
    <w:rsid w:val="001D4B00"/>
    <w:rsid w:val="001D60D5"/>
    <w:rsid w:val="001E0CE6"/>
    <w:rsid w:val="001E4C0A"/>
    <w:rsid w:val="001F30EB"/>
    <w:rsid w:val="001F65CB"/>
    <w:rsid w:val="001F7508"/>
    <w:rsid w:val="001F7BA3"/>
    <w:rsid w:val="00201B40"/>
    <w:rsid w:val="0020346D"/>
    <w:rsid w:val="00205427"/>
    <w:rsid w:val="00220CE7"/>
    <w:rsid w:val="00221E83"/>
    <w:rsid w:val="00260052"/>
    <w:rsid w:val="00275BDF"/>
    <w:rsid w:val="00277E25"/>
    <w:rsid w:val="00280DD2"/>
    <w:rsid w:val="002842CD"/>
    <w:rsid w:val="00286F50"/>
    <w:rsid w:val="0028731B"/>
    <w:rsid w:val="00293C9D"/>
    <w:rsid w:val="0029511A"/>
    <w:rsid w:val="002972B2"/>
    <w:rsid w:val="00297A16"/>
    <w:rsid w:val="002A0947"/>
    <w:rsid w:val="002A4052"/>
    <w:rsid w:val="002A6B26"/>
    <w:rsid w:val="002C3372"/>
    <w:rsid w:val="002D36FB"/>
    <w:rsid w:val="00314A8D"/>
    <w:rsid w:val="00314B56"/>
    <w:rsid w:val="0031681A"/>
    <w:rsid w:val="00320715"/>
    <w:rsid w:val="00322EC8"/>
    <w:rsid w:val="00327C9E"/>
    <w:rsid w:val="00333386"/>
    <w:rsid w:val="0033421C"/>
    <w:rsid w:val="00341D32"/>
    <w:rsid w:val="003466D3"/>
    <w:rsid w:val="00352178"/>
    <w:rsid w:val="00352B9B"/>
    <w:rsid w:val="003773E3"/>
    <w:rsid w:val="0038013B"/>
    <w:rsid w:val="003A2647"/>
    <w:rsid w:val="003B1DCD"/>
    <w:rsid w:val="003B6DBE"/>
    <w:rsid w:val="003C2B5A"/>
    <w:rsid w:val="003C5B5F"/>
    <w:rsid w:val="003D05B1"/>
    <w:rsid w:val="003D23E8"/>
    <w:rsid w:val="003D5F9F"/>
    <w:rsid w:val="003E07F6"/>
    <w:rsid w:val="003E24EB"/>
    <w:rsid w:val="003E61D2"/>
    <w:rsid w:val="003E75EA"/>
    <w:rsid w:val="003E779A"/>
    <w:rsid w:val="003F21B7"/>
    <w:rsid w:val="003F2A10"/>
    <w:rsid w:val="003F2ABE"/>
    <w:rsid w:val="003F3156"/>
    <w:rsid w:val="00401355"/>
    <w:rsid w:val="00401DC0"/>
    <w:rsid w:val="00407EE9"/>
    <w:rsid w:val="004237E6"/>
    <w:rsid w:val="004337FA"/>
    <w:rsid w:val="00434823"/>
    <w:rsid w:val="0043514C"/>
    <w:rsid w:val="004435DC"/>
    <w:rsid w:val="004510A2"/>
    <w:rsid w:val="0045460E"/>
    <w:rsid w:val="00456F66"/>
    <w:rsid w:val="00465400"/>
    <w:rsid w:val="004842CD"/>
    <w:rsid w:val="004872AA"/>
    <w:rsid w:val="00492165"/>
    <w:rsid w:val="004955B1"/>
    <w:rsid w:val="004A2164"/>
    <w:rsid w:val="004A76EE"/>
    <w:rsid w:val="004B1599"/>
    <w:rsid w:val="004B71CB"/>
    <w:rsid w:val="004B7843"/>
    <w:rsid w:val="004C035C"/>
    <w:rsid w:val="004C2167"/>
    <w:rsid w:val="004C3DF4"/>
    <w:rsid w:val="004C5DF0"/>
    <w:rsid w:val="004D14A4"/>
    <w:rsid w:val="004D6C3D"/>
    <w:rsid w:val="004E4ACE"/>
    <w:rsid w:val="004E5764"/>
    <w:rsid w:val="004F0F99"/>
    <w:rsid w:val="00500F17"/>
    <w:rsid w:val="00505594"/>
    <w:rsid w:val="0050706C"/>
    <w:rsid w:val="00510476"/>
    <w:rsid w:val="00511A32"/>
    <w:rsid w:val="00522042"/>
    <w:rsid w:val="0052488D"/>
    <w:rsid w:val="00524969"/>
    <w:rsid w:val="00550D13"/>
    <w:rsid w:val="0055657F"/>
    <w:rsid w:val="0056230F"/>
    <w:rsid w:val="0056344B"/>
    <w:rsid w:val="00570A19"/>
    <w:rsid w:val="00573C3A"/>
    <w:rsid w:val="00581188"/>
    <w:rsid w:val="0058680F"/>
    <w:rsid w:val="0058690C"/>
    <w:rsid w:val="00591CAA"/>
    <w:rsid w:val="00594B64"/>
    <w:rsid w:val="005A0215"/>
    <w:rsid w:val="005A2DE5"/>
    <w:rsid w:val="005B076C"/>
    <w:rsid w:val="005B147F"/>
    <w:rsid w:val="005B772D"/>
    <w:rsid w:val="005C43F7"/>
    <w:rsid w:val="005C77CC"/>
    <w:rsid w:val="005C7D6A"/>
    <w:rsid w:val="005E3DCE"/>
    <w:rsid w:val="005F648F"/>
    <w:rsid w:val="005F6528"/>
    <w:rsid w:val="00627ACD"/>
    <w:rsid w:val="00633492"/>
    <w:rsid w:val="006414FB"/>
    <w:rsid w:val="00642509"/>
    <w:rsid w:val="00677267"/>
    <w:rsid w:val="00690269"/>
    <w:rsid w:val="00690F47"/>
    <w:rsid w:val="006935FB"/>
    <w:rsid w:val="006A5A88"/>
    <w:rsid w:val="006B356B"/>
    <w:rsid w:val="006B475D"/>
    <w:rsid w:val="006C1CA1"/>
    <w:rsid w:val="006D7E11"/>
    <w:rsid w:val="006D7E4B"/>
    <w:rsid w:val="006E598E"/>
    <w:rsid w:val="006F007C"/>
    <w:rsid w:val="006F5956"/>
    <w:rsid w:val="006F6E29"/>
    <w:rsid w:val="00704F28"/>
    <w:rsid w:val="007152E3"/>
    <w:rsid w:val="007227C7"/>
    <w:rsid w:val="00737076"/>
    <w:rsid w:val="0074076F"/>
    <w:rsid w:val="00745061"/>
    <w:rsid w:val="00751F2B"/>
    <w:rsid w:val="00753788"/>
    <w:rsid w:val="0075412B"/>
    <w:rsid w:val="00757EDF"/>
    <w:rsid w:val="00772CDF"/>
    <w:rsid w:val="0077665F"/>
    <w:rsid w:val="00780E74"/>
    <w:rsid w:val="00784E31"/>
    <w:rsid w:val="007939E8"/>
    <w:rsid w:val="00796277"/>
    <w:rsid w:val="007A2234"/>
    <w:rsid w:val="007A238E"/>
    <w:rsid w:val="007B53DB"/>
    <w:rsid w:val="007B7019"/>
    <w:rsid w:val="007C318B"/>
    <w:rsid w:val="007C64E8"/>
    <w:rsid w:val="007C6D30"/>
    <w:rsid w:val="007D04BB"/>
    <w:rsid w:val="007D2D6D"/>
    <w:rsid w:val="007D2EB4"/>
    <w:rsid w:val="007E3827"/>
    <w:rsid w:val="00800DAE"/>
    <w:rsid w:val="00802653"/>
    <w:rsid w:val="00802801"/>
    <w:rsid w:val="00815177"/>
    <w:rsid w:val="00817A63"/>
    <w:rsid w:val="00824C8B"/>
    <w:rsid w:val="008352D1"/>
    <w:rsid w:val="008434E7"/>
    <w:rsid w:val="008468BC"/>
    <w:rsid w:val="00861AA4"/>
    <w:rsid w:val="0087207E"/>
    <w:rsid w:val="00880017"/>
    <w:rsid w:val="00882A76"/>
    <w:rsid w:val="008A07D4"/>
    <w:rsid w:val="008A27B6"/>
    <w:rsid w:val="008B3B18"/>
    <w:rsid w:val="008B447C"/>
    <w:rsid w:val="008C0C66"/>
    <w:rsid w:val="008C2242"/>
    <w:rsid w:val="008C5822"/>
    <w:rsid w:val="008C5A35"/>
    <w:rsid w:val="008D417F"/>
    <w:rsid w:val="008E0095"/>
    <w:rsid w:val="008F09ED"/>
    <w:rsid w:val="008F4E43"/>
    <w:rsid w:val="008F665A"/>
    <w:rsid w:val="008F70A6"/>
    <w:rsid w:val="009042D4"/>
    <w:rsid w:val="009050F0"/>
    <w:rsid w:val="00911C4E"/>
    <w:rsid w:val="009150FB"/>
    <w:rsid w:val="00920D20"/>
    <w:rsid w:val="00923AD9"/>
    <w:rsid w:val="00930FEA"/>
    <w:rsid w:val="009430C0"/>
    <w:rsid w:val="00950595"/>
    <w:rsid w:val="009527CE"/>
    <w:rsid w:val="00954BD1"/>
    <w:rsid w:val="00956318"/>
    <w:rsid w:val="00960792"/>
    <w:rsid w:val="009647E9"/>
    <w:rsid w:val="0096707C"/>
    <w:rsid w:val="009860F5"/>
    <w:rsid w:val="009927D3"/>
    <w:rsid w:val="0099787E"/>
    <w:rsid w:val="009A1209"/>
    <w:rsid w:val="009A2F24"/>
    <w:rsid w:val="009B362C"/>
    <w:rsid w:val="009B69BA"/>
    <w:rsid w:val="009C0ADF"/>
    <w:rsid w:val="009D6CE4"/>
    <w:rsid w:val="009D7C29"/>
    <w:rsid w:val="009E00A9"/>
    <w:rsid w:val="009E1BB7"/>
    <w:rsid w:val="009E320B"/>
    <w:rsid w:val="00A054B1"/>
    <w:rsid w:val="00A06470"/>
    <w:rsid w:val="00A12036"/>
    <w:rsid w:val="00A25210"/>
    <w:rsid w:val="00A27AD9"/>
    <w:rsid w:val="00A31F60"/>
    <w:rsid w:val="00A34F6E"/>
    <w:rsid w:val="00A42EDA"/>
    <w:rsid w:val="00A44584"/>
    <w:rsid w:val="00A46F21"/>
    <w:rsid w:val="00A471FE"/>
    <w:rsid w:val="00A6061A"/>
    <w:rsid w:val="00A65736"/>
    <w:rsid w:val="00A722F9"/>
    <w:rsid w:val="00A7426F"/>
    <w:rsid w:val="00A80D1A"/>
    <w:rsid w:val="00A85BC3"/>
    <w:rsid w:val="00A90E0F"/>
    <w:rsid w:val="00A95B28"/>
    <w:rsid w:val="00AA23A7"/>
    <w:rsid w:val="00AC656A"/>
    <w:rsid w:val="00AD0DD4"/>
    <w:rsid w:val="00AE0D99"/>
    <w:rsid w:val="00AF5B44"/>
    <w:rsid w:val="00B14DDE"/>
    <w:rsid w:val="00B2470F"/>
    <w:rsid w:val="00B34732"/>
    <w:rsid w:val="00B36138"/>
    <w:rsid w:val="00B4477D"/>
    <w:rsid w:val="00B47027"/>
    <w:rsid w:val="00B51130"/>
    <w:rsid w:val="00B578AB"/>
    <w:rsid w:val="00B70DFE"/>
    <w:rsid w:val="00B741B8"/>
    <w:rsid w:val="00B7787D"/>
    <w:rsid w:val="00B8419B"/>
    <w:rsid w:val="00BA2C11"/>
    <w:rsid w:val="00BC329D"/>
    <w:rsid w:val="00BC6037"/>
    <w:rsid w:val="00BD41B1"/>
    <w:rsid w:val="00BD5784"/>
    <w:rsid w:val="00BF2342"/>
    <w:rsid w:val="00BF4312"/>
    <w:rsid w:val="00C1067F"/>
    <w:rsid w:val="00C13A33"/>
    <w:rsid w:val="00C15454"/>
    <w:rsid w:val="00C22595"/>
    <w:rsid w:val="00C23DF7"/>
    <w:rsid w:val="00C27458"/>
    <w:rsid w:val="00C31C7E"/>
    <w:rsid w:val="00C34315"/>
    <w:rsid w:val="00C406FB"/>
    <w:rsid w:val="00C42B09"/>
    <w:rsid w:val="00C65808"/>
    <w:rsid w:val="00C75350"/>
    <w:rsid w:val="00C76490"/>
    <w:rsid w:val="00C96A94"/>
    <w:rsid w:val="00CB13FE"/>
    <w:rsid w:val="00CB65D3"/>
    <w:rsid w:val="00CD1C76"/>
    <w:rsid w:val="00CD2BF9"/>
    <w:rsid w:val="00CE76D8"/>
    <w:rsid w:val="00CF742A"/>
    <w:rsid w:val="00D02EE1"/>
    <w:rsid w:val="00D0300D"/>
    <w:rsid w:val="00D16AD2"/>
    <w:rsid w:val="00D26ECC"/>
    <w:rsid w:val="00D27F63"/>
    <w:rsid w:val="00D35E1D"/>
    <w:rsid w:val="00D42CEB"/>
    <w:rsid w:val="00D42D09"/>
    <w:rsid w:val="00D5642D"/>
    <w:rsid w:val="00D6355C"/>
    <w:rsid w:val="00D66511"/>
    <w:rsid w:val="00D74F19"/>
    <w:rsid w:val="00D82C90"/>
    <w:rsid w:val="00D82CDB"/>
    <w:rsid w:val="00D840F5"/>
    <w:rsid w:val="00D8523F"/>
    <w:rsid w:val="00D87DBA"/>
    <w:rsid w:val="00D93F0B"/>
    <w:rsid w:val="00DA4F08"/>
    <w:rsid w:val="00DA7111"/>
    <w:rsid w:val="00DC0CA0"/>
    <w:rsid w:val="00DC40D9"/>
    <w:rsid w:val="00DC48A5"/>
    <w:rsid w:val="00DC5B82"/>
    <w:rsid w:val="00DD12BB"/>
    <w:rsid w:val="00DD7773"/>
    <w:rsid w:val="00DE1245"/>
    <w:rsid w:val="00DE32D0"/>
    <w:rsid w:val="00DE49E4"/>
    <w:rsid w:val="00DE630A"/>
    <w:rsid w:val="00DE65B4"/>
    <w:rsid w:val="00DE7022"/>
    <w:rsid w:val="00E21D87"/>
    <w:rsid w:val="00E21EDA"/>
    <w:rsid w:val="00E301CF"/>
    <w:rsid w:val="00E33E7E"/>
    <w:rsid w:val="00E44BA0"/>
    <w:rsid w:val="00E561A4"/>
    <w:rsid w:val="00E66FD6"/>
    <w:rsid w:val="00E72769"/>
    <w:rsid w:val="00E750FF"/>
    <w:rsid w:val="00E75E38"/>
    <w:rsid w:val="00E803C2"/>
    <w:rsid w:val="00E85A5E"/>
    <w:rsid w:val="00E8708B"/>
    <w:rsid w:val="00E93C1D"/>
    <w:rsid w:val="00E94D0B"/>
    <w:rsid w:val="00E95A22"/>
    <w:rsid w:val="00E96310"/>
    <w:rsid w:val="00E97202"/>
    <w:rsid w:val="00E97AE3"/>
    <w:rsid w:val="00EA56B0"/>
    <w:rsid w:val="00EA624B"/>
    <w:rsid w:val="00EB1B7A"/>
    <w:rsid w:val="00EB2652"/>
    <w:rsid w:val="00EB760F"/>
    <w:rsid w:val="00EC109C"/>
    <w:rsid w:val="00EC298B"/>
    <w:rsid w:val="00EC2F95"/>
    <w:rsid w:val="00EC3EF6"/>
    <w:rsid w:val="00EC4E3B"/>
    <w:rsid w:val="00EC4E59"/>
    <w:rsid w:val="00EC7388"/>
    <w:rsid w:val="00EE2A7A"/>
    <w:rsid w:val="00EE30E8"/>
    <w:rsid w:val="00EF2217"/>
    <w:rsid w:val="00EF475D"/>
    <w:rsid w:val="00EF5339"/>
    <w:rsid w:val="00EF79F8"/>
    <w:rsid w:val="00F008AD"/>
    <w:rsid w:val="00F05A40"/>
    <w:rsid w:val="00F33782"/>
    <w:rsid w:val="00F44721"/>
    <w:rsid w:val="00F7104B"/>
    <w:rsid w:val="00F73E5F"/>
    <w:rsid w:val="00F77503"/>
    <w:rsid w:val="00F77590"/>
    <w:rsid w:val="00F8061D"/>
    <w:rsid w:val="00F813B1"/>
    <w:rsid w:val="00F84ED8"/>
    <w:rsid w:val="00F858E8"/>
    <w:rsid w:val="00F905BE"/>
    <w:rsid w:val="00F93350"/>
    <w:rsid w:val="00F93E5B"/>
    <w:rsid w:val="00FA30F5"/>
    <w:rsid w:val="00FA4A7C"/>
    <w:rsid w:val="00FB67C4"/>
    <w:rsid w:val="00FD0973"/>
    <w:rsid w:val="00FD5C92"/>
    <w:rsid w:val="00FD7F5B"/>
    <w:rsid w:val="00FE0453"/>
    <w:rsid w:val="00FE366A"/>
    <w:rsid w:val="00FE3A6D"/>
    <w:rsid w:val="00FE4469"/>
    <w:rsid w:val="00FF3710"/>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C846C"/>
  <w15:chartTrackingRefBased/>
  <w15:docId w15:val="{8F7023F5-8C87-45E6-A9FD-E6D606B8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0792"/>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uiPriority w:val="9"/>
    <w:qFormat/>
    <w:rsid w:val="003B1DCD"/>
    <w:pPr>
      <w:keepNext/>
      <w:keepLines/>
      <w:spacing w:line="480" w:lineRule="auto"/>
      <w:jc w:val="center"/>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704F28"/>
    <w:pPr>
      <w:keepNext/>
      <w:keepLines/>
      <w:numPr>
        <w:numId w:val="13"/>
      </w:numPr>
      <w:spacing w:before="120" w:after="240"/>
      <w:ind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04F28"/>
    <w:pPr>
      <w:keepNext/>
      <w:keepLines/>
      <w:numPr>
        <w:numId w:val="14"/>
      </w:numPr>
      <w:spacing w:before="120" w:after="240"/>
      <w:ind w:left="1440" w:hanging="720"/>
      <w:outlineLvl w:val="2"/>
    </w:pPr>
    <w:rPr>
      <w:rFonts w:ascii="Times New Roman Bold" w:hAnsi="Times New Roman Bold" w:eastAsiaTheme="majorEastAsia" w:cstheme="majorBidi"/>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ID" w:customStyle="1">
    <w:name w:val="DocID"/>
    <w:basedOn w:val="Footer"/>
    <w:next w:val="Footer"/>
    <w:link w:val="DocIDChar"/>
    <w:rsid w:val="00960792"/>
    <w:pPr>
      <w:tabs>
        <w:tab w:val="clear" w:pos="4680"/>
        <w:tab w:val="clear" w:pos="9360"/>
      </w:tabs>
    </w:pPr>
    <w:rPr>
      <w:sz w:val="16"/>
    </w:rPr>
  </w:style>
  <w:style w:type="character" w:styleId="DocIDChar" w:customStyle="1">
    <w:name w:val="DocID Char"/>
    <w:basedOn w:val="DefaultParagraphFont"/>
    <w:link w:val="DocID"/>
    <w:rsid w:val="00960792"/>
    <w:rPr>
      <w:rFonts w:ascii="Times New Roman" w:hAnsi="Times New Roman" w:eastAsia="Times New Roman" w:cs="Times New Roman"/>
      <w:sz w:val="16"/>
      <w:szCs w:val="20"/>
      <w:lang w:val="en-US" w:eastAsia="en-US"/>
    </w:rPr>
  </w:style>
  <w:style w:type="paragraph" w:styleId="Footer">
    <w:name w:val="footer"/>
    <w:basedOn w:val="Normal"/>
    <w:link w:val="FooterChar"/>
    <w:uiPriority w:val="99"/>
    <w:unhideWhenUsed/>
    <w:rsid w:val="00960792"/>
    <w:pPr>
      <w:tabs>
        <w:tab w:val="center" w:pos="4680"/>
        <w:tab w:val="right" w:pos="9360"/>
      </w:tabs>
    </w:pPr>
  </w:style>
  <w:style w:type="character" w:styleId="FooterChar" w:customStyle="1">
    <w:name w:val="Footer Char"/>
    <w:basedOn w:val="DefaultParagraphFont"/>
    <w:link w:val="Footer"/>
    <w:uiPriority w:val="99"/>
    <w:rsid w:val="00960792"/>
  </w:style>
  <w:style w:type="paragraph" w:styleId="Header">
    <w:name w:val="header"/>
    <w:basedOn w:val="Normal"/>
    <w:link w:val="HeaderChar"/>
    <w:uiPriority w:val="99"/>
    <w:unhideWhenUsed/>
    <w:rsid w:val="00960792"/>
    <w:pPr>
      <w:tabs>
        <w:tab w:val="center" w:pos="4680"/>
        <w:tab w:val="right" w:pos="9360"/>
      </w:tabs>
    </w:pPr>
  </w:style>
  <w:style w:type="character" w:styleId="HeaderChar" w:customStyle="1">
    <w:name w:val="Header Char"/>
    <w:basedOn w:val="DefaultParagraphFont"/>
    <w:link w:val="Header"/>
    <w:uiPriority w:val="99"/>
    <w:rsid w:val="00960792"/>
  </w:style>
  <w:style w:type="paragraph" w:styleId="FootnoteText">
    <w:name w:val="footnote text"/>
    <w:basedOn w:val="Normal"/>
    <w:link w:val="FootnoteTextChar"/>
    <w:uiPriority w:val="99"/>
    <w:unhideWhenUsed/>
    <w:qFormat/>
    <w:rsid w:val="00960792"/>
    <w:pPr>
      <w:spacing w:after="120"/>
      <w:ind w:firstLine="720"/>
    </w:pPr>
    <w:rPr>
      <w:szCs w:val="24"/>
    </w:rPr>
  </w:style>
  <w:style w:type="character" w:styleId="FootnoteTextChar" w:customStyle="1">
    <w:name w:val="Footnote Text Char"/>
    <w:basedOn w:val="DefaultParagraphFont"/>
    <w:link w:val="FootnoteText"/>
    <w:uiPriority w:val="99"/>
    <w:rsid w:val="00960792"/>
    <w:rPr>
      <w:rFonts w:ascii="Times New Roman" w:hAnsi="Times New Roman" w:eastAsia="Times New Roman" w:cs="Times New Roman"/>
      <w:sz w:val="24"/>
      <w:szCs w:val="24"/>
    </w:rPr>
  </w:style>
  <w:style w:type="character" w:styleId="FootnoteReference">
    <w:name w:val="footnote reference"/>
    <w:basedOn w:val="DefaultParagraphFont"/>
    <w:uiPriority w:val="99"/>
    <w:semiHidden/>
    <w:unhideWhenUsed/>
    <w:qFormat/>
    <w:rsid w:val="00960792"/>
    <w:rPr>
      <w:vertAlign w:val="superscript"/>
    </w:rPr>
  </w:style>
  <w:style w:type="paragraph" w:styleId="ListParagraph">
    <w:name w:val="List Paragraph"/>
    <w:basedOn w:val="Normal"/>
    <w:uiPriority w:val="34"/>
    <w:qFormat/>
    <w:rsid w:val="00960792"/>
    <w:pPr>
      <w:ind w:left="720"/>
      <w:contextualSpacing/>
    </w:pPr>
  </w:style>
  <w:style w:type="paragraph" w:styleId="gtVenueLine" w:customStyle="1">
    <w:name w:val="gtVenueLine"/>
    <w:basedOn w:val="Normal"/>
    <w:rsid w:val="00205427"/>
    <w:pPr>
      <w:spacing w:after="480" w:line="560" w:lineRule="exact"/>
      <w:jc w:val="center"/>
    </w:pPr>
    <w:rPr>
      <w:b/>
      <w:caps/>
      <w:color w:val="FF0000"/>
      <w:sz w:val="28"/>
    </w:rPr>
  </w:style>
  <w:style w:type="character" w:styleId="CommentReference">
    <w:name w:val="annotation reference"/>
    <w:basedOn w:val="DefaultParagraphFont"/>
    <w:uiPriority w:val="99"/>
    <w:semiHidden/>
    <w:unhideWhenUsed/>
    <w:rsid w:val="00861AA4"/>
    <w:rPr>
      <w:sz w:val="16"/>
      <w:szCs w:val="16"/>
    </w:rPr>
  </w:style>
  <w:style w:type="paragraph" w:styleId="CommentText">
    <w:name w:val="annotation text"/>
    <w:basedOn w:val="Normal"/>
    <w:link w:val="CommentTextChar"/>
    <w:uiPriority w:val="99"/>
    <w:semiHidden/>
    <w:unhideWhenUsed/>
    <w:rsid w:val="00861AA4"/>
    <w:rPr>
      <w:sz w:val="20"/>
    </w:rPr>
  </w:style>
  <w:style w:type="character" w:styleId="CommentTextChar" w:customStyle="1">
    <w:name w:val="Comment Text Char"/>
    <w:basedOn w:val="DefaultParagraphFont"/>
    <w:link w:val="CommentText"/>
    <w:uiPriority w:val="99"/>
    <w:semiHidden/>
    <w:rsid w:val="00861AA4"/>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1AA4"/>
    <w:rPr>
      <w:b/>
      <w:bCs/>
    </w:rPr>
  </w:style>
  <w:style w:type="character" w:styleId="CommentSubjectChar" w:customStyle="1">
    <w:name w:val="Comment Subject Char"/>
    <w:basedOn w:val="CommentTextChar"/>
    <w:link w:val="CommentSubject"/>
    <w:uiPriority w:val="99"/>
    <w:semiHidden/>
    <w:rsid w:val="00861AA4"/>
    <w:rPr>
      <w:rFonts w:ascii="Times New Roman" w:hAnsi="Times New Roman" w:eastAsia="Times New Roman" w:cs="Times New Roman"/>
      <w:b/>
      <w:bCs/>
      <w:sz w:val="20"/>
      <w:szCs w:val="20"/>
    </w:rPr>
  </w:style>
  <w:style w:type="paragraph" w:styleId="Revision">
    <w:name w:val="Revision"/>
    <w:hidden/>
    <w:uiPriority w:val="99"/>
    <w:semiHidden/>
    <w:rsid w:val="00861AA4"/>
    <w:pPr>
      <w:spacing w:after="0" w:line="240" w:lineRule="auto"/>
    </w:pPr>
    <w:rPr>
      <w:rFonts w:ascii="Times New Roman" w:hAnsi="Times New Roman" w:eastAsia="Times New Roman" w:cs="Times New Roman"/>
      <w:sz w:val="24"/>
      <w:szCs w:val="20"/>
    </w:rPr>
  </w:style>
  <w:style w:type="character" w:styleId="Hyperlink">
    <w:name w:val="Hyperlink"/>
    <w:basedOn w:val="DefaultParagraphFont"/>
    <w:uiPriority w:val="99"/>
    <w:unhideWhenUsed/>
    <w:rsid w:val="00314B56"/>
    <w:rPr>
      <w:color w:val="0563C1" w:themeColor="hyperlink"/>
      <w:u w:val="single"/>
    </w:rPr>
  </w:style>
  <w:style w:type="character" w:styleId="UnresolvedMention">
    <w:name w:val="Unresolved Mention"/>
    <w:basedOn w:val="DefaultParagraphFont"/>
    <w:uiPriority w:val="99"/>
    <w:semiHidden/>
    <w:unhideWhenUsed/>
    <w:rsid w:val="00314B56"/>
    <w:rPr>
      <w:color w:val="605E5C"/>
      <w:shd w:val="clear" w:color="auto" w:fill="E1DFDD"/>
    </w:rPr>
  </w:style>
  <w:style w:type="character" w:styleId="Heading1Char" w:customStyle="1">
    <w:name w:val="Heading 1 Char"/>
    <w:basedOn w:val="DefaultParagraphFont"/>
    <w:link w:val="Heading1"/>
    <w:uiPriority w:val="9"/>
    <w:rsid w:val="003B1DCD"/>
    <w:rPr>
      <w:rFonts w:ascii="Times New Roman" w:hAnsi="Times New Roman" w:eastAsiaTheme="majorEastAsia" w:cstheme="majorBidi"/>
      <w:b/>
      <w:sz w:val="24"/>
      <w:szCs w:val="32"/>
      <w:u w:val="single"/>
    </w:rPr>
  </w:style>
  <w:style w:type="character" w:styleId="Heading2Char" w:customStyle="1">
    <w:name w:val="Heading 2 Char"/>
    <w:basedOn w:val="DefaultParagraphFont"/>
    <w:link w:val="Heading2"/>
    <w:uiPriority w:val="9"/>
    <w:rsid w:val="00704F28"/>
    <w:rPr>
      <w:rFonts w:ascii="Times New Roman" w:hAnsi="Times New Roman" w:eastAsiaTheme="majorEastAsia" w:cstheme="majorBidi"/>
      <w:b/>
      <w:sz w:val="24"/>
      <w:szCs w:val="26"/>
    </w:rPr>
  </w:style>
  <w:style w:type="character" w:styleId="Heading3Char" w:customStyle="1">
    <w:name w:val="Heading 3 Char"/>
    <w:basedOn w:val="DefaultParagraphFont"/>
    <w:link w:val="Heading3"/>
    <w:uiPriority w:val="9"/>
    <w:rsid w:val="00704F28"/>
    <w:rPr>
      <w:rFonts w:ascii="Times New Roman Bold" w:hAnsi="Times New Roman Bold" w:eastAsiaTheme="majorEastAsia" w:cstheme="majorBidi"/>
      <w:b/>
      <w:sz w:val="24"/>
      <w:szCs w:val="24"/>
    </w:rPr>
  </w:style>
  <w:style w:type="paragraph" w:styleId="TOC1">
    <w:name w:val="toc 1"/>
    <w:basedOn w:val="Normal"/>
    <w:next w:val="Normal"/>
    <w:autoRedefine/>
    <w:uiPriority w:val="39"/>
    <w:unhideWhenUsed/>
    <w:rsid w:val="00CE76D8"/>
    <w:pPr>
      <w:spacing w:after="100"/>
    </w:pPr>
  </w:style>
  <w:style w:type="paragraph" w:styleId="TOC2">
    <w:name w:val="toc 2"/>
    <w:basedOn w:val="Normal"/>
    <w:next w:val="Normal"/>
    <w:autoRedefine/>
    <w:uiPriority w:val="39"/>
    <w:unhideWhenUsed/>
    <w:rsid w:val="00E96310"/>
    <w:pPr>
      <w:tabs>
        <w:tab w:val="left" w:pos="660"/>
        <w:tab w:val="right" w:leader="dot" w:pos="9350"/>
      </w:tabs>
      <w:spacing w:before="240" w:after="240"/>
      <w:ind w:left="720" w:hanging="475"/>
    </w:pPr>
  </w:style>
  <w:style w:type="paragraph" w:styleId="TOC3">
    <w:name w:val="toc 3"/>
    <w:basedOn w:val="Normal"/>
    <w:next w:val="Normal"/>
    <w:autoRedefine/>
    <w:uiPriority w:val="39"/>
    <w:unhideWhenUsed/>
    <w:rsid w:val="00E96310"/>
    <w:pPr>
      <w:tabs>
        <w:tab w:val="left" w:pos="880"/>
        <w:tab w:val="right" w:leader="dot" w:pos="9350"/>
      </w:tabs>
      <w:spacing w:before="120" w:after="120"/>
      <w:ind w:left="900" w:hanging="428"/>
    </w:pPr>
  </w:style>
  <w:style w:type="paragraph" w:styleId="BATOAEntry" w:customStyle="1">
    <w:name w:val="BA TOA Entry"/>
    <w:link w:val="BATOAEntryChar"/>
    <w:qFormat/>
    <w:rsid w:val="00054A54"/>
    <w:pPr>
      <w:keepLines/>
      <w:tabs>
        <w:tab w:val="right" w:leader="dot" w:pos="9360"/>
      </w:tabs>
      <w:spacing w:after="240" w:line="240" w:lineRule="auto"/>
      <w:ind w:left="360" w:right="1440" w:hanging="360"/>
    </w:pPr>
    <w:rPr>
      <w:rFonts w:ascii="Times New Roman" w:hAnsi="Times New Roman" w:eastAsia="Times New Roman" w:cs="Times New Roman"/>
      <w:sz w:val="24"/>
      <w:szCs w:val="24"/>
    </w:rPr>
  </w:style>
  <w:style w:type="character" w:styleId="BATOAEntryChar" w:customStyle="1">
    <w:name w:val="BA TOA Entry Char"/>
    <w:basedOn w:val="DefaultParagraphFont"/>
    <w:link w:val="BATOAEntry"/>
    <w:rsid w:val="00054A54"/>
    <w:rPr>
      <w:rFonts w:ascii="Times New Roman" w:hAnsi="Times New Roman" w:eastAsia="Times New Roman" w:cs="Times New Roman"/>
      <w:sz w:val="24"/>
      <w:szCs w:val="24"/>
    </w:rPr>
  </w:style>
  <w:style w:type="paragraph" w:styleId="BATOAHeading" w:customStyle="1">
    <w:name w:val="BA TOA Heading"/>
    <w:basedOn w:val="BATOAEntry"/>
    <w:qFormat/>
    <w:rsid w:val="00054A54"/>
    <w:pPr>
      <w:keepNext/>
      <w:ind w:right="0"/>
    </w:pPr>
    <w:rPr>
      <w:b/>
    </w:rPr>
  </w:style>
  <w:style w:type="paragraph" w:styleId="BATOAPageHeading" w:customStyle="1">
    <w:name w:val="BA TOA Page Heading"/>
    <w:basedOn w:val="BATOAEntry"/>
    <w:qFormat/>
    <w:rsid w:val="00054A54"/>
    <w:pPr>
      <w:keepNext/>
      <w:tabs>
        <w:tab w:val="right" w:pos="9360"/>
      </w:tabs>
      <w:ind w:right="0"/>
      <w:jc w:val="right"/>
    </w:pPr>
    <w:rPr>
      <w:b/>
    </w:rPr>
  </w:style>
  <w:style w:type="paragraph" w:styleId="BATOATitle" w:customStyle="1">
    <w:name w:val="BA TOA Title"/>
    <w:basedOn w:val="BATOAEntry"/>
    <w:link w:val="BATOATitleChar"/>
    <w:qFormat/>
    <w:rsid w:val="00054A54"/>
    <w:pPr>
      <w:keepNext/>
      <w:ind w:right="0"/>
      <w:jc w:val="center"/>
    </w:pPr>
    <w:rPr>
      <w:b/>
      <w:caps/>
      <w:u w:val="single"/>
    </w:rPr>
  </w:style>
  <w:style w:type="character" w:styleId="BATOATitleChar" w:customStyle="1">
    <w:name w:val="BA TOA Title Char"/>
    <w:basedOn w:val="BATOAEntryChar"/>
    <w:link w:val="BATOATitle"/>
    <w:rsid w:val="00054A54"/>
    <w:rPr>
      <w:rFonts w:ascii="Times New Roman" w:hAnsi="Times New Roman" w:eastAsia="Times New Roman" w:cs="Times New Roman"/>
      <w:b/>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0119">
      <w:bodyDiv w:val="1"/>
      <w:marLeft w:val="0"/>
      <w:marRight w:val="0"/>
      <w:marTop w:val="0"/>
      <w:marBottom w:val="0"/>
      <w:divBdr>
        <w:top w:val="none" w:sz="0" w:space="0" w:color="auto"/>
        <w:left w:val="none" w:sz="0" w:space="0" w:color="auto"/>
        <w:bottom w:val="none" w:sz="0" w:space="0" w:color="auto"/>
        <w:right w:val="none" w:sz="0" w:space="0" w:color="auto"/>
      </w:divBdr>
    </w:div>
    <w:div w:id="535121393">
      <w:bodyDiv w:val="1"/>
      <w:marLeft w:val="0"/>
      <w:marRight w:val="0"/>
      <w:marTop w:val="0"/>
      <w:marBottom w:val="0"/>
      <w:divBdr>
        <w:top w:val="none" w:sz="0" w:space="0" w:color="auto"/>
        <w:left w:val="none" w:sz="0" w:space="0" w:color="auto"/>
        <w:bottom w:val="none" w:sz="0" w:space="0" w:color="auto"/>
        <w:right w:val="none" w:sz="0" w:space="0" w:color="auto"/>
      </w:divBdr>
    </w:div>
    <w:div w:id="889925425">
      <w:bodyDiv w:val="1"/>
      <w:marLeft w:val="0"/>
      <w:marRight w:val="0"/>
      <w:marTop w:val="0"/>
      <w:marBottom w:val="0"/>
      <w:divBdr>
        <w:top w:val="none" w:sz="0" w:space="0" w:color="auto"/>
        <w:left w:val="none" w:sz="0" w:space="0" w:color="auto"/>
        <w:bottom w:val="none" w:sz="0" w:space="0" w:color="auto"/>
        <w:right w:val="none" w:sz="0" w:space="0" w:color="auto"/>
      </w:divBdr>
    </w:div>
    <w:div w:id="15553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