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023C" w14:textId="77777777" w:rsidR="007338DA" w:rsidRDefault="00107129">
      <w:pPr>
        <w:pStyle w:val="BodyText"/>
        <w:ind w:left="4075"/>
        <w:rPr>
          <w:sz w:val="20"/>
        </w:rPr>
      </w:pPr>
      <w:r>
        <w:rPr>
          <w:noProof/>
          <w:sz w:val="20"/>
        </w:rPr>
        <w:drawing>
          <wp:inline distT="0" distB="0" distL="0" distR="0" wp14:anchorId="3CDDE4B6" wp14:editId="279BE69F">
            <wp:extent cx="902512" cy="9121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512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5844C" w14:textId="77777777" w:rsidR="007338DA" w:rsidRDefault="007338DA">
      <w:pPr>
        <w:pStyle w:val="BodyText"/>
        <w:spacing w:before="9"/>
        <w:rPr>
          <w:sz w:val="26"/>
        </w:rPr>
      </w:pPr>
    </w:p>
    <w:p w14:paraId="436142E8" w14:textId="77777777" w:rsidR="007338DA" w:rsidRDefault="00107129">
      <w:pPr>
        <w:spacing w:before="88"/>
        <w:ind w:left="3890" w:right="3895"/>
        <w:jc w:val="center"/>
        <w:rPr>
          <w:b/>
          <w:sz w:val="28"/>
        </w:rPr>
      </w:pPr>
      <w:r>
        <w:rPr>
          <w:b/>
          <w:sz w:val="28"/>
        </w:rPr>
        <w:t>Practice FAQ:</w:t>
      </w:r>
    </w:p>
    <w:p w14:paraId="05509C52" w14:textId="4532E223" w:rsidR="007338DA" w:rsidRDefault="00107129">
      <w:pPr>
        <w:spacing w:before="68"/>
        <w:ind w:left="2305"/>
        <w:rPr>
          <w:b/>
          <w:sz w:val="14"/>
        </w:rPr>
      </w:pPr>
      <w:r>
        <w:rPr>
          <w:rFonts w:ascii="TimesNewRomanPS-BoldItalicMT"/>
          <w:b/>
          <w:i/>
          <w:sz w:val="28"/>
        </w:rPr>
        <w:t xml:space="preserve">Matter of </w:t>
      </w:r>
      <w:r w:rsidR="00B81DFE">
        <w:rPr>
          <w:rFonts w:ascii="TimesNewRomanPS-BoldItalicMT"/>
          <w:b/>
          <w:i/>
          <w:sz w:val="28"/>
        </w:rPr>
        <w:t>L-N-Y-</w:t>
      </w:r>
      <w:r>
        <w:rPr>
          <w:rFonts w:ascii="TimesNewRomanPS-BoldItalicMT"/>
          <w:b/>
          <w:i/>
          <w:sz w:val="28"/>
        </w:rPr>
        <w:t xml:space="preserve">, </w:t>
      </w:r>
      <w:r>
        <w:rPr>
          <w:b/>
          <w:sz w:val="28"/>
        </w:rPr>
        <w:t xml:space="preserve">27 I&amp;N </w:t>
      </w:r>
      <w:r w:rsidR="00B81DFE">
        <w:rPr>
          <w:b/>
          <w:sz w:val="28"/>
        </w:rPr>
        <w:t xml:space="preserve">Dec. </w:t>
      </w:r>
      <w:r>
        <w:rPr>
          <w:b/>
          <w:sz w:val="28"/>
        </w:rPr>
        <w:t>755 (BIA 2020)</w:t>
      </w:r>
      <w:r>
        <w:rPr>
          <w:b/>
          <w:position w:val="9"/>
          <w:sz w:val="14"/>
        </w:rPr>
        <w:t>1</w:t>
      </w:r>
    </w:p>
    <w:p w14:paraId="0089A7B2" w14:textId="77777777" w:rsidR="007338DA" w:rsidRDefault="007338DA">
      <w:pPr>
        <w:pStyle w:val="BodyText"/>
        <w:rPr>
          <w:b/>
          <w:sz w:val="30"/>
        </w:rPr>
      </w:pPr>
    </w:p>
    <w:p w14:paraId="3BF30A17" w14:textId="74315C8C" w:rsidR="007338DA" w:rsidRDefault="00EF590D">
      <w:pPr>
        <w:spacing w:before="256"/>
        <w:ind w:left="100"/>
        <w:rPr>
          <w:rFonts w:ascii="TimesNewRomanPS-BoldItalicMT"/>
          <w:b/>
          <w:i/>
          <w:sz w:val="24"/>
        </w:rPr>
      </w:pPr>
      <w:r>
        <w:rPr>
          <w:rFonts w:ascii="TimesNewRomanPS-BoldItalicMT"/>
          <w:b/>
          <w:i/>
          <w:color w:val="212121"/>
          <w:sz w:val="24"/>
        </w:rPr>
        <w:t>L-N-Y-</w:t>
      </w:r>
      <w:r w:rsidR="00107129">
        <w:rPr>
          <w:rFonts w:ascii="TimesNewRomanPS-BoldItalicMT"/>
          <w:b/>
          <w:i/>
          <w:color w:val="212121"/>
          <w:sz w:val="24"/>
        </w:rPr>
        <w:t xml:space="preserve"> </w:t>
      </w:r>
      <w:r w:rsidR="00107129">
        <w:rPr>
          <w:b/>
          <w:color w:val="212121"/>
          <w:sz w:val="24"/>
        </w:rPr>
        <w:t xml:space="preserve">does not </w:t>
      </w:r>
      <w:proofErr w:type="spellStart"/>
      <w:r w:rsidR="00107129">
        <w:rPr>
          <w:b/>
          <w:color w:val="212121"/>
          <w:sz w:val="24"/>
        </w:rPr>
        <w:t>Supercede</w:t>
      </w:r>
      <w:proofErr w:type="spellEnd"/>
      <w:r w:rsidR="00107129">
        <w:rPr>
          <w:b/>
          <w:color w:val="212121"/>
          <w:sz w:val="24"/>
        </w:rPr>
        <w:t xml:space="preserve"> </w:t>
      </w:r>
      <w:r w:rsidR="00107129">
        <w:rPr>
          <w:rFonts w:ascii="TimesNewRomanPS-BoldItalicMT"/>
          <w:b/>
          <w:i/>
          <w:color w:val="212121"/>
          <w:sz w:val="24"/>
        </w:rPr>
        <w:t>Sanchez Sosa</w:t>
      </w:r>
    </w:p>
    <w:p w14:paraId="75D6F78F" w14:textId="77777777" w:rsidR="007338DA" w:rsidRDefault="007338DA">
      <w:pPr>
        <w:pStyle w:val="BodyText"/>
        <w:spacing w:before="6"/>
        <w:rPr>
          <w:rFonts w:ascii="TimesNewRomanPS-BoldItalicMT"/>
          <w:b/>
          <w:i/>
          <w:sz w:val="21"/>
        </w:rPr>
      </w:pPr>
    </w:p>
    <w:p w14:paraId="52E42122" w14:textId="003E48DD" w:rsidR="007338DA" w:rsidRDefault="00EF590D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auto"/>
        <w:ind w:right="993"/>
        <w:rPr>
          <w:sz w:val="24"/>
        </w:rPr>
      </w:pPr>
      <w:r>
        <w:rPr>
          <w:i/>
          <w:color w:val="212121"/>
          <w:sz w:val="24"/>
        </w:rPr>
        <w:t>L-N-Y-</w:t>
      </w:r>
      <w:r w:rsidR="00107129">
        <w:rPr>
          <w:i/>
          <w:color w:val="212121"/>
          <w:sz w:val="24"/>
        </w:rPr>
        <w:t xml:space="preserve"> </w:t>
      </w:r>
      <w:r w:rsidR="00107129">
        <w:rPr>
          <w:color w:val="212121"/>
          <w:sz w:val="24"/>
        </w:rPr>
        <w:t xml:space="preserve">decision maps </w:t>
      </w:r>
      <w:r w:rsidR="00107129">
        <w:rPr>
          <w:i/>
          <w:color w:val="212121"/>
          <w:sz w:val="24"/>
        </w:rPr>
        <w:t xml:space="preserve">L-A-B-R- </w:t>
      </w:r>
      <w:r w:rsidR="00107129">
        <w:rPr>
          <w:color w:val="212121"/>
          <w:sz w:val="24"/>
        </w:rPr>
        <w:t xml:space="preserve">factors onto </w:t>
      </w:r>
      <w:r w:rsidR="00107129">
        <w:rPr>
          <w:i/>
          <w:color w:val="212121"/>
          <w:sz w:val="24"/>
        </w:rPr>
        <w:t xml:space="preserve">Sanchez Sosa </w:t>
      </w:r>
      <w:r w:rsidR="00107129">
        <w:rPr>
          <w:color w:val="212121"/>
          <w:sz w:val="24"/>
        </w:rPr>
        <w:t xml:space="preserve">decision, but does </w:t>
      </w:r>
      <w:r w:rsidR="00107129">
        <w:rPr>
          <w:color w:val="212121"/>
          <w:spacing w:val="-6"/>
          <w:sz w:val="24"/>
        </w:rPr>
        <w:t xml:space="preserve">not </w:t>
      </w:r>
      <w:proofErr w:type="spellStart"/>
      <w:r w:rsidR="00107129">
        <w:rPr>
          <w:color w:val="212121"/>
          <w:sz w:val="24"/>
        </w:rPr>
        <w:t>supercede</w:t>
      </w:r>
      <w:proofErr w:type="spellEnd"/>
      <w:r w:rsidR="00107129">
        <w:rPr>
          <w:color w:val="212121"/>
          <w:sz w:val="24"/>
        </w:rPr>
        <w:t xml:space="preserve"> either case.</w:t>
      </w:r>
    </w:p>
    <w:p w14:paraId="14D7FCAE" w14:textId="77777777" w:rsidR="007338DA" w:rsidRDefault="0010712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auto"/>
        <w:ind w:right="707"/>
        <w:rPr>
          <w:sz w:val="24"/>
        </w:rPr>
      </w:pPr>
      <w:r>
        <w:rPr>
          <w:color w:val="212121"/>
          <w:sz w:val="24"/>
        </w:rPr>
        <w:t xml:space="preserve">IJs must consider primary and secondary factors when determining whether there </w:t>
      </w:r>
      <w:r>
        <w:rPr>
          <w:color w:val="212121"/>
          <w:spacing w:val="-9"/>
          <w:sz w:val="24"/>
        </w:rPr>
        <w:t xml:space="preserve">is </w:t>
      </w:r>
      <w:r>
        <w:rPr>
          <w:color w:val="212121"/>
          <w:sz w:val="24"/>
        </w:rPr>
        <w:t>“good cause” for a continuance.</w:t>
      </w:r>
    </w:p>
    <w:p w14:paraId="3D056532" w14:textId="77777777" w:rsidR="007338DA" w:rsidRDefault="0010712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4" w:lineRule="exact"/>
        <w:rPr>
          <w:sz w:val="24"/>
        </w:rPr>
      </w:pPr>
      <w:r>
        <w:rPr>
          <w:color w:val="212121"/>
          <w:sz w:val="24"/>
        </w:rPr>
        <w:t>Primary Factors are:</w:t>
      </w:r>
    </w:p>
    <w:p w14:paraId="1307FBAB" w14:textId="77777777" w:rsidR="007338DA" w:rsidRDefault="0010712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50"/>
        <w:rPr>
          <w:sz w:val="24"/>
        </w:rPr>
      </w:pPr>
      <w:r>
        <w:rPr>
          <w:i/>
          <w:color w:val="212121"/>
          <w:sz w:val="24"/>
        </w:rPr>
        <w:t xml:space="preserve">Prima facie </w:t>
      </w:r>
      <w:r>
        <w:rPr>
          <w:color w:val="212121"/>
          <w:sz w:val="24"/>
        </w:rPr>
        <w:t>eligibility</w:t>
      </w:r>
    </w:p>
    <w:p w14:paraId="344E940E" w14:textId="77777777" w:rsidR="007338DA" w:rsidRDefault="0010712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53" w:line="288" w:lineRule="auto"/>
        <w:ind w:right="1893"/>
        <w:rPr>
          <w:sz w:val="24"/>
        </w:rPr>
      </w:pPr>
      <w:r>
        <w:rPr>
          <w:color w:val="212121"/>
          <w:sz w:val="24"/>
        </w:rPr>
        <w:t xml:space="preserve">Whether U visa grant will materially affect outcome of </w:t>
      </w:r>
      <w:r>
        <w:rPr>
          <w:color w:val="212121"/>
          <w:spacing w:val="-3"/>
          <w:sz w:val="24"/>
        </w:rPr>
        <w:t xml:space="preserve">removal </w:t>
      </w:r>
      <w:r>
        <w:rPr>
          <w:color w:val="212121"/>
          <w:sz w:val="24"/>
        </w:rPr>
        <w:t>proceedings</w:t>
      </w:r>
    </w:p>
    <w:p w14:paraId="4592BB1F" w14:textId="77777777" w:rsidR="007338DA" w:rsidRDefault="0010712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74" w:lineRule="exact"/>
        <w:rPr>
          <w:sz w:val="24"/>
        </w:rPr>
      </w:pPr>
      <w:r>
        <w:rPr>
          <w:color w:val="212121"/>
          <w:sz w:val="24"/>
        </w:rPr>
        <w:t>Secondary Factors include:</w:t>
      </w:r>
    </w:p>
    <w:p w14:paraId="29216C87" w14:textId="77777777" w:rsidR="007338DA" w:rsidRDefault="0010712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53"/>
        <w:rPr>
          <w:sz w:val="24"/>
        </w:rPr>
      </w:pPr>
      <w:r>
        <w:rPr>
          <w:color w:val="212121"/>
          <w:sz w:val="24"/>
        </w:rPr>
        <w:t>Diligence</w:t>
      </w:r>
    </w:p>
    <w:p w14:paraId="024D4FD6" w14:textId="77777777" w:rsidR="007338DA" w:rsidRDefault="0010712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53"/>
        <w:rPr>
          <w:sz w:val="24"/>
        </w:rPr>
      </w:pPr>
      <w:r>
        <w:rPr>
          <w:color w:val="212121"/>
          <w:sz w:val="24"/>
        </w:rPr>
        <w:t>Administrative efficiency</w:t>
      </w:r>
    </w:p>
    <w:p w14:paraId="6AFC8195" w14:textId="77777777" w:rsidR="007338DA" w:rsidRDefault="0010712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53"/>
        <w:rPr>
          <w:sz w:val="24"/>
        </w:rPr>
      </w:pPr>
      <w:r>
        <w:rPr>
          <w:color w:val="212121"/>
          <w:sz w:val="24"/>
        </w:rPr>
        <w:t>DHS's position</w:t>
      </w:r>
    </w:p>
    <w:p w14:paraId="74041DD9" w14:textId="77777777" w:rsidR="007338DA" w:rsidRDefault="007338DA">
      <w:pPr>
        <w:pStyle w:val="BodyText"/>
        <w:spacing w:before="7"/>
        <w:rPr>
          <w:sz w:val="21"/>
        </w:rPr>
      </w:pPr>
    </w:p>
    <w:p w14:paraId="5CFA142D" w14:textId="77777777" w:rsidR="007338DA" w:rsidRDefault="00107129">
      <w:pPr>
        <w:pStyle w:val="Heading1"/>
      </w:pPr>
      <w:r>
        <w:rPr>
          <w:color w:val="212121"/>
        </w:rPr>
        <w:t>Practice Pointers</w:t>
      </w:r>
    </w:p>
    <w:p w14:paraId="00E4F66A" w14:textId="77777777" w:rsidR="007338DA" w:rsidRDefault="007338DA">
      <w:pPr>
        <w:pStyle w:val="BodyText"/>
        <w:spacing w:before="8"/>
        <w:rPr>
          <w:b/>
          <w:sz w:val="21"/>
        </w:rPr>
      </w:pPr>
    </w:p>
    <w:p w14:paraId="6ACE01D8" w14:textId="74F38A05" w:rsidR="007338DA" w:rsidRDefault="00107129">
      <w:pPr>
        <w:pStyle w:val="BodyText"/>
        <w:spacing w:line="288" w:lineRule="auto"/>
        <w:ind w:left="820" w:right="733"/>
      </w:pPr>
      <w:r>
        <w:rPr>
          <w:i/>
          <w:color w:val="212121"/>
          <w:spacing w:val="-147"/>
          <w:u w:val="single" w:color="212121"/>
        </w:rPr>
        <w:t>P</w:t>
      </w:r>
      <w:r>
        <w:rPr>
          <w:i/>
          <w:color w:val="212121"/>
          <w:spacing w:val="90"/>
        </w:rPr>
        <w:t xml:space="preserve"> </w:t>
      </w:r>
      <w:proofErr w:type="spellStart"/>
      <w:r>
        <w:rPr>
          <w:i/>
          <w:color w:val="212121"/>
          <w:u w:val="single" w:color="212121"/>
        </w:rPr>
        <w:t>rima</w:t>
      </w:r>
      <w:proofErr w:type="spellEnd"/>
      <w:r>
        <w:rPr>
          <w:i/>
          <w:color w:val="212121"/>
          <w:u w:val="single" w:color="212121"/>
        </w:rPr>
        <w:t xml:space="preserve"> Facie </w:t>
      </w:r>
      <w:r>
        <w:rPr>
          <w:color w:val="212121"/>
          <w:u w:val="single" w:color="212121"/>
        </w:rPr>
        <w:t>Eligibility</w:t>
      </w:r>
      <w:r>
        <w:rPr>
          <w:color w:val="212121"/>
        </w:rPr>
        <w:t xml:space="preserve">: USCIS should make prima facie determination (PFD) because it has training and jurisdiction over U visa petitions. Ask IJ to order ICE Office of the Chief Counsel (OCC) to request a PFD from USCIS and argue that this request will result in administrative efficiency for the court. As an </w:t>
      </w:r>
      <w:r>
        <w:rPr>
          <w:color w:val="212121"/>
          <w:spacing w:val="-2"/>
        </w:rPr>
        <w:t xml:space="preserve">alternative, </w:t>
      </w:r>
      <w:r>
        <w:rPr>
          <w:color w:val="212121"/>
        </w:rPr>
        <w:t xml:space="preserve">IJ has to make PFD pursuant to </w:t>
      </w:r>
      <w:r>
        <w:rPr>
          <w:i/>
          <w:color w:val="212121"/>
        </w:rPr>
        <w:t xml:space="preserve">Sanchez Sosa </w:t>
      </w:r>
      <w:r>
        <w:rPr>
          <w:color w:val="212121"/>
        </w:rPr>
        <w:t xml:space="preserve">and in order to meet the </w:t>
      </w:r>
      <w:r w:rsidR="00EF590D">
        <w:rPr>
          <w:i/>
          <w:color w:val="212121"/>
        </w:rPr>
        <w:t>L-N-Y-</w:t>
      </w:r>
      <w:r>
        <w:rPr>
          <w:color w:val="212121"/>
        </w:rPr>
        <w:t>criteria for a good cause assessment.</w:t>
      </w:r>
    </w:p>
    <w:p w14:paraId="7C29A44B" w14:textId="3076AE6D" w:rsidR="007338DA" w:rsidRDefault="00107129">
      <w:pPr>
        <w:pStyle w:val="BodyText"/>
        <w:spacing w:before="188"/>
        <w:ind w:left="820"/>
      </w:pPr>
      <w:r>
        <w:rPr>
          <w:color w:val="212121"/>
          <w:spacing w:val="-214"/>
          <w:u w:val="single" w:color="212121"/>
        </w:rPr>
        <w:t>M</w:t>
      </w:r>
      <w:r>
        <w:rPr>
          <w:color w:val="212121"/>
          <w:spacing w:val="157"/>
        </w:rPr>
        <w:t xml:space="preserve"> </w:t>
      </w:r>
      <w:proofErr w:type="spellStart"/>
      <w:r>
        <w:rPr>
          <w:color w:val="212121"/>
          <w:u w:val="single" w:color="212121"/>
        </w:rPr>
        <w:t>aterially</w:t>
      </w:r>
      <w:proofErr w:type="spellEnd"/>
      <w:r>
        <w:rPr>
          <w:color w:val="212121"/>
          <w:u w:val="single" w:color="212121"/>
        </w:rPr>
        <w:t xml:space="preserve"> Affect Outcome of Proceedings</w:t>
      </w:r>
      <w:r>
        <w:rPr>
          <w:color w:val="212121"/>
        </w:rPr>
        <w:t xml:space="preserve">: BIA agreed in </w:t>
      </w:r>
      <w:r w:rsidR="00EF590D" w:rsidRPr="00EF590D">
        <w:rPr>
          <w:i/>
          <w:iCs/>
          <w:color w:val="212121"/>
        </w:rPr>
        <w:t>L-N-Y-</w:t>
      </w:r>
      <w:r>
        <w:rPr>
          <w:i/>
          <w:color w:val="212121"/>
        </w:rPr>
        <w:t xml:space="preserve"> </w:t>
      </w:r>
      <w:r>
        <w:rPr>
          <w:color w:val="212121"/>
        </w:rPr>
        <w:t>that U visa grant</w:t>
      </w:r>
    </w:p>
    <w:p w14:paraId="6490BB1E" w14:textId="77777777" w:rsidR="007338DA" w:rsidRDefault="00107129">
      <w:pPr>
        <w:pStyle w:val="BodyText"/>
        <w:spacing w:before="54"/>
        <w:ind w:left="820"/>
      </w:pPr>
      <w:r>
        <w:rPr>
          <w:color w:val="212121"/>
        </w:rPr>
        <w:t>would materially affect outcome of proceedings</w:t>
      </w:r>
    </w:p>
    <w:p w14:paraId="1F676111" w14:textId="77777777" w:rsidR="007338DA" w:rsidRDefault="007338DA">
      <w:pPr>
        <w:pStyle w:val="BodyText"/>
        <w:spacing w:before="9"/>
        <w:rPr>
          <w:sz w:val="13"/>
        </w:rPr>
      </w:pPr>
    </w:p>
    <w:p w14:paraId="5C03839E" w14:textId="5093EB8A" w:rsidR="007338DA" w:rsidRDefault="00107129">
      <w:pPr>
        <w:pStyle w:val="BodyText"/>
        <w:spacing w:before="90"/>
        <w:ind w:left="820"/>
      </w:pPr>
      <w:r>
        <w:rPr>
          <w:color w:val="212121"/>
          <w:spacing w:val="-174"/>
          <w:u w:val="single" w:color="212121"/>
        </w:rPr>
        <w:t>D</w:t>
      </w:r>
      <w:r>
        <w:rPr>
          <w:color w:val="212121"/>
          <w:spacing w:val="117"/>
        </w:rPr>
        <w:t xml:space="preserve"> </w:t>
      </w:r>
      <w:proofErr w:type="spellStart"/>
      <w:r>
        <w:rPr>
          <w:color w:val="212121"/>
          <w:u w:val="single" w:color="212121"/>
        </w:rPr>
        <w:t>iligence</w:t>
      </w:r>
      <w:proofErr w:type="spellEnd"/>
      <w:r>
        <w:rPr>
          <w:color w:val="212121"/>
        </w:rPr>
        <w:t xml:space="preserve">: Distinguish your facts from </w:t>
      </w:r>
      <w:r w:rsidR="00EF590D">
        <w:rPr>
          <w:i/>
          <w:color w:val="212121"/>
        </w:rPr>
        <w:t>L-N-Y-</w:t>
      </w:r>
      <w:r>
        <w:rPr>
          <w:color w:val="212121"/>
        </w:rPr>
        <w:t>. If there is a delay between</w:t>
      </w:r>
    </w:p>
    <w:p w14:paraId="0DDD3851" w14:textId="77777777" w:rsidR="007338DA" w:rsidRDefault="00107129">
      <w:pPr>
        <w:pStyle w:val="BodyText"/>
        <w:spacing w:before="54"/>
        <w:ind w:left="820"/>
      </w:pPr>
      <w:r>
        <w:rPr>
          <w:color w:val="212121"/>
        </w:rPr>
        <w:t>qualifying crime and U visa application, explain why. Get this in the record.</w:t>
      </w:r>
    </w:p>
    <w:p w14:paraId="7AC62ED3" w14:textId="77777777" w:rsidR="007338DA" w:rsidRDefault="007338DA">
      <w:pPr>
        <w:pStyle w:val="BodyText"/>
        <w:spacing w:before="10"/>
        <w:rPr>
          <w:sz w:val="13"/>
        </w:rPr>
      </w:pPr>
    </w:p>
    <w:p w14:paraId="1FFF45B9" w14:textId="77777777" w:rsidR="007338DA" w:rsidRDefault="00107129">
      <w:pPr>
        <w:pStyle w:val="BodyText"/>
        <w:spacing w:before="90"/>
        <w:ind w:left="820"/>
      </w:pPr>
      <w:r>
        <w:rPr>
          <w:color w:val="212121"/>
          <w:spacing w:val="-174"/>
          <w:u w:val="single" w:color="212121"/>
        </w:rPr>
        <w:t>A</w:t>
      </w:r>
      <w:r>
        <w:rPr>
          <w:color w:val="212121"/>
          <w:spacing w:val="117"/>
        </w:rPr>
        <w:t xml:space="preserve"> </w:t>
      </w:r>
      <w:proofErr w:type="spellStart"/>
      <w:r>
        <w:rPr>
          <w:color w:val="212121"/>
          <w:u w:val="single" w:color="212121"/>
        </w:rPr>
        <w:t>dministrative</w:t>
      </w:r>
      <w:proofErr w:type="spellEnd"/>
      <w:r>
        <w:rPr>
          <w:color w:val="212121"/>
          <w:u w:val="single" w:color="212121"/>
        </w:rPr>
        <w:t xml:space="preserve"> Efficiency</w:t>
      </w:r>
      <w:r>
        <w:rPr>
          <w:color w:val="212121"/>
        </w:rPr>
        <w:t>: Argue that, 1) denying continuance/ordering removal is</w:t>
      </w:r>
    </w:p>
    <w:p w14:paraId="1F22816E" w14:textId="77777777" w:rsidR="007338DA" w:rsidRDefault="00107129">
      <w:pPr>
        <w:pStyle w:val="BodyText"/>
        <w:spacing w:before="54"/>
        <w:ind w:left="820"/>
      </w:pPr>
      <w:r>
        <w:rPr>
          <w:color w:val="212121"/>
        </w:rPr>
        <w:t>not more efficient because the court will have to adjudicate a motion to reopen</w:t>
      </w:r>
    </w:p>
    <w:p w14:paraId="09CC2DC9" w14:textId="77777777" w:rsidR="007338DA" w:rsidRDefault="009A0509">
      <w:pPr>
        <w:pStyle w:val="BodyText"/>
        <w:spacing w:before="10"/>
        <w:rPr>
          <w:sz w:val="12"/>
        </w:rPr>
      </w:pPr>
      <w:r>
        <w:pict w14:anchorId="22EB26B3">
          <v:line id="_x0000_s1026" alt="" style="position:absolute;z-index:-251658752;mso-wrap-edited:f;mso-width-percent:0;mso-height-percent:0;mso-wrap-distance-left:0;mso-wrap-distance-right:0;mso-position-horizontal-relative:page;mso-width-percent:0;mso-height-percent:0" from="1in,9.8pt" to="3in,9.8pt">
            <w10:wrap type="topAndBottom" anchorx="page"/>
          </v:line>
        </w:pict>
      </w:r>
    </w:p>
    <w:p w14:paraId="542F1228" w14:textId="46E2367F" w:rsidR="007338DA" w:rsidRDefault="00107129" w:rsidP="000E2113">
      <w:pPr>
        <w:spacing w:before="83" w:line="249" w:lineRule="auto"/>
        <w:ind w:left="100" w:right="1567"/>
        <w:rPr>
          <w:sz w:val="20"/>
        </w:rPr>
        <w:sectPr w:rsidR="007338DA">
          <w:footerReference w:type="default" r:id="rId8"/>
          <w:type w:val="continuous"/>
          <w:pgSz w:w="12240" w:h="15840"/>
          <w:pgMar w:top="740" w:right="1340" w:bottom="1000" w:left="1340" w:header="720" w:footer="806" w:gutter="0"/>
          <w:pgNumType w:start="1"/>
          <w:cols w:space="720"/>
        </w:sectPr>
      </w:pPr>
      <w:r>
        <w:rPr>
          <w:position w:val="7"/>
          <w:sz w:val="12"/>
        </w:rPr>
        <w:t xml:space="preserve">1 </w:t>
      </w:r>
      <w:r>
        <w:rPr>
          <w:sz w:val="20"/>
        </w:rPr>
        <w:t xml:space="preserve">For a more detailed analysis of </w:t>
      </w:r>
      <w:r>
        <w:rPr>
          <w:i/>
          <w:sz w:val="20"/>
        </w:rPr>
        <w:t xml:space="preserve">Matter of </w:t>
      </w:r>
      <w:r w:rsidR="00EF590D">
        <w:rPr>
          <w:i/>
          <w:sz w:val="20"/>
        </w:rPr>
        <w:t>L-N-Y-</w:t>
      </w:r>
      <w:r>
        <w:rPr>
          <w:sz w:val="20"/>
        </w:rPr>
        <w:t>, take a look at ASISTA’s</w:t>
      </w:r>
      <w:r w:rsidR="000E2113">
        <w:rPr>
          <w:sz w:val="20"/>
        </w:rPr>
        <w:t xml:space="preserve"> </w:t>
      </w:r>
      <w:hyperlink r:id="rId9" w:history="1">
        <w:r w:rsidR="000E2113" w:rsidRPr="000E2113">
          <w:rPr>
            <w:rStyle w:val="Hyperlink"/>
            <w:sz w:val="20"/>
          </w:rPr>
          <w:t xml:space="preserve">Practice Advisory: The Impact of </w:t>
        </w:r>
        <w:r w:rsidR="000E2113" w:rsidRPr="000E2113">
          <w:rPr>
            <w:rStyle w:val="Hyperlink"/>
            <w:i/>
            <w:iCs/>
            <w:sz w:val="20"/>
          </w:rPr>
          <w:t>Matter of L-N-Y-,</w:t>
        </w:r>
        <w:r w:rsidR="000E2113" w:rsidRPr="000E2113">
          <w:rPr>
            <w:rStyle w:val="Hyperlink"/>
            <w:sz w:val="20"/>
          </w:rPr>
          <w:t xml:space="preserve"> 27 I&amp;N 755 (BI</w:t>
        </w:r>
        <w:r w:rsidR="000E2113" w:rsidRPr="000E2113">
          <w:rPr>
            <w:rStyle w:val="Hyperlink"/>
            <w:sz w:val="20"/>
          </w:rPr>
          <w:t>A</w:t>
        </w:r>
        <w:r w:rsidR="000E2113" w:rsidRPr="000E2113">
          <w:rPr>
            <w:rStyle w:val="Hyperlink"/>
            <w:sz w:val="20"/>
          </w:rPr>
          <w:t xml:space="preserve"> 2020).</w:t>
        </w:r>
      </w:hyperlink>
    </w:p>
    <w:p w14:paraId="2CD8642C" w14:textId="77777777" w:rsidR="007338DA" w:rsidRDefault="00107129">
      <w:pPr>
        <w:pStyle w:val="BodyText"/>
        <w:spacing w:before="61" w:line="288" w:lineRule="auto"/>
        <w:ind w:left="820" w:right="992"/>
      </w:pPr>
      <w:r>
        <w:rPr>
          <w:color w:val="212121"/>
        </w:rPr>
        <w:lastRenderedPageBreak/>
        <w:t xml:space="preserve">once U visa status is approved; and 2) delay in U visa petition processing is USCIS's fault (and OCC's, if OCC is refusing to request expedite), not </w:t>
      </w:r>
      <w:proofErr w:type="gramStart"/>
      <w:r>
        <w:rPr>
          <w:color w:val="212121"/>
        </w:rPr>
        <w:t>respondent's</w:t>
      </w:r>
      <w:proofErr w:type="gramEnd"/>
      <w:r>
        <w:rPr>
          <w:color w:val="212121"/>
        </w:rPr>
        <w:t xml:space="preserve">. If you are in the 4th Circuit, argue for administrative closure as the most efficient option pursuant to </w:t>
      </w:r>
      <w:r>
        <w:rPr>
          <w:i/>
          <w:color w:val="212121"/>
        </w:rPr>
        <w:t>Zuniga-Romero v. Barr</w:t>
      </w:r>
      <w:r>
        <w:rPr>
          <w:color w:val="212121"/>
        </w:rPr>
        <w:t xml:space="preserve">, </w:t>
      </w:r>
      <w:r>
        <w:rPr>
          <w:color w:val="20333B"/>
        </w:rPr>
        <w:t>937 F.3d 282 (4th Cir. 2019).</w:t>
      </w:r>
    </w:p>
    <w:p w14:paraId="0487A515" w14:textId="77777777" w:rsidR="007338DA" w:rsidRDefault="00107129">
      <w:pPr>
        <w:pStyle w:val="BodyText"/>
        <w:spacing w:before="189"/>
        <w:ind w:left="820"/>
      </w:pPr>
      <w:r>
        <w:rPr>
          <w:color w:val="212121"/>
          <w:spacing w:val="-174"/>
          <w:u w:val="single" w:color="212121"/>
        </w:rPr>
        <w:t>D</w:t>
      </w:r>
      <w:r>
        <w:rPr>
          <w:color w:val="212121"/>
          <w:spacing w:val="117"/>
        </w:rPr>
        <w:t xml:space="preserve"> </w:t>
      </w:r>
      <w:r>
        <w:rPr>
          <w:color w:val="212121"/>
          <w:u w:val="single" w:color="212121"/>
        </w:rPr>
        <w:t>HS's Position</w:t>
      </w:r>
      <w:r>
        <w:rPr>
          <w:color w:val="212121"/>
        </w:rPr>
        <w:t>: If on waitlist, IJ should discount opposition from DHS because</w:t>
      </w:r>
    </w:p>
    <w:p w14:paraId="62D4D9D6" w14:textId="77777777" w:rsidR="007338DA" w:rsidRDefault="00107129">
      <w:pPr>
        <w:pStyle w:val="BodyText"/>
        <w:spacing w:before="54" w:line="288" w:lineRule="auto"/>
        <w:ind w:left="820" w:right="967"/>
      </w:pPr>
      <w:r>
        <w:rPr>
          <w:color w:val="212121"/>
        </w:rPr>
        <w:t>DHS policy is to respect waitlist deferred action. If your client is not on the waitlist, IJ should still discount opposition if DHS refused to request PFD and/or expedited adjudication as this is essentially a refusal to reduce delay and administrative inefficiency by USCIS, which is part of the same agency.</w:t>
      </w:r>
    </w:p>
    <w:p w14:paraId="1AB5E453" w14:textId="4A054785" w:rsidR="007338DA" w:rsidRDefault="00107129">
      <w:pPr>
        <w:pStyle w:val="Heading1"/>
        <w:spacing w:before="190"/>
      </w:pPr>
      <w:r>
        <w:rPr>
          <w:color w:val="212121"/>
        </w:rPr>
        <w:t xml:space="preserve">Arguments for challenging BIA’s reasoning in </w:t>
      </w:r>
      <w:r w:rsidR="00EF590D" w:rsidRPr="00EF590D">
        <w:rPr>
          <w:i/>
          <w:iCs/>
          <w:color w:val="212121"/>
        </w:rPr>
        <w:t>L-N-Y</w:t>
      </w:r>
      <w:r>
        <w:rPr>
          <w:color w:val="212121"/>
        </w:rPr>
        <w:t>:</w:t>
      </w:r>
    </w:p>
    <w:p w14:paraId="4F05081D" w14:textId="77777777" w:rsidR="007338DA" w:rsidRDefault="007338DA">
      <w:pPr>
        <w:pStyle w:val="BodyText"/>
        <w:spacing w:before="6"/>
        <w:rPr>
          <w:b/>
          <w:sz w:val="21"/>
        </w:rPr>
      </w:pPr>
    </w:p>
    <w:p w14:paraId="0F1510B6" w14:textId="76FCCBC1" w:rsidR="007338DA" w:rsidRDefault="0010712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sz w:val="24"/>
        </w:rPr>
      </w:pPr>
      <w:r>
        <w:rPr>
          <w:color w:val="212121"/>
          <w:sz w:val="24"/>
        </w:rPr>
        <w:t xml:space="preserve">BIA erred in giving excess credence to DHS’s position in </w:t>
      </w:r>
      <w:r w:rsidR="00EF590D">
        <w:rPr>
          <w:i/>
          <w:color w:val="212121"/>
          <w:sz w:val="24"/>
        </w:rPr>
        <w:t>L-N-Y-</w:t>
      </w:r>
      <w:r>
        <w:rPr>
          <w:color w:val="212121"/>
          <w:sz w:val="24"/>
        </w:rPr>
        <w:t>:</w:t>
      </w:r>
    </w:p>
    <w:p w14:paraId="362ED73B" w14:textId="77777777" w:rsidR="007338DA" w:rsidRDefault="0010712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53" w:line="288" w:lineRule="auto"/>
        <w:ind w:right="906"/>
        <w:rPr>
          <w:sz w:val="24"/>
        </w:rPr>
      </w:pPr>
      <w:r>
        <w:rPr>
          <w:color w:val="212121"/>
          <w:sz w:val="24"/>
        </w:rPr>
        <w:t xml:space="preserve">U visa petitioners cannot simply obtain a U visa overseas. Removal will trigger 212(a)(9)(A) and probably 212(a)(9)(B), and petitioner must </w:t>
      </w:r>
      <w:r>
        <w:rPr>
          <w:color w:val="212121"/>
          <w:spacing w:val="-4"/>
          <w:sz w:val="24"/>
        </w:rPr>
        <w:t xml:space="preserve">apply </w:t>
      </w:r>
      <w:r>
        <w:rPr>
          <w:color w:val="212121"/>
          <w:sz w:val="24"/>
        </w:rPr>
        <w:t>for and obtain a waiver of these additional grounds.</w:t>
      </w:r>
    </w:p>
    <w:p w14:paraId="3E03C65B" w14:textId="77777777" w:rsidR="007338DA" w:rsidRDefault="00107129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line="288" w:lineRule="auto"/>
        <w:ind w:right="1100"/>
        <w:rPr>
          <w:sz w:val="24"/>
        </w:rPr>
      </w:pPr>
      <w:r>
        <w:rPr>
          <w:color w:val="212121"/>
          <w:sz w:val="24"/>
        </w:rPr>
        <w:t xml:space="preserve">Congress intended the U visa to facilitate cooperation with LEAs by reducing fear of deportation. The intention was not to deport people </w:t>
      </w:r>
      <w:r>
        <w:rPr>
          <w:color w:val="212121"/>
          <w:spacing w:val="-6"/>
          <w:sz w:val="24"/>
        </w:rPr>
        <w:t xml:space="preserve">and </w:t>
      </w:r>
      <w:r>
        <w:rPr>
          <w:color w:val="212121"/>
          <w:sz w:val="24"/>
        </w:rPr>
        <w:t>then let them come back to the US.</w:t>
      </w:r>
    </w:p>
    <w:p w14:paraId="31DD5552" w14:textId="77777777" w:rsidR="007338DA" w:rsidRDefault="007338DA">
      <w:pPr>
        <w:pStyle w:val="BodyText"/>
        <w:rPr>
          <w:sz w:val="26"/>
        </w:rPr>
      </w:pPr>
    </w:p>
    <w:p w14:paraId="131EF07A" w14:textId="77777777" w:rsidR="007338DA" w:rsidRDefault="00107129">
      <w:pPr>
        <w:pStyle w:val="BodyText"/>
        <w:spacing w:before="218"/>
        <w:ind w:left="100"/>
      </w:pPr>
      <w:r>
        <w:rPr>
          <w:color w:val="212121"/>
        </w:rPr>
        <w:t>If you have questions about your case, ASISTA Members can submit a Request for Technical</w:t>
      </w:r>
    </w:p>
    <w:p w14:paraId="24FC28F3" w14:textId="77777777" w:rsidR="007338DA" w:rsidRDefault="00107129">
      <w:pPr>
        <w:pStyle w:val="BodyText"/>
        <w:spacing w:before="54"/>
        <w:ind w:left="100"/>
      </w:pPr>
      <w:r>
        <w:rPr>
          <w:color w:val="212121"/>
        </w:rPr>
        <w:t xml:space="preserve">Assistance at </w:t>
      </w:r>
      <w:r>
        <w:rPr>
          <w:color w:val="1154CC"/>
          <w:spacing w:val="-173"/>
          <w:u w:val="single" w:color="1154CC"/>
        </w:rPr>
        <w:t>w</w:t>
      </w:r>
      <w:hyperlink r:id="rId10">
        <w:r>
          <w:rPr>
            <w:color w:val="1154CC"/>
            <w:spacing w:val="117"/>
          </w:rPr>
          <w:t xml:space="preserve"> </w:t>
        </w:r>
        <w:r>
          <w:rPr>
            <w:color w:val="1154CC"/>
            <w:u w:val="single" w:color="1154CC"/>
          </w:rPr>
          <w:t>ww.asistahelp.org</w:t>
        </w:r>
      </w:hyperlink>
      <w:r>
        <w:rPr>
          <w:color w:val="212121"/>
        </w:rPr>
        <w:t>. Not a Member yet?</w:t>
      </w:r>
      <w:hyperlink r:id="rId11">
        <w:r>
          <w:rPr>
            <w:color w:val="1154CC"/>
            <w:u w:val="single" w:color="1154CC"/>
          </w:rPr>
          <w:t xml:space="preserve"> Join ASISTA today!</w:t>
        </w:r>
      </w:hyperlink>
    </w:p>
    <w:p w14:paraId="78BBC7B1" w14:textId="77777777" w:rsidR="007338DA" w:rsidRDefault="007338DA">
      <w:pPr>
        <w:pStyle w:val="BodyText"/>
        <w:rPr>
          <w:sz w:val="20"/>
        </w:rPr>
      </w:pPr>
    </w:p>
    <w:p w14:paraId="56E8D433" w14:textId="77777777" w:rsidR="007338DA" w:rsidRDefault="007338DA">
      <w:pPr>
        <w:pStyle w:val="BodyText"/>
        <w:rPr>
          <w:sz w:val="20"/>
        </w:rPr>
      </w:pPr>
    </w:p>
    <w:p w14:paraId="3D218EF4" w14:textId="77777777" w:rsidR="007338DA" w:rsidRDefault="007338DA">
      <w:pPr>
        <w:pStyle w:val="BodyText"/>
        <w:rPr>
          <w:sz w:val="20"/>
        </w:rPr>
      </w:pPr>
    </w:p>
    <w:p w14:paraId="4B760C18" w14:textId="77777777" w:rsidR="007338DA" w:rsidRDefault="007338DA">
      <w:pPr>
        <w:pStyle w:val="BodyText"/>
        <w:rPr>
          <w:sz w:val="20"/>
        </w:rPr>
      </w:pPr>
    </w:p>
    <w:p w14:paraId="0ABACC50" w14:textId="77777777" w:rsidR="007338DA" w:rsidRDefault="007338DA">
      <w:pPr>
        <w:pStyle w:val="BodyText"/>
        <w:rPr>
          <w:sz w:val="20"/>
        </w:rPr>
      </w:pPr>
    </w:p>
    <w:p w14:paraId="3B3CD980" w14:textId="77777777" w:rsidR="007338DA" w:rsidRDefault="007338DA">
      <w:pPr>
        <w:pStyle w:val="BodyText"/>
        <w:rPr>
          <w:sz w:val="20"/>
        </w:rPr>
      </w:pPr>
    </w:p>
    <w:p w14:paraId="2870E56F" w14:textId="77777777" w:rsidR="007338DA" w:rsidRDefault="007338DA">
      <w:pPr>
        <w:pStyle w:val="BodyText"/>
        <w:rPr>
          <w:sz w:val="20"/>
        </w:rPr>
      </w:pPr>
    </w:p>
    <w:p w14:paraId="0E1E9650" w14:textId="77777777" w:rsidR="007338DA" w:rsidRDefault="007338DA">
      <w:pPr>
        <w:pStyle w:val="BodyText"/>
        <w:rPr>
          <w:sz w:val="20"/>
        </w:rPr>
      </w:pPr>
    </w:p>
    <w:p w14:paraId="46793D60" w14:textId="77777777" w:rsidR="007338DA" w:rsidRDefault="007338DA">
      <w:pPr>
        <w:pStyle w:val="BodyText"/>
        <w:rPr>
          <w:sz w:val="20"/>
        </w:rPr>
      </w:pPr>
    </w:p>
    <w:p w14:paraId="34345C33" w14:textId="77777777" w:rsidR="007338DA" w:rsidRDefault="007338DA">
      <w:pPr>
        <w:pStyle w:val="BodyText"/>
        <w:rPr>
          <w:sz w:val="20"/>
        </w:rPr>
      </w:pPr>
    </w:p>
    <w:p w14:paraId="57C1DF93" w14:textId="77777777" w:rsidR="007338DA" w:rsidRDefault="007338DA">
      <w:pPr>
        <w:pStyle w:val="BodyText"/>
        <w:rPr>
          <w:sz w:val="20"/>
        </w:rPr>
      </w:pPr>
    </w:p>
    <w:p w14:paraId="43AAFC71" w14:textId="77777777" w:rsidR="007338DA" w:rsidRDefault="007338DA">
      <w:pPr>
        <w:pStyle w:val="BodyText"/>
        <w:rPr>
          <w:sz w:val="20"/>
        </w:rPr>
      </w:pPr>
    </w:p>
    <w:p w14:paraId="11A3666D" w14:textId="77777777" w:rsidR="007338DA" w:rsidRDefault="007338DA">
      <w:pPr>
        <w:pStyle w:val="BodyText"/>
        <w:rPr>
          <w:sz w:val="20"/>
        </w:rPr>
      </w:pPr>
    </w:p>
    <w:p w14:paraId="449D223D" w14:textId="77777777" w:rsidR="007338DA" w:rsidRDefault="007338DA">
      <w:pPr>
        <w:pStyle w:val="BodyText"/>
        <w:rPr>
          <w:sz w:val="20"/>
        </w:rPr>
      </w:pPr>
    </w:p>
    <w:p w14:paraId="5B37524E" w14:textId="77777777" w:rsidR="007338DA" w:rsidRDefault="007338DA">
      <w:pPr>
        <w:pStyle w:val="BodyText"/>
        <w:rPr>
          <w:sz w:val="20"/>
        </w:rPr>
      </w:pPr>
    </w:p>
    <w:p w14:paraId="745D537F" w14:textId="77777777" w:rsidR="007338DA" w:rsidRDefault="007338DA">
      <w:pPr>
        <w:pStyle w:val="BodyText"/>
        <w:rPr>
          <w:sz w:val="20"/>
        </w:rPr>
      </w:pPr>
    </w:p>
    <w:p w14:paraId="3B59352F" w14:textId="77777777" w:rsidR="007338DA" w:rsidRDefault="007338DA">
      <w:pPr>
        <w:pStyle w:val="BodyText"/>
        <w:rPr>
          <w:sz w:val="20"/>
        </w:rPr>
      </w:pPr>
    </w:p>
    <w:p w14:paraId="685A2443" w14:textId="77777777" w:rsidR="007338DA" w:rsidRDefault="007338DA">
      <w:pPr>
        <w:pStyle w:val="BodyText"/>
        <w:rPr>
          <w:sz w:val="20"/>
        </w:rPr>
      </w:pPr>
    </w:p>
    <w:p w14:paraId="652E1686" w14:textId="77777777" w:rsidR="007338DA" w:rsidRDefault="007338DA">
      <w:pPr>
        <w:pStyle w:val="BodyText"/>
        <w:spacing w:before="7"/>
        <w:rPr>
          <w:sz w:val="15"/>
        </w:rPr>
      </w:pPr>
    </w:p>
    <w:p w14:paraId="3422FA02" w14:textId="77777777" w:rsidR="007338DA" w:rsidRDefault="00107129">
      <w:pPr>
        <w:spacing w:before="92" w:line="280" w:lineRule="auto"/>
        <w:ind w:left="100" w:right="106"/>
        <w:jc w:val="both"/>
        <w:rPr>
          <w:i/>
          <w:sz w:val="20"/>
        </w:rPr>
      </w:pPr>
      <w:r>
        <w:rPr>
          <w:i/>
          <w:color w:val="212121"/>
          <w:sz w:val="20"/>
        </w:rPr>
        <w:t>The information provided in this FAQ is legal information only and does not constitute legal advice. Copyright © 2020 by ASISTA Immigration Assistance. All rights reserved. This product or any portion thereof may not be reproduced or used without express written permission from ASISTA Immigration Assistance.</w:t>
      </w:r>
    </w:p>
    <w:sectPr w:rsidR="007338DA">
      <w:pgSz w:w="12240" w:h="15840"/>
      <w:pgMar w:top="1380" w:right="1340" w:bottom="1000" w:left="1340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56CAF" w14:textId="77777777" w:rsidR="009A0509" w:rsidRDefault="009A0509">
      <w:r>
        <w:separator/>
      </w:r>
    </w:p>
  </w:endnote>
  <w:endnote w:type="continuationSeparator" w:id="0">
    <w:p w14:paraId="13B08668" w14:textId="77777777" w:rsidR="009A0509" w:rsidRDefault="009A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BEA4A" w14:textId="77777777" w:rsidR="007338DA" w:rsidRDefault="009A0509">
    <w:pPr>
      <w:pStyle w:val="BodyText"/>
      <w:spacing w:line="14" w:lineRule="auto"/>
      <w:rPr>
        <w:sz w:val="20"/>
      </w:rPr>
    </w:pPr>
    <w:r>
      <w:pict w14:anchorId="6DFB55C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32pt;margin-top:740.7pt;width:9.5pt;height:14.2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D3D7C35" w14:textId="77777777" w:rsidR="007338DA" w:rsidRDefault="00107129">
                <w:pPr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0B83A" w14:textId="77777777" w:rsidR="009A0509" w:rsidRDefault="009A0509">
      <w:r>
        <w:separator/>
      </w:r>
    </w:p>
  </w:footnote>
  <w:footnote w:type="continuationSeparator" w:id="0">
    <w:p w14:paraId="3EC769F6" w14:textId="77777777" w:rsidR="009A0509" w:rsidRDefault="009A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21338"/>
    <w:multiLevelType w:val="hybridMultilevel"/>
    <w:tmpl w:val="17DCCF5E"/>
    <w:lvl w:ilvl="0" w:tplc="F76810D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color w:val="212121"/>
        <w:spacing w:val="-6"/>
        <w:w w:val="100"/>
        <w:sz w:val="24"/>
        <w:szCs w:val="24"/>
      </w:rPr>
    </w:lvl>
    <w:lvl w:ilvl="1" w:tplc="844A7EE6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color w:val="212121"/>
        <w:w w:val="100"/>
        <w:sz w:val="24"/>
        <w:szCs w:val="24"/>
      </w:rPr>
    </w:lvl>
    <w:lvl w:ilvl="2" w:tplc="C78CBC3A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8DA6959A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A708794E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463A94DC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68F0551A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3C6EC67E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541A0166"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8DA"/>
    <w:rsid w:val="000E2113"/>
    <w:rsid w:val="00107129"/>
    <w:rsid w:val="007338DA"/>
    <w:rsid w:val="009A0509"/>
    <w:rsid w:val="00B81DFE"/>
    <w:rsid w:val="00E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16027A"/>
  <w15:docId w15:val="{25B590FD-B6C4-BF49-A5C9-181060AE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E21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1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21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istahelp.org/membership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sistahelp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istahelp.org/wp-content/uploads/2020/10/ASISTA-Practice-Advisory-The-Impact-of-Matter-of-L-N-Y-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2020-10-02T16:38:00Z</dcterms:created>
  <dcterms:modified xsi:type="dcterms:W3CDTF">2020-10-02T18:09:00Z</dcterms:modified>
</cp:coreProperties>
</file>