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96697" w14:textId="77777777" w:rsidR="000C4837" w:rsidRPr="00923F90" w:rsidRDefault="00FD2923">
      <w:pPr>
        <w:rPr>
          <w:b/>
          <w:bCs/>
        </w:rPr>
      </w:pPr>
      <w:r w:rsidRPr="00923F90">
        <w:rPr>
          <w:b/>
          <w:bCs/>
        </w:rPr>
        <w:t xml:space="preserve">Lesson </w:t>
      </w:r>
      <w:r w:rsidR="00752DDB" w:rsidRPr="00923F90">
        <w:rPr>
          <w:b/>
          <w:bCs/>
        </w:rPr>
        <w:t xml:space="preserve">8 </w:t>
      </w:r>
      <w:r w:rsidRPr="00923F90">
        <w:rPr>
          <w:b/>
          <w:bCs/>
        </w:rPr>
        <w:t>Chapters 19-20</w:t>
      </w:r>
    </w:p>
    <w:p w14:paraId="10225850" w14:textId="44C582DC" w:rsidR="00F768C5" w:rsidRDefault="00191CB5" w:rsidP="00494ED9">
      <w:r>
        <w:rPr>
          <w:b/>
          <w:bCs/>
        </w:rPr>
        <w:t>1</w:t>
      </w:r>
      <w:r w:rsidR="004004C9">
        <w:rPr>
          <w:b/>
          <w:bCs/>
        </w:rPr>
        <w:t>9</w:t>
      </w:r>
      <w:r w:rsidR="00A8100E">
        <w:rPr>
          <w:b/>
          <w:bCs/>
        </w:rPr>
        <w:t>:</w:t>
      </w:r>
      <w:r>
        <w:rPr>
          <w:b/>
          <w:bCs/>
        </w:rPr>
        <w:t>1</w:t>
      </w:r>
      <w:r w:rsidR="00A8100E">
        <w:rPr>
          <w:b/>
          <w:bCs/>
        </w:rPr>
        <w:t>.</w:t>
      </w:r>
      <w:bookmarkStart w:id="0" w:name="_GoBack"/>
      <w:bookmarkEnd w:id="0"/>
      <w:r>
        <w:rPr>
          <w:b/>
          <w:bCs/>
        </w:rPr>
        <w:t xml:space="preserve"> </w:t>
      </w:r>
      <w:r w:rsidR="00494ED9" w:rsidRPr="004004C9">
        <w:rPr>
          <w:b/>
          <w:bCs/>
        </w:rPr>
        <w:t xml:space="preserve">Jesus </w:t>
      </w:r>
      <w:r w:rsidR="004004C9" w:rsidRPr="004004C9">
        <w:rPr>
          <w:b/>
          <w:bCs/>
        </w:rPr>
        <w:t>entered</w:t>
      </w:r>
      <w:r w:rsidR="00494ED9" w:rsidRPr="004004C9">
        <w:rPr>
          <w:b/>
          <w:bCs/>
        </w:rPr>
        <w:t xml:space="preserve"> Judea beyond the Jordan</w:t>
      </w:r>
      <w:r w:rsidR="007C649B">
        <w:t>.</w:t>
      </w:r>
      <w:r w:rsidR="007C649B">
        <w:rPr>
          <w:b/>
          <w:bCs/>
        </w:rPr>
        <w:t xml:space="preserve"> </w:t>
      </w:r>
      <w:r w:rsidR="007C649B">
        <w:t xml:space="preserve">This was </w:t>
      </w:r>
      <w:r w:rsidR="00494ED9" w:rsidRPr="00494ED9">
        <w:t xml:space="preserve">an area east of the river inhabited mainly by Jews. </w:t>
      </w:r>
      <w:r w:rsidR="00F768C5">
        <w:t>For this</w:t>
      </w:r>
      <w:r w:rsidR="00F768C5" w:rsidRPr="00F768C5">
        <w:t xml:space="preserve"> journey toward Jerusalem, Jesus takes the route along the eastern side of the Jordan River</w:t>
      </w:r>
      <w:r w:rsidR="00F768C5">
        <w:t xml:space="preserve"> called Perea, sometimes known as ‘The Land Beyond’. Although not a shorter, more direct route south to Jerusalem</w:t>
      </w:r>
      <w:r w:rsidR="00F768C5" w:rsidRPr="00F768C5">
        <w:t>, most Jews</w:t>
      </w:r>
      <w:r w:rsidR="00F768C5">
        <w:t xml:space="preserve"> traveled it</w:t>
      </w:r>
      <w:r w:rsidR="00F768C5" w:rsidRPr="00F768C5">
        <w:t xml:space="preserve"> to avoid going through Samaria</w:t>
      </w:r>
      <w:r w:rsidR="00F768C5">
        <w:t>.</w:t>
      </w:r>
      <w:r w:rsidR="00F768C5" w:rsidRPr="00F768C5">
        <w:t xml:space="preserve"> </w:t>
      </w:r>
    </w:p>
    <w:p w14:paraId="639F5D9E" w14:textId="46DF60E0" w:rsidR="00BC078C" w:rsidRDefault="00BC078C" w:rsidP="00494ED9">
      <w:pPr>
        <w:rPr>
          <w:b/>
          <w:bCs/>
        </w:rPr>
      </w:pPr>
      <w:r w:rsidRPr="00BC078C">
        <w:rPr>
          <w:rFonts w:eastAsia="Aptos" w:cs="Arial"/>
          <w:noProof/>
          <w:kern w:val="2"/>
          <w14:ligatures w14:val="standardContextual"/>
        </w:rPr>
        <w:drawing>
          <wp:inline distT="0" distB="0" distL="0" distR="0" wp14:anchorId="02945AA7" wp14:editId="10667404">
            <wp:extent cx="5895975" cy="5483225"/>
            <wp:effectExtent l="0" t="0" r="0" b="0"/>
            <wp:docPr id="1" name="Picture 1" descr="A map of israel on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89897" name="Picture 1" descr="A map of israel on a computer screen&#10;&#10;AI-generated content may be incorrect."/>
                    <pic:cNvPicPr/>
                  </pic:nvPicPr>
                  <pic:blipFill rotWithShape="1">
                    <a:blip r:embed="rId7"/>
                    <a:srcRect l="26603" t="17380" r="30289" b="6552"/>
                    <a:stretch>
                      <a:fillRect/>
                    </a:stretch>
                  </pic:blipFill>
                  <pic:spPr bwMode="auto">
                    <a:xfrm>
                      <a:off x="0" y="0"/>
                      <a:ext cx="5895975" cy="5483225"/>
                    </a:xfrm>
                    <a:prstGeom prst="rect">
                      <a:avLst/>
                    </a:prstGeom>
                    <a:ln>
                      <a:noFill/>
                    </a:ln>
                    <a:extLst>
                      <a:ext uri="{53640926-AAD7-44D8-BBD7-CCE9431645EC}">
                        <a14:shadowObscured xmlns:a14="http://schemas.microsoft.com/office/drawing/2010/main"/>
                      </a:ext>
                    </a:extLst>
                  </pic:spPr>
                </pic:pic>
              </a:graphicData>
            </a:graphic>
          </wp:inline>
        </w:drawing>
      </w:r>
    </w:p>
    <w:p w14:paraId="7E3DA501" w14:textId="5EC97AB9" w:rsidR="00FB2A08" w:rsidRDefault="00BC078C" w:rsidP="00494ED9">
      <w:pPr>
        <w:rPr>
          <w:b/>
        </w:rPr>
      </w:pPr>
      <w:r w:rsidRPr="00BC078C">
        <w:rPr>
          <w:b/>
        </w:rPr>
        <w:t>Going Deeper - Background on Perea</w:t>
      </w:r>
    </w:p>
    <w:p w14:paraId="3BB22057" w14:textId="77777777" w:rsidR="00BC078C" w:rsidRPr="00BC078C" w:rsidRDefault="00BC078C" w:rsidP="00BC078C">
      <w:pPr>
        <w:spacing w:after="160" w:line="259" w:lineRule="auto"/>
        <w:ind w:left="540" w:right="540"/>
        <w:rPr>
          <w:rFonts w:eastAsia="Aptos" w:cs="Arial"/>
          <w:kern w:val="2"/>
          <w:sz w:val="4"/>
          <w:szCs w:val="4"/>
          <w14:ligatures w14:val="standardContextual"/>
        </w:rPr>
      </w:pPr>
      <w:proofErr w:type="gramStart"/>
      <w:r w:rsidRPr="00BC078C">
        <w:rPr>
          <w:rFonts w:eastAsia="Aptos" w:cs="Arial"/>
          <w:b/>
          <w:bCs/>
          <w:kern w:val="2"/>
          <w14:ligatures w14:val="standardContextual"/>
        </w:rPr>
        <w:t>PEREA</w:t>
      </w:r>
      <w:r w:rsidRPr="00BC078C">
        <w:rPr>
          <w:rFonts w:eastAsia="Aptos" w:cs="Arial"/>
          <w:kern w:val="2"/>
          <w14:ligatures w14:val="standardContextual"/>
        </w:rPr>
        <w:t> (</w:t>
      </w:r>
      <w:proofErr w:type="spellStart"/>
      <w:r w:rsidRPr="00BC078C">
        <w:rPr>
          <w:rFonts w:eastAsia="Aptos" w:cs="Arial"/>
          <w:kern w:val="2"/>
          <w14:ligatures w14:val="standardContextual"/>
        </w:rPr>
        <w:t>pĕ-rē'a</w:t>
      </w:r>
      <w:proofErr w:type="spellEnd"/>
      <w:r w:rsidRPr="00BC078C">
        <w:rPr>
          <w:rFonts w:eastAsia="Aptos" w:cs="Arial"/>
          <w:kern w:val="2"/>
          <w14:ligatures w14:val="standardContextual"/>
        </w:rPr>
        <w:t>, Gr. </w:t>
      </w:r>
      <w:proofErr w:type="spellStart"/>
      <w:r w:rsidRPr="00BC078C">
        <w:rPr>
          <w:rFonts w:eastAsia="Aptos" w:cs="Arial"/>
          <w:i/>
          <w:iCs/>
          <w:kern w:val="2"/>
          <w14:ligatures w14:val="standardContextual"/>
        </w:rPr>
        <w:t>Peraia</w:t>
      </w:r>
      <w:proofErr w:type="spellEnd"/>
      <w:r w:rsidRPr="00BC078C">
        <w:rPr>
          <w:rFonts w:eastAsia="Aptos" w:cs="Arial"/>
          <w:i/>
          <w:iCs/>
          <w:kern w:val="2"/>
          <w14:ligatures w14:val="standardContextual"/>
        </w:rPr>
        <w:t xml:space="preserve">, </w:t>
      </w:r>
      <w:proofErr w:type="spellStart"/>
      <w:r w:rsidRPr="00BC078C">
        <w:rPr>
          <w:rFonts w:eastAsia="Aptos" w:cs="Arial"/>
          <w:i/>
          <w:iCs/>
          <w:kern w:val="2"/>
          <w14:ligatures w14:val="standardContextual"/>
        </w:rPr>
        <w:t>Peraios</w:t>
      </w:r>
      <w:proofErr w:type="spellEnd"/>
      <w:r w:rsidRPr="00BC078C">
        <w:rPr>
          <w:rFonts w:eastAsia="Aptos" w:cs="Arial"/>
          <w:i/>
          <w:iCs/>
          <w:kern w:val="2"/>
          <w14:ligatures w14:val="standardContextual"/>
        </w:rPr>
        <w:t xml:space="preserve">, </w:t>
      </w:r>
      <w:proofErr w:type="spellStart"/>
      <w:r w:rsidRPr="00BC078C">
        <w:rPr>
          <w:rFonts w:eastAsia="Aptos" w:cs="Arial"/>
          <w:i/>
          <w:iCs/>
          <w:kern w:val="2"/>
          <w14:ligatures w14:val="standardContextual"/>
        </w:rPr>
        <w:t>Peraites</w:t>
      </w:r>
      <w:proofErr w:type="spellEnd"/>
      <w:r w:rsidRPr="00BC078C">
        <w:rPr>
          <w:rFonts w:eastAsia="Aptos" w:cs="Arial"/>
          <w:kern w:val="2"/>
          <w14:ligatures w14:val="standardContextual"/>
        </w:rPr>
        <w:t>).</w:t>
      </w:r>
      <w:proofErr w:type="gramEnd"/>
      <w:r w:rsidRPr="00BC078C">
        <w:rPr>
          <w:rFonts w:eastAsia="Aptos" w:cs="Arial"/>
          <w:kern w:val="2"/>
          <w14:ligatures w14:val="standardContextual"/>
        </w:rPr>
        <w:t xml:space="preserve"> A word that does not occur in the Bible but was used by Josephus and others to designate the </w:t>
      </w:r>
      <w:r w:rsidRPr="00BC078C">
        <w:rPr>
          <w:rFonts w:eastAsia="Aptos" w:cs="Arial"/>
          <w:kern w:val="2"/>
          <w14:ligatures w14:val="standardContextual"/>
        </w:rPr>
        <w:lastRenderedPageBreak/>
        <w:t>small territory on the east side of the Jordan opposite old Judea and Samaria; known in the Gospels as the land “beyond the Jordan.” Matthew says that Jesus “left Galilee” and came into “the region of Judea to the other side of the Jordan,” must mean that Jesus went from Galilee to Judea by way of Perea, the usual road the Jews took in order to avoid going through Samaria.</w:t>
      </w:r>
      <w:r w:rsidRPr="00BC078C">
        <w:rPr>
          <w:rFonts w:eastAsia="Aptos" w:cs="Arial"/>
          <w:kern w:val="2"/>
          <w14:ligatures w14:val="standardContextual"/>
        </w:rPr>
        <w:br/>
      </w:r>
    </w:p>
    <w:p w14:paraId="3B8F7BBA" w14:textId="1E8E2286" w:rsidR="00BC078C" w:rsidRPr="00BC078C" w:rsidRDefault="00BC078C" w:rsidP="00BC078C">
      <w:pPr>
        <w:spacing w:after="160" w:line="259" w:lineRule="auto"/>
        <w:ind w:left="540" w:right="540"/>
        <w:rPr>
          <w:rFonts w:eastAsia="Aptos" w:cs="Arial"/>
          <w:kern w:val="2"/>
          <w14:ligatures w14:val="standardContextual"/>
        </w:rPr>
      </w:pPr>
      <w:r w:rsidRPr="00BC078C">
        <w:rPr>
          <w:rFonts w:eastAsia="Aptos" w:cs="Arial"/>
          <w:kern w:val="2"/>
          <w14:ligatures w14:val="standardContextual"/>
        </w:rPr>
        <w:t xml:space="preserve">In the days of Jesus, Herod Antipas ruled the unfertile desert country together with Galilee; but after the Herods, at the time the Gospels were written, Perea belonged to the larger province of Judea. It stretched from Pella in the north to </w:t>
      </w:r>
      <w:proofErr w:type="spellStart"/>
      <w:r w:rsidRPr="00BC078C">
        <w:rPr>
          <w:rFonts w:eastAsia="Aptos" w:cs="Arial"/>
          <w:kern w:val="2"/>
          <w14:ligatures w14:val="standardContextual"/>
        </w:rPr>
        <w:t>Machaerus</w:t>
      </w:r>
      <w:proofErr w:type="spellEnd"/>
      <w:r w:rsidRPr="00BC078C">
        <w:rPr>
          <w:rFonts w:eastAsia="Aptos" w:cs="Arial"/>
          <w:kern w:val="2"/>
          <w14:ligatures w14:val="standardContextual"/>
        </w:rPr>
        <w:t xml:space="preserve"> in the south. In the days of the Maccabees</w:t>
      </w:r>
      <w:r w:rsidR="00047F7F">
        <w:rPr>
          <w:rFonts w:eastAsia="Aptos" w:cs="Arial"/>
          <w:kern w:val="2"/>
          <w14:ligatures w14:val="standardContextual"/>
        </w:rPr>
        <w:t>,</w:t>
      </w:r>
      <w:r w:rsidRPr="00BC078C">
        <w:rPr>
          <w:rFonts w:eastAsia="Aptos" w:cs="Arial"/>
          <w:kern w:val="2"/>
          <w14:ligatures w14:val="standardContextual"/>
        </w:rPr>
        <w:t xml:space="preserve"> it was inhabited chiefly by Gentiles, but at the time of Christ it had a heavy Jewish population. Gadara may have been the capital. John baptized in </w:t>
      </w:r>
      <w:proofErr w:type="spellStart"/>
      <w:r w:rsidRPr="00BC078C">
        <w:rPr>
          <w:rFonts w:eastAsia="Aptos" w:cs="Arial"/>
          <w:kern w:val="2"/>
          <w14:ligatures w14:val="standardContextual"/>
        </w:rPr>
        <w:t>Bethabara</w:t>
      </w:r>
      <w:proofErr w:type="spellEnd"/>
      <w:r w:rsidRPr="00BC078C">
        <w:rPr>
          <w:rFonts w:eastAsia="Aptos" w:cs="Arial"/>
          <w:kern w:val="2"/>
          <w14:ligatures w14:val="standardContextual"/>
        </w:rPr>
        <w:t xml:space="preserve"> “on the other side of Jordan,” or in Perea (John.1.28). Jesus did much of his teaching in Perea (Mark.10.1-Mark.10.33) and made his final journey to Jerusalem from there (John.10.40; John.11.54). Today it is part of the modern kingdom of Jordan with the capital at Amman.</w:t>
      </w:r>
    </w:p>
    <w:p w14:paraId="14E2FD58" w14:textId="72250D12" w:rsidR="008F3433" w:rsidRDefault="00C355B8" w:rsidP="001D652E">
      <w:r>
        <w:rPr>
          <w:b/>
          <w:iCs/>
        </w:rPr>
        <w:t>19:3</w:t>
      </w:r>
      <w:r w:rsidR="00BA4095">
        <w:rPr>
          <w:b/>
          <w:iCs/>
        </w:rPr>
        <w:t xml:space="preserve">. </w:t>
      </w:r>
      <w:proofErr w:type="gramStart"/>
      <w:r w:rsidR="00BA4095">
        <w:rPr>
          <w:b/>
          <w:iCs/>
        </w:rPr>
        <w:t>T</w:t>
      </w:r>
      <w:r w:rsidR="00BA4095" w:rsidRPr="00BA4095">
        <w:rPr>
          <w:b/>
          <w:iCs/>
        </w:rPr>
        <w:t>ested</w:t>
      </w:r>
      <w:proofErr w:type="gramEnd"/>
      <w:r w:rsidR="00BA4095" w:rsidRPr="00BA4095">
        <w:rPr>
          <w:b/>
          <w:iCs/>
        </w:rPr>
        <w:t xml:space="preserve"> him by asking, “Is it lawful to divorce one’s wife for any cause?</w:t>
      </w:r>
      <w:r w:rsidR="004162CA">
        <w:rPr>
          <w:b/>
          <w:iCs/>
        </w:rPr>
        <w:t>”</w:t>
      </w:r>
      <w:r w:rsidR="00494ED9" w:rsidRPr="00494ED9">
        <w:t xml:space="preserve"> </w:t>
      </w:r>
      <w:r w:rsidR="008F3433" w:rsidRPr="008F3433">
        <w:t>How should we understand the test? Basically</w:t>
      </w:r>
      <w:r w:rsidR="008F3433">
        <w:t>,</w:t>
      </w:r>
      <w:r w:rsidR="008F3433" w:rsidRPr="008F3433">
        <w:t xml:space="preserve"> the Pharisees want to </w:t>
      </w:r>
      <w:r w:rsidR="008F3433">
        <w:t>get</w:t>
      </w:r>
      <w:r w:rsidR="008F3433" w:rsidRPr="008F3433">
        <w:t xml:space="preserve"> Jesus to contradict the Torah. The legality of divorce was universally acknowledged in Judaism because Moses had made allowance for it in the book of Deuteronomy (24:1–4). However, word was</w:t>
      </w:r>
      <w:r w:rsidR="008F3433">
        <w:t xml:space="preserve"> probably</w:t>
      </w:r>
      <w:r w:rsidR="008F3433" w:rsidRPr="008F3433">
        <w:t xml:space="preserve"> getting out that Jesus took a radical stance against this. His revolutionary claim was that divorce is opposed to the will of God, and that remarriage after divorce is tantamount to adultery (see 5:32; Mark 10:11–12; Luke 16:18). The Pharisees spotted an opportunity in this novel teaching to destroy Jesus’ credibility. In their view, no one who openly contradicted the teaching of Moses stood any chance at passing himself off as the Jewish messiah.</w:t>
      </w:r>
      <w:r w:rsidR="008F3433" w:rsidRPr="008F3433">
        <w:rPr>
          <w:vertAlign w:val="superscript"/>
        </w:rPr>
        <w:footnoteReference w:id="1"/>
      </w:r>
    </w:p>
    <w:p w14:paraId="2FC91AA3" w14:textId="77777777" w:rsidR="00D176D8" w:rsidRPr="00D176D8" w:rsidRDefault="008F3433" w:rsidP="00BA4095">
      <w:pPr>
        <w:rPr>
          <w:b/>
          <w:bCs/>
        </w:rPr>
      </w:pPr>
      <w:r w:rsidRPr="00D176D8">
        <w:rPr>
          <w:b/>
          <w:bCs/>
        </w:rPr>
        <w:t>Going Deeper – It Wasn’t a Simple Question</w:t>
      </w:r>
      <w:r w:rsidR="00D176D8" w:rsidRPr="00D176D8">
        <w:rPr>
          <w:b/>
          <w:bCs/>
        </w:rPr>
        <w:t xml:space="preserve"> </w:t>
      </w:r>
    </w:p>
    <w:p w14:paraId="1A5966A3" w14:textId="4FC57D16" w:rsidR="00494ED9" w:rsidRPr="00494ED9" w:rsidRDefault="00494ED9" w:rsidP="00D176D8">
      <w:pPr>
        <w:ind w:left="540" w:right="540"/>
      </w:pPr>
      <w:r w:rsidRPr="00494ED9">
        <w:t xml:space="preserve">Jesus had already addressed the question of divorce in the Sermon on the Mount (Matthew 5:31), but there were few people from </w:t>
      </w:r>
      <w:r w:rsidRPr="00494ED9">
        <w:rPr>
          <w:i/>
        </w:rPr>
        <w:t>beyond the Jordan</w:t>
      </w:r>
      <w:r w:rsidRPr="00494ED9">
        <w:t xml:space="preserve"> there on that day (Matthew 4:25). This serious question may not </w:t>
      </w:r>
      <w:r w:rsidRPr="00494ED9">
        <w:lastRenderedPageBreak/>
        <w:t xml:space="preserve">resolve with a single reply, because marriage is God’s plan, and divorce impacts families—men, women, children, grandparents, and society as a whole. Consequently, upon His arrival in Perea, </w:t>
      </w:r>
      <w:r w:rsidR="005A2B3D">
        <w:t>some Pharisees ask</w:t>
      </w:r>
      <w:r w:rsidRPr="00494ED9">
        <w:t xml:space="preserve"> about divorce and Jesus takes this occasion to deliver a fuller answer.</w:t>
      </w:r>
    </w:p>
    <w:p w14:paraId="1A5966A4" w14:textId="77777777" w:rsidR="00494ED9" w:rsidRPr="00494ED9" w:rsidRDefault="00494ED9" w:rsidP="00D176D8">
      <w:pPr>
        <w:ind w:left="540" w:right="540"/>
      </w:pPr>
      <w:r w:rsidRPr="00494ED9">
        <w:t>Jesus does not change His position, based on God’s original intent and motivated by His mercy for the victims of social collapse. Divorce was not a theoretical question, but a pressing social issue. On the streets, Jesus saw women prostitutes battling hunger and poverty, after the death of a spouse or divorce. Ragged children were begging, some as orphans, but some abandoned by their fathers. Where was mercy then, but in the heart of Jesus, who refused to legitimize their suffering?</w:t>
      </w:r>
    </w:p>
    <w:p w14:paraId="1A5966A5" w14:textId="2E8A463D" w:rsidR="00494ED9" w:rsidRPr="00494ED9" w:rsidRDefault="00494ED9" w:rsidP="005A2B3D">
      <w:pPr>
        <w:ind w:left="540" w:right="540"/>
      </w:pPr>
      <w:r w:rsidRPr="00494ED9">
        <w:t>The problem of divorce and abandonment may have been greater among the Gentiles in the Decapolis (ten cities), since they lacked the moral training given by the Decalogue (Ten Commandments). Jesus had walked through the Decapolis en route from Galilee to Perea, and the sight of many street women and children was seared into His mind. So, He was of no mind to justify this great evil. God’s original plan was the faithful marriage of one man and one woman for life. While it takes two to build a strong, stable marriage and family life, both or only one can decide to destroy it. Often, innocent people are victims of divorce, including children</w:t>
      </w:r>
      <w:r w:rsidR="005A2B3D" w:rsidRPr="005A2B3D">
        <w:t>.</w:t>
      </w:r>
      <w:r w:rsidR="00856B14" w:rsidRPr="00856B14">
        <w:rPr>
          <w:color w:val="FF0000"/>
          <w:vertAlign w:val="superscript"/>
        </w:rPr>
        <w:t xml:space="preserve"> </w:t>
      </w:r>
      <w:r w:rsidR="00856B14" w:rsidRPr="00856B14">
        <w:rPr>
          <w:vertAlign w:val="superscript"/>
        </w:rPr>
        <w:footnoteReference w:id="2"/>
      </w:r>
    </w:p>
    <w:p w14:paraId="57C95E2B" w14:textId="6802E9ED" w:rsidR="00CA3F9A" w:rsidRPr="00345358" w:rsidRDefault="00044669" w:rsidP="00044669">
      <w:pPr>
        <w:rPr>
          <w:rFonts w:cs="Times New Roman"/>
          <w:b/>
        </w:rPr>
      </w:pPr>
      <w:r w:rsidRPr="00345358">
        <w:rPr>
          <w:rFonts w:cs="Times New Roman"/>
          <w:b/>
        </w:rPr>
        <w:t>19:4. Have you not read.</w:t>
      </w:r>
      <w:r w:rsidRPr="00345358">
        <w:rPr>
          <w:rFonts w:cs="Times New Roman"/>
        </w:rPr>
        <w:t xml:space="preserve"> Jesus addresses the question posed by the Pharisees with notable clarity, skillfully citing Moses to avoid any contradiction. By referencing Genesis, where it is stated that God </w:t>
      </w:r>
      <w:r w:rsidRPr="00345358">
        <w:rPr>
          <w:rFonts w:cs="Times New Roman"/>
          <w:b/>
        </w:rPr>
        <w:t>made them male and female</w:t>
      </w:r>
      <w:r w:rsidRPr="00345358">
        <w:rPr>
          <w:rFonts w:cs="Times New Roman"/>
        </w:rPr>
        <w:t xml:space="preserve"> (1:27), Jesus frames the discussion of divorce within the broader context of marriage as established by divine design. According to Genesis, marriage is presented as a divine institution from its inception. The Lord acts as the </w:t>
      </w:r>
      <w:r w:rsidRPr="00345358">
        <w:rPr>
          <w:rFonts w:cs="Times New Roman"/>
          <w:b/>
        </w:rPr>
        <w:t>Creator</w:t>
      </w:r>
      <w:r w:rsidRPr="00345358">
        <w:rPr>
          <w:rFonts w:cs="Times New Roman"/>
        </w:rPr>
        <w:t xml:space="preserve"> of the marriage covenant, intending for couples to unite through bonds of human love. (</w:t>
      </w:r>
      <w:r w:rsidRPr="00345358">
        <w:rPr>
          <w:rFonts w:cs="Times New Roman"/>
          <w:b/>
        </w:rPr>
        <w:t>Ibid. Mitch</w:t>
      </w:r>
      <w:r w:rsidRPr="00345358">
        <w:rPr>
          <w:rFonts w:cs="Times New Roman"/>
        </w:rPr>
        <w:t xml:space="preserve"> p. 239)</w:t>
      </w:r>
    </w:p>
    <w:p w14:paraId="1A5966A6" w14:textId="5A7D9138" w:rsidR="00494ED9" w:rsidRDefault="00856B14" w:rsidP="00494ED9">
      <w:r>
        <w:lastRenderedPageBreak/>
        <w:t>Father Ponessa comments, “</w:t>
      </w:r>
      <w:r w:rsidR="00494ED9" w:rsidRPr="00494ED9">
        <w:t xml:space="preserve">Jesus dignified marriage by elevating it to the rank of a sacrament and also designated celibacy for a religious vocation. </w:t>
      </w:r>
      <w:r w:rsidR="003F4B47">
        <w:t>There is no contradiction here</w:t>
      </w:r>
      <w:r w:rsidR="00494ED9" w:rsidRPr="00494ED9">
        <w:t>. Some who are called by God to the single or religious life may be pressured into weak marriages, because their parents want grandchildren, or people belittle them, thinking they cannot know happiness unless married. Jesus regards marriage as a source of holiness and also wants people to respect those who seek sanctification in the single life, as all people do through the childhood years.</w:t>
      </w:r>
      <w:r>
        <w:t xml:space="preserve"> (</w:t>
      </w:r>
      <w:r w:rsidRPr="00856B14">
        <w:rPr>
          <w:b/>
          <w:bCs/>
        </w:rPr>
        <w:t>Ibid</w:t>
      </w:r>
      <w:r>
        <w:t>. Ponessa p. 144)</w:t>
      </w:r>
    </w:p>
    <w:p w14:paraId="4EB823BE" w14:textId="6A2E4F9A" w:rsidR="003F4B47" w:rsidRPr="007B1058" w:rsidRDefault="003F4B47" w:rsidP="00494ED9">
      <w:pPr>
        <w:rPr>
          <w:b/>
          <w:bCs/>
        </w:rPr>
      </w:pPr>
      <w:r w:rsidRPr="007B1058">
        <w:rPr>
          <w:b/>
          <w:bCs/>
        </w:rPr>
        <w:t>Going Deeper</w:t>
      </w:r>
      <w:r w:rsidR="007B1058" w:rsidRPr="007B1058">
        <w:rPr>
          <w:b/>
          <w:bCs/>
        </w:rPr>
        <w:t xml:space="preserve"> – </w:t>
      </w:r>
      <w:r w:rsidR="001D652E">
        <w:rPr>
          <w:b/>
          <w:bCs/>
        </w:rPr>
        <w:t xml:space="preserve">It’s </w:t>
      </w:r>
      <w:r w:rsidR="007B1058" w:rsidRPr="007B1058">
        <w:rPr>
          <w:b/>
          <w:bCs/>
        </w:rPr>
        <w:t xml:space="preserve">A Hard Word Today </w:t>
      </w:r>
      <w:r w:rsidR="0051115E">
        <w:rPr>
          <w:b/>
          <w:bCs/>
        </w:rPr>
        <w:t>As Well</w:t>
      </w:r>
    </w:p>
    <w:p w14:paraId="6CB62821" w14:textId="77777777" w:rsidR="007B1058" w:rsidRPr="007B1058" w:rsidRDefault="007B1058" w:rsidP="007B1058">
      <w:pPr>
        <w:ind w:left="630" w:right="540"/>
      </w:pPr>
      <w:r w:rsidRPr="007B1058">
        <w:t>Jesus’ teaching on the permanence of marriage is just as countercultural today as it was in the first century. To those who have experienced the challenges that come with married life, his standards may seem unrealistically high. For this reason it is important to recognize that Jesus speaks of marriage in terms that imply the assistance of grace. The word grace does not appear in these verses, but the idea that God can enable men and women to fulfill this exalted vocation is latent in the discussion.</w:t>
      </w:r>
    </w:p>
    <w:p w14:paraId="232E795E" w14:textId="0D164D3F" w:rsidR="007B1058" w:rsidRPr="007B1058" w:rsidRDefault="007B1058" w:rsidP="007B1058">
      <w:pPr>
        <w:ind w:left="630" w:right="540"/>
      </w:pPr>
      <w:r w:rsidRPr="007B1058">
        <w:t>Consider the contrast that is drawn between Mosaic and messianic times. If Moses permitted divorce and remarriage to accommodate the hardheartedness of Israel, then the Messiah’s repeal of this concession indicates a new human situation, in which the heart is healed of its infirmity and divinely empowered to embrace marriage as a lifetime commitment. It implies a regeneration of the human person from the inside out. Only when the Lord enriches our lives with his grace can the ideal of marriage for life become the real experience of men and women joined together as one.</w:t>
      </w:r>
      <w:r w:rsidR="007F6F9F">
        <w:t xml:space="preserve"> (</w:t>
      </w:r>
      <w:r w:rsidR="007F6F9F" w:rsidRPr="007F6F9F">
        <w:rPr>
          <w:b/>
          <w:bCs/>
        </w:rPr>
        <w:t>Ibid.</w:t>
      </w:r>
      <w:r w:rsidR="007F6F9F">
        <w:t xml:space="preserve"> p. 242)</w:t>
      </w:r>
    </w:p>
    <w:p w14:paraId="533019C7" w14:textId="0F30BC7E" w:rsidR="00E27465" w:rsidRPr="00E27465" w:rsidRDefault="00E27465" w:rsidP="00E27465">
      <w:pPr>
        <w:rPr>
          <w:b/>
          <w:bCs/>
        </w:rPr>
      </w:pPr>
      <w:r w:rsidRPr="00E27465">
        <w:rPr>
          <w:b/>
          <w:bCs/>
        </w:rPr>
        <w:t xml:space="preserve">Going </w:t>
      </w:r>
      <w:r>
        <w:rPr>
          <w:b/>
          <w:bCs/>
        </w:rPr>
        <w:t xml:space="preserve">Even </w:t>
      </w:r>
      <w:r w:rsidRPr="00E27465">
        <w:rPr>
          <w:b/>
          <w:bCs/>
        </w:rPr>
        <w:t>Deeper – An Exception to the Rule?</w:t>
      </w:r>
    </w:p>
    <w:p w14:paraId="7759DA01" w14:textId="601CF713" w:rsidR="00E27465" w:rsidRPr="00E27465" w:rsidRDefault="00E27465" w:rsidP="00E27465">
      <w:pPr>
        <w:ind w:left="630" w:right="540"/>
      </w:pPr>
      <w:r w:rsidRPr="00E27465">
        <w:t xml:space="preserve">The Gospel of Matthew gives a unique formulation of Jesus’ declaration on divorce and remarriage. Unlike his words reported in Mark 10:11–12 and Luke 16:18, which forbid divorce and remarriage absolutely, the parallel passages in Matt 5:32 and 19:9 include an exception clause that, in most translations, appears to soften the rigidity of the pronouncement. </w:t>
      </w:r>
      <w:r w:rsidRPr="00E27465">
        <w:lastRenderedPageBreak/>
        <w:t>The question is whether Jesus does allow an exception that permits Christian couples to divorce and remarry. Both the Orthodox and Protestant churches hold that Jesus did make an exception to his ruling that marriage is permanent. Typically</w:t>
      </w:r>
      <w:r w:rsidR="007F6F9F">
        <w:t>,</w:t>
      </w:r>
      <w:r w:rsidRPr="00E27465">
        <w:t xml:space="preserve"> this is taken to mean that if one of the spouses commits adultery, the innocent spouse is free to divorce and remarry. The Catholic Church, however, has always defended the indissolubility of Christian marriage as an exceptionless norm. In doing so, the Church upholds the authentic teaching of Jesus as handed down from the apostolic age. So how does Catholic exegesis deal with the exception clauses in Matt 5:32 and 19:9?</w:t>
      </w:r>
    </w:p>
    <w:p w14:paraId="4D0D5C16" w14:textId="77777777" w:rsidR="00E27465" w:rsidRPr="00E27465" w:rsidRDefault="00E27465" w:rsidP="00E27465">
      <w:pPr>
        <w:ind w:left="630" w:right="540"/>
      </w:pPr>
      <w:r w:rsidRPr="00E27465">
        <w:t xml:space="preserve">Though several interpretations have been offered, Catholic scholarship has generally preferred one of three solutions. (1) The first is the </w:t>
      </w:r>
      <w:r w:rsidRPr="00E27465">
        <w:rPr>
          <w:i/>
        </w:rPr>
        <w:t>patristic</w:t>
      </w:r>
      <w:r w:rsidRPr="00E27465">
        <w:t xml:space="preserve"> view, which represents a majority opinion among the Church Fathers. This proposal holds that the exception clause, which in Greek literally reads “except for sexual immorality,” allows for divorce in the case of spousal infidelity but does not include the freedom to remarry. Sexual promiscuity by one of the marriage partners may give reason for a couple to end their common life together, but neither a separation nor civil divorce dissolves the marriage bond. (2) A second solution is called the </w:t>
      </w:r>
      <w:r w:rsidRPr="00E27465">
        <w:rPr>
          <w:i/>
        </w:rPr>
        <w:t>preteritive</w:t>
      </w:r>
      <w:r w:rsidRPr="00E27465">
        <w:t xml:space="preserve"> view. According to this view the exception clause is taken as a preterition, that is, as a parenthetical comment in which Jesus passes over the possible grounds for divorce as irrelevant. An interpretive translation of the saying might read: “Whoever divorces his wife—setting aside the entire matter of divorce and its justifying grounds in the past—and marries another, commits adultery.” (3) A third alternative, developed in modern times, is sometimes called the </w:t>
      </w:r>
      <w:r w:rsidRPr="00E27465">
        <w:rPr>
          <w:i/>
        </w:rPr>
        <w:t>consanguinity</w:t>
      </w:r>
      <w:r w:rsidRPr="00E27465">
        <w:t xml:space="preserve"> view. This interpretation is built into the NAB’s translation of the exception: </w:t>
      </w:r>
      <w:r w:rsidRPr="00E27465">
        <w:rPr>
          <w:b/>
        </w:rPr>
        <w:t>unless the marriage is unlawful</w:t>
      </w:r>
      <w:r w:rsidRPr="00E27465">
        <w:t>. The idea is that Jesus makes an exception for divorce and remarriage in the case of invalid marriages between persons too closely related. Couples in this situation are in violation of the incest laws of Lev 18:6–18, and so their union, which is invalid due to an impediment of near kinship, should be terminated. Divorce in this case is equivalent to an annulment, since a true marriage never existed.</w:t>
      </w:r>
    </w:p>
    <w:p w14:paraId="14929E6C" w14:textId="1E0E0632" w:rsidR="00E27465" w:rsidRPr="00E27465" w:rsidRDefault="00E27465" w:rsidP="00E27465">
      <w:pPr>
        <w:ind w:left="630" w:right="540"/>
      </w:pPr>
      <w:r w:rsidRPr="00E27465">
        <w:lastRenderedPageBreak/>
        <w:t>The Catholic Church has not officially endorsed any one of these views. All are permissible interpretations inasmuch as all uphold the indissolubility of lawful marriage and allow no true exception for couples to divorce and remarry so long as both spouses are living.</w:t>
      </w:r>
      <w:r w:rsidR="00044669">
        <w:t xml:space="preserve"> (</w:t>
      </w:r>
      <w:r w:rsidR="00044669" w:rsidRPr="00044669">
        <w:rPr>
          <w:b/>
          <w:bCs/>
        </w:rPr>
        <w:t>Ibid.</w:t>
      </w:r>
      <w:r w:rsidR="00044669">
        <w:t xml:space="preserve"> p. 241)</w:t>
      </w:r>
    </w:p>
    <w:p w14:paraId="1234D5F9" w14:textId="68593A4A" w:rsidR="00E569EE" w:rsidRPr="00E569EE" w:rsidRDefault="00E27465" w:rsidP="00E569EE">
      <w:pPr>
        <w:rPr>
          <w:bCs/>
          <w:iCs/>
        </w:rPr>
      </w:pPr>
      <w:r>
        <w:rPr>
          <w:b/>
          <w:iCs/>
        </w:rPr>
        <w:t xml:space="preserve">19:14. </w:t>
      </w:r>
      <w:r w:rsidR="00494ED9" w:rsidRPr="00E27465">
        <w:rPr>
          <w:b/>
          <w:iCs/>
        </w:rPr>
        <w:t>Let the children come to me</w:t>
      </w:r>
      <w:r w:rsidR="00E569EE">
        <w:rPr>
          <w:bCs/>
          <w:iCs/>
        </w:rPr>
        <w:t>.</w:t>
      </w:r>
      <w:r w:rsidR="00E569EE" w:rsidRPr="00E569EE">
        <w:rPr>
          <w:rFonts w:ascii="Calibri" w:hAnsi="Calibri" w:cs="Calibri"/>
          <w:sz w:val="24"/>
          <w:szCs w:val="24"/>
        </w:rPr>
        <w:t xml:space="preserve"> </w:t>
      </w:r>
      <w:r w:rsidR="00E569EE" w:rsidRPr="00E569EE">
        <w:rPr>
          <w:bCs/>
          <w:iCs/>
        </w:rPr>
        <w:t xml:space="preserve">In this </w:t>
      </w:r>
      <w:r w:rsidR="00E569EE">
        <w:rPr>
          <w:bCs/>
          <w:iCs/>
        </w:rPr>
        <w:t>passage</w:t>
      </w:r>
      <w:r w:rsidR="00E569EE" w:rsidRPr="00E569EE">
        <w:rPr>
          <w:bCs/>
          <w:iCs/>
        </w:rPr>
        <w:t xml:space="preserve"> we hear of p</w:t>
      </w:r>
      <w:r w:rsidR="00E569EE">
        <w:rPr>
          <w:bCs/>
          <w:iCs/>
        </w:rPr>
        <w:t>eople</w:t>
      </w:r>
      <w:r w:rsidR="00E569EE" w:rsidRPr="00E569EE">
        <w:rPr>
          <w:bCs/>
          <w:iCs/>
        </w:rPr>
        <w:t xml:space="preserve"> bringing children to Jesus that he might lay his hands on them and pray. No indication is given that these youngsters were sick or crippled or demon-possessed or otherwise in need of a miracle. </w:t>
      </w:r>
      <w:r w:rsidR="00E569EE">
        <w:rPr>
          <w:bCs/>
          <w:iCs/>
        </w:rPr>
        <w:t>It’s probably a case of</w:t>
      </w:r>
      <w:r w:rsidR="00E569EE" w:rsidRPr="00E569EE">
        <w:rPr>
          <w:bCs/>
          <w:iCs/>
        </w:rPr>
        <w:t xml:space="preserve"> moms and dads bringing their little ones to be touched by the holy man from Nazareth. They </w:t>
      </w:r>
      <w:r w:rsidR="00E569EE">
        <w:rPr>
          <w:bCs/>
          <w:iCs/>
        </w:rPr>
        <w:t xml:space="preserve">would </w:t>
      </w:r>
      <w:r w:rsidR="00E569EE" w:rsidRPr="00E569EE">
        <w:rPr>
          <w:bCs/>
          <w:iCs/>
        </w:rPr>
        <w:t xml:space="preserve">have in mind something like the gesture in which a father invoked the Lord’s blessing on his children (see Gen 27:30; 48:14–16). </w:t>
      </w:r>
      <w:r w:rsidR="00E569EE">
        <w:rPr>
          <w:bCs/>
          <w:iCs/>
        </w:rPr>
        <w:t xml:space="preserve">Ironically, </w:t>
      </w:r>
      <w:r w:rsidR="00E569EE" w:rsidRPr="00E569EE">
        <w:rPr>
          <w:bCs/>
          <w:iCs/>
        </w:rPr>
        <w:t xml:space="preserve">here </w:t>
      </w:r>
      <w:r w:rsidR="00E569EE">
        <w:rPr>
          <w:bCs/>
          <w:iCs/>
        </w:rPr>
        <w:t>the</w:t>
      </w:r>
      <w:r w:rsidR="00E569EE" w:rsidRPr="00E569EE">
        <w:rPr>
          <w:bCs/>
          <w:iCs/>
        </w:rPr>
        <w:t xml:space="preserve"> blessing is sought from the Father in heaven through the hands of his </w:t>
      </w:r>
      <w:r w:rsidR="00E569EE">
        <w:rPr>
          <w:bCs/>
          <w:iCs/>
        </w:rPr>
        <w:t xml:space="preserve">Son, the </w:t>
      </w:r>
      <w:r w:rsidR="00E569EE" w:rsidRPr="00E569EE">
        <w:rPr>
          <w:bCs/>
          <w:iCs/>
        </w:rPr>
        <w:t>Messiah.</w:t>
      </w:r>
    </w:p>
    <w:p w14:paraId="10017DD0" w14:textId="7FBB0AB7" w:rsidR="00E569EE" w:rsidRPr="00E569EE" w:rsidRDefault="00E569EE" w:rsidP="00E569EE">
      <w:pPr>
        <w:rPr>
          <w:bCs/>
          <w:iCs/>
        </w:rPr>
      </w:pPr>
      <w:r>
        <w:rPr>
          <w:bCs/>
          <w:iCs/>
        </w:rPr>
        <w:t>But</w:t>
      </w:r>
      <w:r w:rsidRPr="00E569EE">
        <w:rPr>
          <w:bCs/>
          <w:iCs/>
        </w:rPr>
        <w:t xml:space="preserve"> the disciples rebuked the parents and turned them away. Perhaps they thought such “small” matters unworthy of the Master’s time. Some adults view children as second-class citizens to be kept quiet and out of the way of grown-ups. Though this is often the case in society at large, it is puzzling to see the men closest to Jesus acting as they do. Had they learned nothing from watching the Lord show kindness to children at the urging of their parents (see 9:18–26; 15:21–28; 17:14–21)?</w:t>
      </w:r>
    </w:p>
    <w:p w14:paraId="24444B90" w14:textId="156A68E4" w:rsidR="00E569EE" w:rsidRPr="00E569EE" w:rsidRDefault="00E569EE" w:rsidP="00E569EE">
      <w:pPr>
        <w:rPr>
          <w:b/>
          <w:iCs/>
        </w:rPr>
      </w:pPr>
      <w:r w:rsidRPr="00E569EE">
        <w:rPr>
          <w:bCs/>
          <w:iCs/>
        </w:rPr>
        <w:t xml:space="preserve">Whatever the disciples’ reasons, Jesus puts a stop to their protest with words of welcome. </w:t>
      </w:r>
      <w:r w:rsidRPr="00E569EE">
        <w:rPr>
          <w:bCs/>
          <w:i/>
        </w:rPr>
        <w:t>Let the children come to me</w:t>
      </w:r>
      <w:r w:rsidRPr="00E569EE">
        <w:rPr>
          <w:bCs/>
          <w:iCs/>
        </w:rPr>
        <w:t>, he says, and do not prevent them. Children are not a bothersome distraction to the Lord, an obstacle in the way of more pressing concerns. On the contrary, his mission is to bring everyone into the embrace of God’s kingdom. This includes the youngest and smallest among us, for the kingdom of heaven belongs to such as these. Jesus thus places no age restriction on receiving salvation. His kingdom belongs as much to babies, toddlers, and preschoolers as to believing adults.</w:t>
      </w:r>
      <w:r w:rsidR="00615B8B">
        <w:rPr>
          <w:bCs/>
          <w:iCs/>
        </w:rPr>
        <w:t xml:space="preserve"> (</w:t>
      </w:r>
      <w:r w:rsidR="00615B8B" w:rsidRPr="00615B8B">
        <w:rPr>
          <w:b/>
          <w:iCs/>
        </w:rPr>
        <w:t>Ibid.</w:t>
      </w:r>
      <w:r w:rsidR="00615B8B">
        <w:rPr>
          <w:bCs/>
          <w:iCs/>
        </w:rPr>
        <w:t xml:space="preserve"> p</w:t>
      </w:r>
      <w:r w:rsidR="007F6F9F">
        <w:rPr>
          <w:bCs/>
          <w:iCs/>
        </w:rPr>
        <w:t>p. 241-</w:t>
      </w:r>
      <w:r w:rsidR="00615B8B">
        <w:rPr>
          <w:bCs/>
          <w:iCs/>
        </w:rPr>
        <w:t>244)</w:t>
      </w:r>
    </w:p>
    <w:p w14:paraId="6E240D00" w14:textId="1C1EC4BF" w:rsidR="00E27465" w:rsidRPr="00E27465" w:rsidRDefault="00E27465" w:rsidP="00E569EE">
      <w:pPr>
        <w:rPr>
          <w:b/>
          <w:bCs/>
        </w:rPr>
      </w:pPr>
      <w:r w:rsidRPr="00E27465">
        <w:rPr>
          <w:b/>
          <w:bCs/>
        </w:rPr>
        <w:t xml:space="preserve">Going Deeper – </w:t>
      </w:r>
      <w:r w:rsidR="001D652E">
        <w:rPr>
          <w:b/>
          <w:bCs/>
        </w:rPr>
        <w:t xml:space="preserve">A Case </w:t>
      </w:r>
      <w:proofErr w:type="gramStart"/>
      <w:r w:rsidR="001D652E">
        <w:rPr>
          <w:b/>
          <w:bCs/>
        </w:rPr>
        <w:t>For</w:t>
      </w:r>
      <w:proofErr w:type="gramEnd"/>
      <w:r w:rsidR="001D652E">
        <w:rPr>
          <w:b/>
          <w:bCs/>
        </w:rPr>
        <w:t xml:space="preserve"> </w:t>
      </w:r>
      <w:r w:rsidRPr="00E27465">
        <w:rPr>
          <w:b/>
          <w:bCs/>
        </w:rPr>
        <w:t>Infant Baptism</w:t>
      </w:r>
    </w:p>
    <w:p w14:paraId="34666F25" w14:textId="200BD388" w:rsidR="00E27465" w:rsidRPr="00E27465" w:rsidRDefault="00E27465" w:rsidP="00E27465">
      <w:pPr>
        <w:ind w:left="450" w:right="540"/>
      </w:pPr>
      <w:r w:rsidRPr="00E27465">
        <w:t xml:space="preserve">Christian tradition has frequently read this passage in connection with infant baptism. This is not because the text refers to the sacrament in any explicit way, but because the blessing of children has bearing on the topic when seen in light of Jesus’ teaching as a whole. Consider the following </w:t>
      </w:r>
      <w:r w:rsidRPr="00E27465">
        <w:lastRenderedPageBreak/>
        <w:t>syllogism: If the kingdom of God belongs to “children,” as Jesus says in Matt 19:14, and no one can enter the kingdom of God without being “born of water and Spirit,” as Jesus says of baptism in John 3:5, then it follows that children must be eligible candidates for baptism.</w:t>
      </w:r>
    </w:p>
    <w:p w14:paraId="58C29FC7" w14:textId="5BE81FF3" w:rsidR="00E27465" w:rsidRPr="00E27465" w:rsidRDefault="00E27465" w:rsidP="00E27465">
      <w:pPr>
        <w:ind w:left="450" w:right="540"/>
      </w:pPr>
      <w:r w:rsidRPr="00E27465">
        <w:t xml:space="preserve">Beyond this, Matthew’s account contains two details that may be linked with the ancient practice of baptism. The first appears in 19:13, where the parents want Jesus to </w:t>
      </w:r>
      <w:r w:rsidRPr="00E27465">
        <w:rPr>
          <w:bCs/>
          <w:i/>
          <w:iCs/>
        </w:rPr>
        <w:t>lay his hands</w:t>
      </w:r>
      <w:r w:rsidRPr="00E27465">
        <w:t xml:space="preserve"> on their children and </w:t>
      </w:r>
      <w:r w:rsidRPr="00E27465">
        <w:rPr>
          <w:bCs/>
          <w:i/>
          <w:iCs/>
        </w:rPr>
        <w:t>pray</w:t>
      </w:r>
      <w:r w:rsidRPr="00E27465">
        <w:t xml:space="preserve"> for them. These actions appear together as part of the rite of baptism in the second- and third-century Church. The second detail appears in 19:14, where Jesus tells the disciples not to </w:t>
      </w:r>
      <w:r w:rsidRPr="00E27465">
        <w:rPr>
          <w:bCs/>
          <w:i/>
          <w:iCs/>
        </w:rPr>
        <w:t xml:space="preserve">prevent </w:t>
      </w:r>
      <w:r w:rsidRPr="00E27465">
        <w:t>children from coming to him. Interestingly, the Greek word for “prevent” (</w:t>
      </w:r>
      <w:proofErr w:type="spellStart"/>
      <w:r w:rsidRPr="00E27465">
        <w:rPr>
          <w:i/>
        </w:rPr>
        <w:t>kōluō</w:t>
      </w:r>
      <w:proofErr w:type="spellEnd"/>
      <w:r w:rsidRPr="00E27465">
        <w:t xml:space="preserve">) turns up in several baptismal episodes in the New Testament and is variously translated “prevent,” “withhold,” or “hinder” (see Matt 3:14; Acts 8:36; 10:47; 11:17). Thus </w:t>
      </w:r>
      <w:proofErr w:type="spellStart"/>
      <w:r w:rsidRPr="00E27465">
        <w:rPr>
          <w:i/>
        </w:rPr>
        <w:t>kōluō</w:t>
      </w:r>
      <w:proofErr w:type="spellEnd"/>
      <w:r w:rsidRPr="00E27465">
        <w:t xml:space="preserve"> may have served as a technical term in relation to the examination of candidates for baptism. If candidates did not fully adhere to the gospel or firmly intend to live a Christian life, they were prevented (</w:t>
      </w:r>
      <w:proofErr w:type="spellStart"/>
      <w:r w:rsidRPr="00E27465">
        <w:rPr>
          <w:i/>
        </w:rPr>
        <w:t>kōluō</w:t>
      </w:r>
      <w:proofErr w:type="spellEnd"/>
      <w:r w:rsidRPr="00E27465">
        <w:t>) from receiving the sacrament. But none should be prevented (</w:t>
      </w:r>
      <w:proofErr w:type="spellStart"/>
      <w:r w:rsidRPr="00E27465">
        <w:rPr>
          <w:i/>
        </w:rPr>
        <w:t>kōluō</w:t>
      </w:r>
      <w:proofErr w:type="spellEnd"/>
      <w:r w:rsidRPr="00E27465">
        <w:t>) because they are children.</w:t>
      </w:r>
      <w:r w:rsidR="00615B8B">
        <w:t xml:space="preserve"> (</w:t>
      </w:r>
      <w:r w:rsidR="00615B8B" w:rsidRPr="00615B8B">
        <w:rPr>
          <w:b/>
          <w:bCs/>
        </w:rPr>
        <w:t>Ibid.</w:t>
      </w:r>
      <w:r w:rsidR="00615B8B">
        <w:t xml:space="preserve"> pp. 244-245)</w:t>
      </w:r>
    </w:p>
    <w:p w14:paraId="54A2EAC5" w14:textId="13A61AA5" w:rsidR="00030D1C" w:rsidRPr="00AB26C7" w:rsidRDefault="009702AC" w:rsidP="009702AC">
      <w:pPr>
        <w:rPr>
          <w:rFonts w:cs="Times New Roman"/>
          <w:b/>
        </w:rPr>
      </w:pPr>
      <w:r w:rsidRPr="00AB26C7">
        <w:rPr>
          <w:rFonts w:cs="Times New Roman"/>
          <w:b/>
        </w:rPr>
        <w:t>19:16. Teacher, what good deed must I do, to have eternal life?</w:t>
      </w:r>
      <w:r w:rsidRPr="00AB26C7">
        <w:rPr>
          <w:rFonts w:cs="Times New Roman"/>
        </w:rPr>
        <w:t xml:space="preserve"> This </w:t>
      </w:r>
      <w:r w:rsidR="00AB26C7" w:rsidRPr="00AB26C7">
        <w:rPr>
          <w:rFonts w:cs="Times New Roman"/>
        </w:rPr>
        <w:t>person’s question</w:t>
      </w:r>
      <w:r w:rsidRPr="00AB26C7">
        <w:rPr>
          <w:rFonts w:cs="Times New Roman"/>
        </w:rPr>
        <w:t xml:space="preserve"> indicates </w:t>
      </w:r>
      <w:r w:rsidR="00AB26C7" w:rsidRPr="00AB26C7">
        <w:rPr>
          <w:rFonts w:cs="Times New Roman"/>
        </w:rPr>
        <w:t xml:space="preserve">he is probably </w:t>
      </w:r>
      <w:r w:rsidRPr="00AB26C7">
        <w:rPr>
          <w:rFonts w:cs="Times New Roman"/>
        </w:rPr>
        <w:t xml:space="preserve">seeking the means of personal salvation, presuming that some action will be required to achieve this objective. The notion that every person has a duty to serve God through their deeds and decisions was a core </w:t>
      </w:r>
      <w:r w:rsidR="00AB26C7" w:rsidRPr="00AB26C7">
        <w:rPr>
          <w:rFonts w:cs="Times New Roman"/>
        </w:rPr>
        <w:t>belief</w:t>
      </w:r>
      <w:r w:rsidRPr="00AB26C7">
        <w:rPr>
          <w:rFonts w:cs="Times New Roman"/>
        </w:rPr>
        <w:t xml:space="preserve"> of Judaism. Jesus does not challenge this premise; however, he offers clarification to ensure it is understood that salvation </w:t>
      </w:r>
      <w:r w:rsidR="00AB26C7" w:rsidRPr="00AB26C7">
        <w:rPr>
          <w:rFonts w:cs="Times New Roman"/>
        </w:rPr>
        <w:t>is</w:t>
      </w:r>
      <w:r w:rsidRPr="00AB26C7">
        <w:rPr>
          <w:rFonts w:cs="Times New Roman"/>
        </w:rPr>
        <w:t xml:space="preserve"> </w:t>
      </w:r>
      <w:r w:rsidR="00047F7F">
        <w:rPr>
          <w:rFonts w:cs="Times New Roman"/>
        </w:rPr>
        <w:t xml:space="preserve">to </w:t>
      </w:r>
      <w:r w:rsidRPr="00AB26C7">
        <w:rPr>
          <w:rFonts w:cs="Times New Roman"/>
        </w:rPr>
        <w:t xml:space="preserve">be attained through </w:t>
      </w:r>
      <w:r w:rsidR="00AB26C7" w:rsidRPr="00AB26C7">
        <w:rPr>
          <w:rFonts w:cs="Times New Roman"/>
        </w:rPr>
        <w:t xml:space="preserve">personal </w:t>
      </w:r>
      <w:r w:rsidRPr="00AB26C7">
        <w:rPr>
          <w:rFonts w:cs="Times New Roman"/>
        </w:rPr>
        <w:t>effort.</w:t>
      </w:r>
    </w:p>
    <w:p w14:paraId="09155CFD" w14:textId="6EBC68C0" w:rsidR="00030D1C" w:rsidRPr="00030D1C" w:rsidRDefault="00030D1C" w:rsidP="00030D1C">
      <w:pPr>
        <w:rPr>
          <w:iCs/>
        </w:rPr>
      </w:pPr>
      <w:r w:rsidRPr="00030D1C">
        <w:rPr>
          <w:b/>
          <w:iCs/>
        </w:rPr>
        <w:t>19:17</w:t>
      </w:r>
      <w:r>
        <w:rPr>
          <w:b/>
          <w:iCs/>
        </w:rPr>
        <w:t xml:space="preserve">. </w:t>
      </w:r>
      <w:r w:rsidRPr="00030D1C">
        <w:rPr>
          <w:b/>
          <w:iCs/>
        </w:rPr>
        <w:t>Why do you ask me about what is good?</w:t>
      </w:r>
      <w:r w:rsidRPr="00030D1C">
        <w:rPr>
          <w:iCs/>
        </w:rPr>
        <w:t xml:space="preserve"> Jesus responds to the question with one of his own</w:t>
      </w:r>
      <w:r>
        <w:rPr>
          <w:iCs/>
        </w:rPr>
        <w:t xml:space="preserve">. </w:t>
      </w:r>
      <w:r w:rsidRPr="00030D1C">
        <w:rPr>
          <w:iCs/>
        </w:rPr>
        <w:t xml:space="preserve">At first, this response sounds like an excuse for not answering the young man, as though Christ is baffled that anyone should ask him about the way to heaven. Then he adds: </w:t>
      </w:r>
      <w:r w:rsidRPr="00030D1C">
        <w:rPr>
          <w:bCs/>
          <w:i/>
        </w:rPr>
        <w:t>One there is who is good.</w:t>
      </w:r>
      <w:r w:rsidRPr="00030D1C">
        <w:rPr>
          <w:iCs/>
        </w:rPr>
        <w:t xml:space="preserve"> </w:t>
      </w:r>
      <w:r>
        <w:rPr>
          <w:iCs/>
        </w:rPr>
        <w:t xml:space="preserve">Since that ‘One’ would be God, it might </w:t>
      </w:r>
      <w:r w:rsidRPr="00030D1C">
        <w:rPr>
          <w:iCs/>
        </w:rPr>
        <w:t>seem as though Jesus wants to defer such questions to God, who alone can be called good in the absolute sense (see Mark 10:18). Does this imply that Jesus himself is not good? And if so, does it also imply that Jesus is not God?</w:t>
      </w:r>
    </w:p>
    <w:p w14:paraId="139D0C16" w14:textId="327AE5BF" w:rsidR="00030D1C" w:rsidRPr="00825E9A" w:rsidRDefault="00030D1C" w:rsidP="007763DF">
      <w:pPr>
        <w:rPr>
          <w:rFonts w:cs="Times New Roman"/>
          <w:color w:val="000000"/>
        </w:rPr>
      </w:pPr>
      <w:r w:rsidRPr="00030D1C">
        <w:rPr>
          <w:iCs/>
        </w:rPr>
        <w:lastRenderedPageBreak/>
        <w:t>Both questions can be</w:t>
      </w:r>
      <w:r>
        <w:rPr>
          <w:iCs/>
        </w:rPr>
        <w:t xml:space="preserve"> easily answered, ‘No</w:t>
      </w:r>
      <w:r w:rsidR="007763DF">
        <w:rPr>
          <w:iCs/>
        </w:rPr>
        <w:t>.</w:t>
      </w:r>
      <w:r>
        <w:rPr>
          <w:iCs/>
        </w:rPr>
        <w:t>’</w:t>
      </w:r>
      <w:r w:rsidR="007763DF">
        <w:rPr>
          <w:iCs/>
        </w:rPr>
        <w:t xml:space="preserve"> </w:t>
      </w:r>
      <w:r w:rsidR="00825E9A" w:rsidRPr="00825E9A">
        <w:rPr>
          <w:rFonts w:cs="Times New Roman"/>
          <w:color w:val="000000"/>
        </w:rPr>
        <w:t>Perhaps Jesus is challenging the young man with a riddle, and by solving it, the young man will recognize Jesus as goodness personified</w:t>
      </w:r>
      <w:r w:rsidR="007763DF">
        <w:rPr>
          <w:rFonts w:cs="Times New Roman"/>
          <w:color w:val="000000"/>
        </w:rPr>
        <w:t xml:space="preserve"> [i.e. God]</w:t>
      </w:r>
      <w:r w:rsidR="00825E9A" w:rsidRPr="00825E9A">
        <w:rPr>
          <w:rFonts w:cs="Times New Roman"/>
          <w:color w:val="000000"/>
        </w:rPr>
        <w:t>. This idea gains support as the story progresses—Jesus responds to the man's inquiry about what good deeds should be done (19:18–19)</w:t>
      </w:r>
      <w:r w:rsidR="007763DF">
        <w:rPr>
          <w:rFonts w:cs="Times New Roman"/>
          <w:color w:val="000000"/>
        </w:rPr>
        <w:t xml:space="preserve">. He </w:t>
      </w:r>
      <w:r w:rsidR="00825E9A" w:rsidRPr="00825E9A">
        <w:rPr>
          <w:rFonts w:cs="Times New Roman"/>
          <w:color w:val="000000"/>
        </w:rPr>
        <w:t>then invites him to become his follower (19:21). Essentially, Jesus positions himself as the path to salvation; he embodies the ultimate goodness that the young man seeks.</w:t>
      </w:r>
    </w:p>
    <w:p w14:paraId="53804409" w14:textId="3394AC73" w:rsidR="00FE2F11" w:rsidRPr="007763DF" w:rsidRDefault="007763DF" w:rsidP="007763DF">
      <w:pPr>
        <w:rPr>
          <w:rFonts w:cs="Times New Roman"/>
          <w:color w:val="000000"/>
        </w:rPr>
      </w:pPr>
      <w:r w:rsidRPr="007763DF">
        <w:rPr>
          <w:rFonts w:cs="Times New Roman"/>
          <w:color w:val="000000"/>
        </w:rPr>
        <w:t xml:space="preserve">Prior to presenting the more complex requirements of Christian discipleship, Jesus articulates a fundamental prerequisite: </w:t>
      </w:r>
      <w:r w:rsidRPr="00EA79FF">
        <w:rPr>
          <w:rFonts w:cs="Times New Roman"/>
          <w:bCs/>
          <w:i/>
          <w:iCs/>
          <w:color w:val="000000"/>
        </w:rPr>
        <w:t xml:space="preserve">If you </w:t>
      </w:r>
      <w:r w:rsidR="00EA79FF" w:rsidRPr="00EA79FF">
        <w:rPr>
          <w:rFonts w:cs="Times New Roman"/>
          <w:bCs/>
          <w:i/>
          <w:iCs/>
          <w:color w:val="000000"/>
        </w:rPr>
        <w:t>would</w:t>
      </w:r>
      <w:r w:rsidRPr="00EA79FF">
        <w:rPr>
          <w:rFonts w:cs="Times New Roman"/>
          <w:bCs/>
          <w:i/>
          <w:iCs/>
          <w:color w:val="000000"/>
        </w:rPr>
        <w:t xml:space="preserve"> to enter life, keep the commandments</w:t>
      </w:r>
      <w:r w:rsidRPr="007763DF">
        <w:rPr>
          <w:rFonts w:cs="Times New Roman"/>
          <w:color w:val="000000"/>
        </w:rPr>
        <w:t>. This statement aligns with well-established principles in biblical tradition, as adherence to God's law is central to scriptural practice. Numerous passages in the Torah, including Leviticus 18:5 and Deuteronomy 4:1 and 30:15–20, associate the observance of commandments with the promise of a prolonged and prosperous life.</w:t>
      </w:r>
    </w:p>
    <w:p w14:paraId="7ABEF87D" w14:textId="3D707784" w:rsidR="00FE2F11" w:rsidRPr="007763DF" w:rsidRDefault="007763DF" w:rsidP="007763DF">
      <w:pPr>
        <w:rPr>
          <w:rFonts w:cs="Times New Roman"/>
          <w:b/>
          <w:color w:val="000000"/>
        </w:rPr>
      </w:pPr>
      <w:r w:rsidRPr="007763DF">
        <w:rPr>
          <w:rFonts w:cs="Times New Roman"/>
          <w:b/>
          <w:color w:val="000000"/>
        </w:rPr>
        <w:t>19:18–19.</w:t>
      </w:r>
      <w:r w:rsidRPr="007763DF">
        <w:rPr>
          <w:rFonts w:cs="Times New Roman"/>
          <w:color w:val="000000"/>
        </w:rPr>
        <w:t xml:space="preserve"> The young man's response, </w:t>
      </w:r>
      <w:r w:rsidRPr="007763DF">
        <w:rPr>
          <w:rFonts w:cs="Times New Roman"/>
          <w:i/>
          <w:color w:val="000000"/>
        </w:rPr>
        <w:t>Which ones</w:t>
      </w:r>
      <w:proofErr w:type="gramStart"/>
      <w:r w:rsidRPr="007763DF">
        <w:rPr>
          <w:rFonts w:cs="Times New Roman"/>
          <w:i/>
          <w:color w:val="000000"/>
        </w:rPr>
        <w:t>?</w:t>
      </w:r>
      <w:r w:rsidRPr="007763DF">
        <w:rPr>
          <w:rFonts w:cs="Times New Roman"/>
          <w:color w:val="000000"/>
        </w:rPr>
        <w:t>,</w:t>
      </w:r>
      <w:proofErr w:type="gramEnd"/>
      <w:r w:rsidRPr="007763DF">
        <w:rPr>
          <w:rFonts w:cs="Times New Roman"/>
          <w:color w:val="000000"/>
        </w:rPr>
        <w:t xml:space="preserve"> is </w:t>
      </w:r>
      <w:r>
        <w:rPr>
          <w:rFonts w:cs="Times New Roman"/>
          <w:color w:val="000000"/>
        </w:rPr>
        <w:t>probably sincere. Remember the Jews counted over 6oo laws/commandments to be followed in the Pentateuch.</w:t>
      </w:r>
      <w:r w:rsidRPr="007763DF">
        <w:rPr>
          <w:rFonts w:cs="Times New Roman"/>
          <w:color w:val="000000"/>
        </w:rPr>
        <w:t xml:space="preserve"> He </w:t>
      </w:r>
      <w:r>
        <w:rPr>
          <w:rFonts w:cs="Times New Roman"/>
          <w:color w:val="000000"/>
        </w:rPr>
        <w:t xml:space="preserve">probably </w:t>
      </w:r>
      <w:r w:rsidRPr="007763DF">
        <w:rPr>
          <w:rFonts w:cs="Times New Roman"/>
          <w:color w:val="000000"/>
        </w:rPr>
        <w:t>isn’t attempting to select only the commandments that appeal to him; instead, he seems eager to learn which are most significant</w:t>
      </w:r>
      <w:r>
        <w:rPr>
          <w:rFonts w:cs="Times New Roman"/>
          <w:color w:val="000000"/>
        </w:rPr>
        <w:t>/important</w:t>
      </w:r>
      <w:r w:rsidRPr="007763DF">
        <w:rPr>
          <w:rFonts w:cs="Times New Roman"/>
          <w:color w:val="000000"/>
        </w:rPr>
        <w:t xml:space="preserve">. </w:t>
      </w:r>
      <w:r>
        <w:rPr>
          <w:rFonts w:cs="Times New Roman"/>
          <w:color w:val="000000"/>
        </w:rPr>
        <w:t>It</w:t>
      </w:r>
      <w:r w:rsidRPr="007763DF">
        <w:rPr>
          <w:rFonts w:cs="Times New Roman"/>
          <w:color w:val="000000"/>
        </w:rPr>
        <w:t xml:space="preserve"> would be understand</w:t>
      </w:r>
      <w:r>
        <w:rPr>
          <w:rFonts w:cs="Times New Roman"/>
          <w:color w:val="000000"/>
        </w:rPr>
        <w:t>able to want to</w:t>
      </w:r>
      <w:r w:rsidRPr="007763DF">
        <w:rPr>
          <w:rFonts w:cs="Times New Roman"/>
          <w:color w:val="000000"/>
        </w:rPr>
        <w:t xml:space="preserve"> focus one's efforts effectively.</w:t>
      </w:r>
    </w:p>
    <w:p w14:paraId="11A9D8C2" w14:textId="01EDCDBF" w:rsidR="00FE2F11" w:rsidRPr="004A7FAC" w:rsidRDefault="004A7FAC" w:rsidP="004A7FAC">
      <w:pPr>
        <w:rPr>
          <w:rFonts w:cs="Times New Roman"/>
          <w:b/>
          <w:color w:val="000000"/>
        </w:rPr>
      </w:pPr>
      <w:r w:rsidRPr="004A7FAC">
        <w:rPr>
          <w:rFonts w:cs="Times New Roman"/>
          <w:b/>
          <w:color w:val="000000"/>
        </w:rPr>
        <w:t>19:20.</w:t>
      </w:r>
      <w:r w:rsidRPr="004A7FAC">
        <w:rPr>
          <w:rFonts w:cs="Times New Roman"/>
          <w:color w:val="000000"/>
        </w:rPr>
        <w:t xml:space="preserve"> </w:t>
      </w:r>
      <w:r w:rsidRPr="004A7FAC">
        <w:rPr>
          <w:rFonts w:cs="Times New Roman"/>
          <w:b/>
          <w:color w:val="000000"/>
        </w:rPr>
        <w:t>All these I have observed</w:t>
      </w:r>
      <w:r w:rsidRPr="004A7FAC">
        <w:rPr>
          <w:rFonts w:cs="Times New Roman"/>
          <w:color w:val="000000"/>
        </w:rPr>
        <w:t xml:space="preserve">. </w:t>
      </w:r>
      <w:r>
        <w:rPr>
          <w:rFonts w:cs="Times New Roman"/>
          <w:color w:val="000000"/>
        </w:rPr>
        <w:t>Interestingly</w:t>
      </w:r>
      <w:r w:rsidRPr="004A7FAC">
        <w:rPr>
          <w:rFonts w:cs="Times New Roman"/>
          <w:color w:val="000000"/>
        </w:rPr>
        <w:t xml:space="preserve">, the young man </w:t>
      </w:r>
      <w:r>
        <w:rPr>
          <w:rFonts w:cs="Times New Roman"/>
          <w:color w:val="000000"/>
        </w:rPr>
        <w:t>says</w:t>
      </w:r>
      <w:r w:rsidRPr="004A7FAC">
        <w:rPr>
          <w:rFonts w:cs="Times New Roman"/>
          <w:color w:val="000000"/>
        </w:rPr>
        <w:t xml:space="preserve"> that he has adhered to these guidelines. Had his statements concluded at this point, it could be interpreted as </w:t>
      </w:r>
      <w:r>
        <w:rPr>
          <w:rFonts w:cs="Times New Roman"/>
          <w:color w:val="000000"/>
        </w:rPr>
        <w:t>boasting</w:t>
      </w:r>
      <w:r w:rsidRPr="004A7FAC">
        <w:rPr>
          <w:rFonts w:cs="Times New Roman"/>
          <w:color w:val="000000"/>
        </w:rPr>
        <w:t xml:space="preserve"> or a lack of acknowledgment of personal shortcomings. However, he continues </w:t>
      </w:r>
      <w:r>
        <w:rPr>
          <w:rFonts w:cs="Times New Roman"/>
          <w:color w:val="000000"/>
        </w:rPr>
        <w:t xml:space="preserve">and further asks, </w:t>
      </w:r>
      <w:proofErr w:type="gramStart"/>
      <w:r w:rsidRPr="004A7FAC">
        <w:rPr>
          <w:rFonts w:cs="Times New Roman"/>
          <w:i/>
          <w:color w:val="000000"/>
        </w:rPr>
        <w:t>What</w:t>
      </w:r>
      <w:proofErr w:type="gramEnd"/>
      <w:r w:rsidRPr="004A7FAC">
        <w:rPr>
          <w:rFonts w:cs="Times New Roman"/>
          <w:i/>
          <w:color w:val="000000"/>
        </w:rPr>
        <w:t xml:space="preserve"> do I still lack</w:t>
      </w:r>
      <w:r w:rsidRPr="004A7FAC">
        <w:rPr>
          <w:rFonts w:cs="Times New Roman"/>
          <w:bCs/>
          <w:i/>
          <w:iCs/>
          <w:color w:val="000000"/>
        </w:rPr>
        <w:t>?</w:t>
      </w:r>
      <w:r w:rsidRPr="004A7FAC">
        <w:rPr>
          <w:rFonts w:cs="Times New Roman"/>
          <w:color w:val="000000"/>
        </w:rPr>
        <w:t xml:space="preserve"> This question suggests</w:t>
      </w:r>
      <w:r>
        <w:rPr>
          <w:rFonts w:cs="Times New Roman"/>
          <w:color w:val="000000"/>
        </w:rPr>
        <w:t xml:space="preserve"> he is</w:t>
      </w:r>
      <w:r w:rsidRPr="004A7FAC">
        <w:rPr>
          <w:rFonts w:cs="Times New Roman"/>
          <w:color w:val="000000"/>
        </w:rPr>
        <w:t xml:space="preserve"> not self-satisf</w:t>
      </w:r>
      <w:r>
        <w:rPr>
          <w:rFonts w:cs="Times New Roman"/>
          <w:color w:val="000000"/>
        </w:rPr>
        <w:t>ied</w:t>
      </w:r>
      <w:r w:rsidRPr="004A7FAC">
        <w:rPr>
          <w:rFonts w:cs="Times New Roman"/>
          <w:color w:val="000000"/>
        </w:rPr>
        <w:t xml:space="preserve">, but rather </w:t>
      </w:r>
      <w:r>
        <w:rPr>
          <w:rFonts w:cs="Times New Roman"/>
          <w:color w:val="000000"/>
        </w:rPr>
        <w:t xml:space="preserve">searching for </w:t>
      </w:r>
      <w:r w:rsidRPr="004A7FAC">
        <w:rPr>
          <w:rFonts w:cs="Times New Roman"/>
          <w:color w:val="000000"/>
        </w:rPr>
        <w:t xml:space="preserve">understanding. He remains unsettled, indicating an awareness that an essential element in life </w:t>
      </w:r>
      <w:r w:rsidR="00842EAF">
        <w:rPr>
          <w:rFonts w:cs="Times New Roman"/>
          <w:color w:val="000000"/>
        </w:rPr>
        <w:t>is yet eluding h</w:t>
      </w:r>
      <w:r w:rsidRPr="004A7FAC">
        <w:rPr>
          <w:rFonts w:cs="Times New Roman"/>
          <w:color w:val="000000"/>
        </w:rPr>
        <w:t>im.</w:t>
      </w:r>
    </w:p>
    <w:p w14:paraId="3BED4958" w14:textId="7E750353" w:rsidR="00FE2F11" w:rsidRPr="00ED52CB" w:rsidRDefault="00ED52CB" w:rsidP="00ED52CB">
      <w:pPr>
        <w:rPr>
          <w:rFonts w:cs="Times New Roman"/>
          <w:b/>
          <w:color w:val="000000"/>
        </w:rPr>
      </w:pPr>
      <w:r w:rsidRPr="00ED52CB">
        <w:rPr>
          <w:rFonts w:cs="Times New Roman"/>
          <w:b/>
          <w:color w:val="000000"/>
        </w:rPr>
        <w:t>19:21–22.</w:t>
      </w:r>
      <w:r w:rsidRPr="00ED52CB">
        <w:rPr>
          <w:rFonts w:cs="Times New Roman"/>
          <w:color w:val="000000"/>
        </w:rPr>
        <w:t xml:space="preserve"> Jesus invites the young man to do more than simply follow the law. Along with keeping the commandments, he </w:t>
      </w:r>
      <w:r>
        <w:rPr>
          <w:rFonts w:cs="Times New Roman"/>
          <w:color w:val="000000"/>
        </w:rPr>
        <w:t xml:space="preserve">could </w:t>
      </w:r>
      <w:r w:rsidRPr="00ED52CB">
        <w:rPr>
          <w:rFonts w:cs="Times New Roman"/>
          <w:color w:val="000000"/>
        </w:rPr>
        <w:t>achieve true</w:t>
      </w:r>
      <w:r>
        <w:rPr>
          <w:rFonts w:cs="Times New Roman"/>
          <w:color w:val="000000"/>
        </w:rPr>
        <w:t>/perfect</w:t>
      </w:r>
      <w:r w:rsidRPr="00ED52CB">
        <w:rPr>
          <w:rFonts w:cs="Times New Roman"/>
          <w:color w:val="000000"/>
        </w:rPr>
        <w:t xml:space="preserve"> devotion to God</w:t>
      </w:r>
      <w:r>
        <w:rPr>
          <w:rFonts w:cs="Times New Roman"/>
          <w:color w:val="000000"/>
        </w:rPr>
        <w:t xml:space="preserve"> if he were to s</w:t>
      </w:r>
      <w:r w:rsidRPr="00ED52CB">
        <w:rPr>
          <w:rFonts w:cs="Times New Roman"/>
          <w:i/>
          <w:iCs/>
          <w:color w:val="000000"/>
        </w:rPr>
        <w:t>ell</w:t>
      </w:r>
      <w:r w:rsidRPr="00ED52CB">
        <w:rPr>
          <w:rFonts w:cs="Times New Roman"/>
          <w:color w:val="000000"/>
        </w:rPr>
        <w:t xml:space="preserve"> his possessions, </w:t>
      </w:r>
      <w:r w:rsidRPr="00ED52CB">
        <w:rPr>
          <w:rFonts w:cs="Times New Roman"/>
          <w:i/>
          <w:iCs/>
          <w:color w:val="000000"/>
        </w:rPr>
        <w:t>give to the poor</w:t>
      </w:r>
      <w:r w:rsidRPr="00ED52CB">
        <w:rPr>
          <w:rFonts w:cs="Times New Roman"/>
          <w:color w:val="000000"/>
        </w:rPr>
        <w:t xml:space="preserve">, and choosing to </w:t>
      </w:r>
      <w:r w:rsidRPr="00ED52CB">
        <w:rPr>
          <w:rFonts w:cs="Times New Roman"/>
          <w:bCs/>
          <w:i/>
          <w:iCs/>
          <w:color w:val="000000"/>
        </w:rPr>
        <w:t>follow</w:t>
      </w:r>
      <w:r w:rsidRPr="00ED52CB">
        <w:rPr>
          <w:rFonts w:cs="Times New Roman"/>
          <w:i/>
          <w:iCs/>
          <w:color w:val="000000"/>
        </w:rPr>
        <w:t xml:space="preserve"> me</w:t>
      </w:r>
      <w:r>
        <w:rPr>
          <w:rFonts w:cs="Times New Roman"/>
          <w:color w:val="000000"/>
        </w:rPr>
        <w:t xml:space="preserve"> [</w:t>
      </w:r>
      <w:r w:rsidRPr="00ED52CB">
        <w:rPr>
          <w:rFonts w:cs="Times New Roman"/>
          <w:color w:val="000000"/>
        </w:rPr>
        <w:t>the Messiah</w:t>
      </w:r>
      <w:r>
        <w:rPr>
          <w:rFonts w:cs="Times New Roman"/>
          <w:color w:val="000000"/>
        </w:rPr>
        <w:t>]</w:t>
      </w:r>
      <w:r w:rsidRPr="00ED52CB">
        <w:rPr>
          <w:rFonts w:cs="Times New Roman"/>
          <w:color w:val="000000"/>
        </w:rPr>
        <w:t xml:space="preserve">. This is a demanding challenge, especially for someone </w:t>
      </w:r>
      <w:r>
        <w:rPr>
          <w:rFonts w:cs="Times New Roman"/>
          <w:color w:val="000000"/>
        </w:rPr>
        <w:t xml:space="preserve">who </w:t>
      </w:r>
      <w:r w:rsidRPr="00ED52CB">
        <w:rPr>
          <w:rFonts w:cs="Times New Roman"/>
          <w:i/>
          <w:iCs/>
          <w:color w:val="000000"/>
        </w:rPr>
        <w:t>had great possessions</w:t>
      </w:r>
      <w:r w:rsidRPr="00ED52CB">
        <w:rPr>
          <w:rFonts w:cs="Times New Roman"/>
          <w:color w:val="000000"/>
        </w:rPr>
        <w:t>.</w:t>
      </w:r>
    </w:p>
    <w:p w14:paraId="192377A8" w14:textId="475B78F4" w:rsidR="00FE2F11" w:rsidRPr="00FE2F11" w:rsidRDefault="00FE2F11" w:rsidP="00FE2F11">
      <w:pPr>
        <w:rPr>
          <w:iCs/>
        </w:rPr>
      </w:pPr>
      <w:r w:rsidRPr="00FE2F11">
        <w:rPr>
          <w:iCs/>
        </w:rPr>
        <w:lastRenderedPageBreak/>
        <w:t xml:space="preserve">According to the teaching of Jesus, all are called to spiritual detachment from the things of this world (6:19–21, 24). But Jesus invites this gentleman to consider something better still, to embrace a means of perfection that entails dispossessing himself of monetary assets. It is not that poverty is romanticized or idealized for its own sake, but that surrendering worldly wealth frees the heart to find its true </w:t>
      </w:r>
      <w:r w:rsidRPr="00FE2F11">
        <w:rPr>
          <w:i/>
        </w:rPr>
        <w:t>treasure in heaven.</w:t>
      </w:r>
    </w:p>
    <w:p w14:paraId="0F55DF15" w14:textId="77777777" w:rsidR="00CE7AB1" w:rsidRDefault="00FE2F11" w:rsidP="001D652E">
      <w:pPr>
        <w:rPr>
          <w:iCs/>
        </w:rPr>
      </w:pPr>
      <w:r w:rsidRPr="00FE2F11">
        <w:rPr>
          <w:iCs/>
        </w:rPr>
        <w:t xml:space="preserve">Sadly, the young man could not bring himself to let go of his wealth. Unlike the disciples, who had left everything to follow Jesus (19:27), and unlike later saints such as Francis of Assisi, to whom the Lord issued the same call, this well-to-do fellow was not ready to make a sacrifice of such magnitude. It is no surprise that he </w:t>
      </w:r>
      <w:r w:rsidRPr="00FE2F11">
        <w:rPr>
          <w:i/>
        </w:rPr>
        <w:t>went away sorrowful</w:t>
      </w:r>
      <w:r>
        <w:rPr>
          <w:iCs/>
        </w:rPr>
        <w:t>, because</w:t>
      </w:r>
      <w:r w:rsidRPr="00FE2F11">
        <w:rPr>
          <w:iCs/>
        </w:rPr>
        <w:t xml:space="preserve"> he had chosen to decline the freedom </w:t>
      </w:r>
      <w:r w:rsidR="002E4880">
        <w:rPr>
          <w:iCs/>
        </w:rPr>
        <w:t>that comes from</w:t>
      </w:r>
      <w:r w:rsidRPr="00FE2F11">
        <w:rPr>
          <w:iCs/>
        </w:rPr>
        <w:t xml:space="preserve"> relinquishing all and to remain fettered to his possessions.</w:t>
      </w:r>
      <w:r w:rsidR="00615B8B">
        <w:rPr>
          <w:iCs/>
        </w:rPr>
        <w:t xml:space="preserve"> (</w:t>
      </w:r>
      <w:r w:rsidR="00615B8B" w:rsidRPr="00615B8B">
        <w:rPr>
          <w:b/>
          <w:bCs/>
          <w:iCs/>
        </w:rPr>
        <w:t>Ibid.</w:t>
      </w:r>
      <w:r w:rsidR="00615B8B">
        <w:rPr>
          <w:iCs/>
        </w:rPr>
        <w:t xml:space="preserve"> Mitch pp. 246-248)</w:t>
      </w:r>
    </w:p>
    <w:p w14:paraId="2C3BAC96" w14:textId="4FD79483" w:rsidR="00030D1C" w:rsidRPr="00CE7AB1" w:rsidRDefault="00CE7AB1" w:rsidP="00CE7AB1">
      <w:pPr>
        <w:rPr>
          <w:rFonts w:cs="Times New Roman"/>
          <w:color w:val="000000"/>
        </w:rPr>
      </w:pPr>
      <w:r w:rsidRPr="00CE7AB1">
        <w:rPr>
          <w:rFonts w:cs="Times New Roman"/>
          <w:color w:val="000000"/>
        </w:rPr>
        <w:t xml:space="preserve">The young man, unfortunately, was unable to part with his wealth. Unlike the disciples, who gave up everything to follow Jesus (19:27), and unlike saints such as Francis of Assisi, who responded to a similar invitation from the Lord, this affluent individual was not prepared for such a significant sacrifice. It’s not surprising that he left feeling sad, since he chose to keep his possessions rather than embrace the freedom that comes from letting go of everything. </w:t>
      </w:r>
      <w:r>
        <w:rPr>
          <w:rFonts w:cs="Times New Roman"/>
          <w:color w:val="000000"/>
        </w:rPr>
        <w:t>Mitch &amp; Sri observe, “</w:t>
      </w:r>
      <w:r w:rsidRPr="00CE7AB1">
        <w:rPr>
          <w:rFonts w:cs="Times New Roman"/>
          <w:color w:val="000000"/>
        </w:rPr>
        <w:t xml:space="preserve">It is not that poverty is romanticized or idealized for its own sake, but that surrendering worldly wealth frees the heart to find its true treasure in </w:t>
      </w:r>
      <w:r w:rsidRPr="00CE7AB1">
        <w:rPr>
          <w:rFonts w:cs="Times New Roman"/>
          <w:bCs/>
          <w:color w:val="000000"/>
        </w:rPr>
        <w:t>heaven</w:t>
      </w:r>
      <w:r w:rsidRPr="00CE7AB1">
        <w:rPr>
          <w:rFonts w:cs="Times New Roman"/>
          <w:color w:val="000000"/>
        </w:rPr>
        <w:t>.</w:t>
      </w:r>
      <w:r>
        <w:rPr>
          <w:rFonts w:cs="Times New Roman"/>
          <w:color w:val="000000"/>
        </w:rPr>
        <w:t xml:space="preserve">  </w:t>
      </w:r>
      <w:r w:rsidRPr="00CE7AB1">
        <w:rPr>
          <w:rFonts w:cs="Times New Roman"/>
          <w:color w:val="000000"/>
        </w:rPr>
        <w:t>(</w:t>
      </w:r>
      <w:r w:rsidRPr="00CE7AB1">
        <w:rPr>
          <w:rFonts w:cs="Times New Roman"/>
          <w:b/>
          <w:color w:val="000000"/>
        </w:rPr>
        <w:t>Ibid.</w:t>
      </w:r>
      <w:r w:rsidRPr="00CE7AB1">
        <w:rPr>
          <w:rFonts w:cs="Times New Roman"/>
          <w:color w:val="000000"/>
        </w:rPr>
        <w:t xml:space="preserve"> Mitch pp. 246-248)</w:t>
      </w:r>
    </w:p>
    <w:p w14:paraId="090D7ACE" w14:textId="342E2814" w:rsidR="003F6E23" w:rsidRPr="00030D1C" w:rsidRDefault="00030D1C" w:rsidP="00494ED9">
      <w:pPr>
        <w:rPr>
          <w:b/>
          <w:bCs/>
          <w:iCs/>
        </w:rPr>
      </w:pPr>
      <w:r w:rsidRPr="00030D1C">
        <w:rPr>
          <w:b/>
          <w:bCs/>
          <w:iCs/>
        </w:rPr>
        <w:t>Going Deeper – Some More Aspects</w:t>
      </w:r>
    </w:p>
    <w:p w14:paraId="1A5966A8" w14:textId="6469E8CF" w:rsidR="00494ED9" w:rsidRPr="00494ED9" w:rsidRDefault="00CE7AB1" w:rsidP="00030D1C">
      <w:pPr>
        <w:ind w:left="630" w:right="540"/>
      </w:pPr>
      <w:r>
        <w:t>A</w:t>
      </w:r>
      <w:r w:rsidR="00494ED9" w:rsidRPr="00494ED9">
        <w:t xml:space="preserve"> young man musters the courage to approach </w:t>
      </w:r>
      <w:r>
        <w:t>Jesus</w:t>
      </w:r>
      <w:r w:rsidR="00494ED9" w:rsidRPr="00494ED9">
        <w:t xml:space="preserve">. All three of the Synoptic Gospels report this. Luke calls him </w:t>
      </w:r>
      <w:r w:rsidR="00494ED9" w:rsidRPr="00494ED9">
        <w:rPr>
          <w:i/>
        </w:rPr>
        <w:t>a ruler</w:t>
      </w:r>
      <w:r w:rsidR="00494ED9" w:rsidRPr="00494ED9">
        <w:t xml:space="preserve"> (Luke 18:18), more literally “someone who is from among the rulers.” He was rich because he came from the ruling elite. Mark seizes the reader’s attention with the de</w:t>
      </w:r>
      <w:r w:rsidR="00221B19">
        <w:t xml:space="preserve">tail that the man knelt before </w:t>
      </w:r>
      <w:r w:rsidR="00494ED9" w:rsidRPr="00494ED9">
        <w:t xml:space="preserve">Jesus (Mark 10:17). Matthew is the only source that specifically mentions that he was young (Matthew 19:20). Matthew may have identified personally with the rich young ruler, because he too had been challenged to leave behind a life of wealth. Tax </w:t>
      </w:r>
      <w:r w:rsidR="00494ED9" w:rsidRPr="00494ED9">
        <w:lastRenderedPageBreak/>
        <w:t>collectors like Matthew did not belong to the elite class, but were allied with them and benefited from the system too.</w:t>
      </w:r>
    </w:p>
    <w:p w14:paraId="1A5966A9" w14:textId="77777777" w:rsidR="00494ED9" w:rsidRPr="00494ED9" w:rsidRDefault="00494ED9" w:rsidP="00030D1C">
      <w:pPr>
        <w:ind w:left="630" w:right="540"/>
      </w:pPr>
      <w:r w:rsidRPr="00494ED9">
        <w:t xml:space="preserve">First Jesus asks the young man about his moral foundation and addresses adultery first. In the Hebrew Bible idolatry was considered a form of adultery, a way of cheating on the heavenly Spouse. Adultery can lead to other sins as well. One who cheats in matrimony steals what rightly belongs only to the spouse, lies to spouse and children, dishonors parents, and fails to love neighbor or self. Young people need to practice purity to ensure their futures. Jesus said, </w:t>
      </w:r>
      <w:r w:rsidRPr="00494ED9">
        <w:rPr>
          <w:i/>
        </w:rPr>
        <w:t>“Blessed are the pure in heart, for they shall see God”</w:t>
      </w:r>
      <w:r w:rsidRPr="00494ED9">
        <w:t xml:space="preserve"> (Matthew 5:8).</w:t>
      </w:r>
    </w:p>
    <w:p w14:paraId="1A5966AA" w14:textId="6658D96C" w:rsidR="00494ED9" w:rsidRPr="00494ED9" w:rsidRDefault="00494ED9" w:rsidP="00030D1C">
      <w:pPr>
        <w:ind w:left="630" w:right="540"/>
      </w:pPr>
      <w:r w:rsidRPr="00494ED9">
        <w:t xml:space="preserve">Satisfied that the young man has a good general ethic, Jesus invites him to the virtue of evangelical poverty. Anthony of Egypt heard </w:t>
      </w:r>
      <w:r w:rsidRPr="00494ED9">
        <w:rPr>
          <w:i/>
        </w:rPr>
        <w:t>“Sell what you possess and give to the poor”</w:t>
      </w:r>
      <w:r w:rsidRPr="00494ED9">
        <w:t xml:space="preserve"> (Matthew 19:21), and went out to found Christian monasticism. First, however, he set up a trust fund to care for his sister, because he did not want to impoverish her in order to achieve perfection for himself. Monks and nuns are individually poor, but by living together in community they have had a tremendous impact on society. The Western world as we know </w:t>
      </w:r>
      <w:proofErr w:type="gramStart"/>
      <w:r w:rsidRPr="00494ED9">
        <w:t>it</w:t>
      </w:r>
      <w:r w:rsidR="00047F7F">
        <w:t>,</w:t>
      </w:r>
      <w:proofErr w:type="gramEnd"/>
      <w:r w:rsidRPr="00494ED9">
        <w:t xml:space="preserve"> was practically created by religious orders during the Middle Ages.</w:t>
      </w:r>
    </w:p>
    <w:p w14:paraId="240B2DDB" w14:textId="7BBDA7AE" w:rsidR="00943FD6" w:rsidRDefault="00943FD6" w:rsidP="00D92493">
      <w:r w:rsidRPr="00943FD6">
        <w:rPr>
          <w:b/>
          <w:iCs/>
        </w:rPr>
        <w:t>19:23-24. It will be hard for a rich man to enter the kingdom of heaven.</w:t>
      </w:r>
      <w:r w:rsidRPr="00943FD6">
        <w:rPr>
          <w:bCs/>
          <w:iCs/>
        </w:rPr>
        <w:t xml:space="preserve"> </w:t>
      </w:r>
      <w:r w:rsidR="00494ED9" w:rsidRPr="00494ED9">
        <w:t xml:space="preserve"> This simple metaphor presents a rich man like a camel with a load on his back. </w:t>
      </w:r>
      <w:r w:rsidRPr="00943FD6">
        <w:t xml:space="preserve">The disappointing response of the rich young man gives occasion for Jesus to speak about the danger of riches. Perhaps he has in mind the corrupting influence of wealth—how it can cause people to become greedy, stingy, reckless, overindulgent, and the like. One also suspects that Jesus is concerned about wealth’s ability to diminish our sense of dependency on God and to make us feel secure while keeping the Lord at arm’s length. In all these respects financial abundance is a potential roadblock to the </w:t>
      </w:r>
      <w:r w:rsidRPr="00943FD6">
        <w:rPr>
          <w:bCs/>
          <w:i/>
          <w:iCs/>
        </w:rPr>
        <w:t>kingdom of God</w:t>
      </w:r>
      <w:r>
        <w:rPr>
          <w:b/>
        </w:rPr>
        <w:t>.</w:t>
      </w:r>
      <w:r w:rsidR="00D92493">
        <w:rPr>
          <w:b/>
        </w:rPr>
        <w:t xml:space="preserve"> </w:t>
      </w:r>
      <w:r w:rsidR="00D92493" w:rsidRPr="00D92493">
        <w:rPr>
          <w:bCs/>
        </w:rPr>
        <w:t>The point is made with an unforgettable image of how hard it is for the rich to enter the narrow gate that leads to life (see 7:13–14). Jesus compares it to a camel, the largest domesticated mammal in Palestine, trying to squeeze itself through the eyehole of a stitching needle.</w:t>
      </w:r>
      <w:r w:rsidR="009620FE">
        <w:rPr>
          <w:bCs/>
        </w:rPr>
        <w:t xml:space="preserve"> (</w:t>
      </w:r>
      <w:r w:rsidR="009620FE" w:rsidRPr="009620FE">
        <w:rPr>
          <w:b/>
        </w:rPr>
        <w:t>Ibid</w:t>
      </w:r>
      <w:r w:rsidR="009620FE">
        <w:rPr>
          <w:bCs/>
        </w:rPr>
        <w:t>. Mitch &amp; Sri pp. 248-249)</w:t>
      </w:r>
    </w:p>
    <w:p w14:paraId="5C5D708D" w14:textId="5F19015A" w:rsidR="00943FD6" w:rsidRPr="00D92493" w:rsidRDefault="00D92493" w:rsidP="00943FD6">
      <w:pPr>
        <w:rPr>
          <w:b/>
          <w:bCs/>
        </w:rPr>
      </w:pPr>
      <w:r w:rsidRPr="00D92493">
        <w:rPr>
          <w:b/>
          <w:bCs/>
        </w:rPr>
        <w:lastRenderedPageBreak/>
        <w:t>Going Deeper – Eye of the Needle</w:t>
      </w:r>
    </w:p>
    <w:p w14:paraId="1A5966AB" w14:textId="4EF6BE30" w:rsidR="00494ED9" w:rsidRPr="00494ED9" w:rsidRDefault="00494ED9" w:rsidP="00FD5BCA">
      <w:pPr>
        <w:ind w:left="630" w:right="540"/>
      </w:pPr>
      <w:r w:rsidRPr="00494ED9">
        <w:t>“Eye of the Needle” may have been the name for a narrow gate in Damascus or Jerusalem, through which camels could not pass. The text seems to involve a play-on-words, for the camel (</w:t>
      </w:r>
      <w:proofErr w:type="spellStart"/>
      <w:r w:rsidRPr="00494ED9">
        <w:rPr>
          <w:i/>
        </w:rPr>
        <w:t>kamelos</w:t>
      </w:r>
      <w:proofErr w:type="spellEnd"/>
      <w:r w:rsidRPr="00494ED9">
        <w:t>) is like the word knot (</w:t>
      </w:r>
      <w:proofErr w:type="spellStart"/>
      <w:r w:rsidRPr="00494ED9">
        <w:rPr>
          <w:i/>
        </w:rPr>
        <w:t>kamilos</w:t>
      </w:r>
      <w:proofErr w:type="spellEnd"/>
      <w:r w:rsidRPr="00494ED9">
        <w:t xml:space="preserve">) in Greek, and in the original Aramaic the two are homonyms, </w:t>
      </w:r>
      <w:proofErr w:type="spellStart"/>
      <w:r w:rsidRPr="00494ED9">
        <w:rPr>
          <w:i/>
        </w:rPr>
        <w:t>gamla</w:t>
      </w:r>
      <w:proofErr w:type="spellEnd"/>
      <w:r w:rsidRPr="00494ED9">
        <w:t xml:space="preserve"> serving for both. Matthew, who was fluent in both languages, did not make any mistake in rendering his gospel from Aramaic into Greek. When confronted by biblical humor, readers frequently start tying themselves up into knots.</w:t>
      </w:r>
      <w:r w:rsidR="00615B8B">
        <w:t xml:space="preserve"> </w:t>
      </w:r>
    </w:p>
    <w:p w14:paraId="5980C5C1" w14:textId="1A64460B" w:rsidR="00FD5BCA" w:rsidRPr="00FD5BCA" w:rsidRDefault="00FD5BCA" w:rsidP="00FD5BCA">
      <w:pPr>
        <w:ind w:left="630" w:right="540"/>
        <w:rPr>
          <w:rFonts w:cs="Times New Roman"/>
          <w:color w:val="000000"/>
        </w:rPr>
      </w:pPr>
      <w:r>
        <w:rPr>
          <w:rFonts w:cs="Times New Roman"/>
          <w:color w:val="000000"/>
        </w:rPr>
        <w:t xml:space="preserve">In describing incidents like this and incorporating them </w:t>
      </w:r>
      <w:r w:rsidR="009836C3">
        <w:rPr>
          <w:rFonts w:cs="Times New Roman"/>
          <w:color w:val="000000"/>
        </w:rPr>
        <w:t>as a means of</w:t>
      </w:r>
      <w:r>
        <w:rPr>
          <w:rFonts w:cs="Times New Roman"/>
          <w:color w:val="000000"/>
        </w:rPr>
        <w:t xml:space="preserve"> teaching, a</w:t>
      </w:r>
      <w:r w:rsidR="009620FE" w:rsidRPr="009620FE">
        <w:rPr>
          <w:rFonts w:cs="Times New Roman"/>
          <w:color w:val="000000"/>
        </w:rPr>
        <w:t xml:space="preserve"> metaphor's elements should be carefully chosen to ensure clarity of purpose. Affluence may present significant challenges and responsibilities. The apostles express concern over the departure of an individual who could have joined their group but chose otherwise. Jesus clarifies that this young man encountered considerable difficulty due to his wealth, which posed a substantial obstacle. Although access to the kingdom remained possible, he would need to address and appropriately manage his attachment to material possessions.</w:t>
      </w:r>
      <w:r>
        <w:rPr>
          <w:rFonts w:cs="Times New Roman"/>
          <w:color w:val="000000"/>
        </w:rPr>
        <w:t xml:space="preserve"> </w:t>
      </w:r>
      <w:r w:rsidRPr="00FD5BCA">
        <w:rPr>
          <w:rFonts w:cs="Times New Roman"/>
          <w:color w:val="000000"/>
        </w:rPr>
        <w:t>(</w:t>
      </w:r>
      <w:r w:rsidRPr="00FD5BCA">
        <w:rPr>
          <w:rFonts w:cs="Times New Roman"/>
          <w:b/>
          <w:bCs/>
          <w:color w:val="000000"/>
        </w:rPr>
        <w:t>Ibid</w:t>
      </w:r>
      <w:r w:rsidRPr="00FD5BCA">
        <w:rPr>
          <w:rFonts w:cs="Times New Roman"/>
          <w:color w:val="000000"/>
        </w:rPr>
        <w:t>. Ponessa p. 145)</w:t>
      </w:r>
    </w:p>
    <w:p w14:paraId="70501446" w14:textId="17287B91" w:rsidR="00B550F9" w:rsidRDefault="00B550F9" w:rsidP="00B550F9">
      <w:r>
        <w:rPr>
          <w:b/>
          <w:iCs/>
        </w:rPr>
        <w:t xml:space="preserve">20.1 </w:t>
      </w:r>
      <w:r w:rsidRPr="00B550F9">
        <w:rPr>
          <w:b/>
          <w:iCs/>
        </w:rPr>
        <w:t>For the kingdom of heaven is like a householder</w:t>
      </w:r>
      <w:r>
        <w:rPr>
          <w:b/>
          <w:iCs/>
        </w:rPr>
        <w:t>.</w:t>
      </w:r>
      <w:r w:rsidRPr="00B550F9">
        <w:rPr>
          <w:b/>
          <w:iCs/>
        </w:rPr>
        <w:t xml:space="preserve"> </w:t>
      </w:r>
      <w:r w:rsidR="00494ED9" w:rsidRPr="00494ED9">
        <w:t xml:space="preserve"> </w:t>
      </w:r>
      <w:r w:rsidRPr="00B550F9">
        <w:t xml:space="preserve">The chapter opens with a parable that brings yet another </w:t>
      </w:r>
      <w:r w:rsidR="009836C3">
        <w:t>aspect</w:t>
      </w:r>
      <w:r w:rsidRPr="00B550F9">
        <w:t xml:space="preserve"> of the </w:t>
      </w:r>
      <w:r w:rsidRPr="00B550F9">
        <w:rPr>
          <w:bCs/>
          <w:i/>
          <w:iCs/>
        </w:rPr>
        <w:t xml:space="preserve">kingdom of heaven </w:t>
      </w:r>
      <w:r w:rsidRPr="00B550F9">
        <w:t xml:space="preserve">into focus. Interpreters differ about the main thrust of the parable. For some, it is a story about the final judgment, when the positions of the </w:t>
      </w:r>
      <w:r w:rsidRPr="00EA79FF">
        <w:rPr>
          <w:bCs/>
          <w:i/>
          <w:iCs/>
        </w:rPr>
        <w:t>first</w:t>
      </w:r>
      <w:r w:rsidRPr="00B550F9">
        <w:t xml:space="preserve"> and the </w:t>
      </w:r>
      <w:r w:rsidRPr="00EA79FF">
        <w:rPr>
          <w:bCs/>
          <w:i/>
          <w:iCs/>
        </w:rPr>
        <w:t>last</w:t>
      </w:r>
      <w:r w:rsidRPr="00B550F9">
        <w:t xml:space="preserve"> will be reversed (20:16). For others, it summarizes the history of salvation, in which Israel served the Lord for many generations and the Gentiles came to faith only in the messianic age. Still others read the parable as a lesson about conversion at various stages of life. All these interpretations have something to offer. As we read it, Jesus primarily intends to recount the historical drama of salvation as it climaxes with Gentiles being placed on an </w:t>
      </w:r>
      <w:r w:rsidRPr="009836C3">
        <w:rPr>
          <w:bCs/>
        </w:rPr>
        <w:t>equal</w:t>
      </w:r>
      <w:r w:rsidRPr="00B550F9">
        <w:t xml:space="preserve"> footing with Jews as fellow members of the people of God (20:12).</w:t>
      </w:r>
      <w:r w:rsidR="00615B8B">
        <w:t xml:space="preserve"> </w:t>
      </w:r>
      <w:r w:rsidR="00615B8B" w:rsidRPr="009836C3">
        <w:rPr>
          <w:b/>
          <w:bCs/>
        </w:rPr>
        <w:t>(Ibid</w:t>
      </w:r>
      <w:r w:rsidR="00615B8B">
        <w:t>. Mitch p. 253)</w:t>
      </w:r>
    </w:p>
    <w:p w14:paraId="18D043B4" w14:textId="73C240F0" w:rsidR="0076662F" w:rsidRDefault="0076662F" w:rsidP="00494ED9">
      <w:pPr>
        <w:rPr>
          <w:b/>
          <w:iCs/>
        </w:rPr>
      </w:pPr>
      <w:r>
        <w:rPr>
          <w:b/>
          <w:iCs/>
        </w:rPr>
        <w:t>Going Deeper – Jealousy and the Evil Eye</w:t>
      </w:r>
    </w:p>
    <w:p w14:paraId="158098AE" w14:textId="77777777" w:rsidR="0076662F" w:rsidRPr="0076662F" w:rsidRDefault="0076662F" w:rsidP="001D652E">
      <w:pPr>
        <w:ind w:left="540" w:right="540"/>
        <w:rPr>
          <w:bCs/>
          <w:iCs/>
        </w:rPr>
      </w:pPr>
      <w:r w:rsidRPr="0076662F">
        <w:rPr>
          <w:bCs/>
          <w:iCs/>
        </w:rPr>
        <w:t xml:space="preserve">The parable of the vineyard workers shines a spotlight on the extravagant generosity of God. The late hires received from the divine landowner the </w:t>
      </w:r>
      <w:r w:rsidRPr="0076662F">
        <w:rPr>
          <w:bCs/>
          <w:iCs/>
        </w:rPr>
        <w:lastRenderedPageBreak/>
        <w:t>same compensation as the early arrivals, yet this was neither earned by their efforts nor owed to them according to the terms of the contract. It was not something they deserved or merited. It was simply a gift that the Lord was free to bestow at his good pleasure.</w:t>
      </w:r>
    </w:p>
    <w:p w14:paraId="016E18B1" w14:textId="77777777" w:rsidR="0076662F" w:rsidRPr="0076662F" w:rsidRDefault="0076662F" w:rsidP="001D652E">
      <w:pPr>
        <w:ind w:left="540" w:right="540"/>
        <w:rPr>
          <w:bCs/>
          <w:iCs/>
        </w:rPr>
      </w:pPr>
      <w:r w:rsidRPr="0076662F">
        <w:rPr>
          <w:bCs/>
          <w:iCs/>
        </w:rPr>
        <w:t>The early hires, however, mistook divine generosity for divine injustice. Theirs was an instinctive human reaction to an unfulfilled expectation (“we should have gotten more than the latecomers”) combined with a perception of unfairness (“the latecomers got a better hourly rate than we did”). Many of us can relate to the perspective of the disgruntled workers; their initial reaction—and perhaps ours—is to think they have been cheated.</w:t>
      </w:r>
    </w:p>
    <w:p w14:paraId="77B5EABB" w14:textId="64673C26" w:rsidR="0076662F" w:rsidRDefault="0076662F" w:rsidP="001D652E">
      <w:pPr>
        <w:ind w:left="540" w:right="540"/>
        <w:rPr>
          <w:bCs/>
          <w:iCs/>
        </w:rPr>
      </w:pPr>
      <w:r w:rsidRPr="0076662F">
        <w:rPr>
          <w:bCs/>
          <w:iCs/>
        </w:rPr>
        <w:t>But this is not the case, as the owner explains in verses 13–15. The injustice lies instead with the grumbling laborers, who have become envious of the others. Envy is not simply jealousy, which is the desire to attain or possess what another person has. Envy is the sin of being upset at another’s good fortune. Scripture traces its beginning back to the devil himself (Wis 2:24).</w:t>
      </w:r>
    </w:p>
    <w:p w14:paraId="1CC984D9" w14:textId="036703E5" w:rsidR="0076662F" w:rsidRPr="0076662F" w:rsidRDefault="0076662F" w:rsidP="001D652E">
      <w:pPr>
        <w:ind w:left="540" w:right="540"/>
        <w:rPr>
          <w:bCs/>
          <w:iCs/>
        </w:rPr>
      </w:pPr>
      <w:r w:rsidRPr="0076662F">
        <w:rPr>
          <w:bCs/>
          <w:iCs/>
        </w:rPr>
        <w:t xml:space="preserve">The vineyard owner adds a cautionary question: </w:t>
      </w:r>
      <w:r w:rsidRPr="0076662F">
        <w:rPr>
          <w:i/>
        </w:rPr>
        <w:t>Do you begrudge my generosity?</w:t>
      </w:r>
      <w:r w:rsidRPr="0076662F">
        <w:rPr>
          <w:bCs/>
          <w:iCs/>
        </w:rPr>
        <w:t xml:space="preserve"> In the Greek text, this is literally: “Or is your eye evil because I am good?” The key expression here is the “evil eye,” which is a Semitic idiom that describes someone who is envious, grudging, or culpably</w:t>
      </w:r>
      <w:r w:rsidR="001E3EBE">
        <w:rPr>
          <w:bCs/>
          <w:iCs/>
        </w:rPr>
        <w:t xml:space="preserve"> [blameworthy]</w:t>
      </w:r>
      <w:r w:rsidRPr="0076662F">
        <w:rPr>
          <w:bCs/>
          <w:iCs/>
        </w:rPr>
        <w:t xml:space="preserve"> lacking in generosity</w:t>
      </w:r>
      <w:r>
        <w:rPr>
          <w:bCs/>
          <w:iCs/>
        </w:rPr>
        <w:t>.</w:t>
      </w:r>
    </w:p>
    <w:p w14:paraId="18FAFD20" w14:textId="32381AF9" w:rsidR="0076662F" w:rsidRPr="0076662F" w:rsidRDefault="0076662F" w:rsidP="001D652E">
      <w:pPr>
        <w:ind w:left="540" w:right="540"/>
        <w:rPr>
          <w:b/>
          <w:iCs/>
        </w:rPr>
      </w:pPr>
      <w:r w:rsidRPr="0076662F">
        <w:rPr>
          <w:bCs/>
          <w:iCs/>
        </w:rPr>
        <w:t>The parable thus conveys a theological message about God’s goodness as well as a moral message that cautions readers against envy. The challenge is to rejoice at the liberality of God manifest in the lives of others. None of us is deserving of his grace or has a claim on his blessings. We all have reason to be grateful that the Lord is “generous” (v. 15).</w:t>
      </w:r>
      <w:r w:rsidR="0005299B">
        <w:rPr>
          <w:bCs/>
          <w:iCs/>
        </w:rPr>
        <w:t xml:space="preserve"> (</w:t>
      </w:r>
      <w:r w:rsidR="0005299B" w:rsidRPr="00615B8B">
        <w:rPr>
          <w:b/>
          <w:iCs/>
        </w:rPr>
        <w:t>Ibid</w:t>
      </w:r>
      <w:r w:rsidR="0005299B">
        <w:rPr>
          <w:bCs/>
          <w:iCs/>
        </w:rPr>
        <w:t>. Mitch</w:t>
      </w:r>
      <w:r w:rsidR="00615B8B">
        <w:rPr>
          <w:bCs/>
          <w:iCs/>
        </w:rPr>
        <w:t xml:space="preserve"> p. 255)</w:t>
      </w:r>
    </w:p>
    <w:p w14:paraId="742313D3" w14:textId="1B4F2772" w:rsidR="00A2329F" w:rsidRPr="0073226A" w:rsidRDefault="0073226A" w:rsidP="0073226A">
      <w:pPr>
        <w:rPr>
          <w:rFonts w:cs="Times New Roman"/>
          <w:b/>
          <w:color w:val="000000"/>
        </w:rPr>
      </w:pPr>
      <w:r w:rsidRPr="0073226A">
        <w:rPr>
          <w:rFonts w:cs="Times New Roman"/>
          <w:b/>
          <w:color w:val="000000"/>
        </w:rPr>
        <w:t>20:18. Behold, we are going up to Jerusalem.</w:t>
      </w:r>
      <w:r w:rsidRPr="0073226A">
        <w:rPr>
          <w:rFonts w:cs="Times New Roman"/>
          <w:color w:val="000000"/>
        </w:rPr>
        <w:t xml:space="preserve"> Jesus confirms their journey and predicts betrayal by religious leaders—the chief priests and scribes—who will condemn him to death. Despite this rejection and impending death, Jesus </w:t>
      </w:r>
      <w:r w:rsidRPr="0073226A">
        <w:rPr>
          <w:rFonts w:cs="Times New Roman"/>
          <w:color w:val="000000"/>
        </w:rPr>
        <w:lastRenderedPageBreak/>
        <w:t>prophesies that he will be raised by God on the third day, turning tragedy into triumph. (</w:t>
      </w:r>
      <w:r w:rsidRPr="0073226A">
        <w:rPr>
          <w:rFonts w:cs="Times New Roman"/>
          <w:b/>
          <w:color w:val="000000"/>
        </w:rPr>
        <w:t>Ibid.</w:t>
      </w:r>
      <w:r w:rsidRPr="0073226A">
        <w:rPr>
          <w:rFonts w:cs="Times New Roman"/>
          <w:color w:val="000000"/>
        </w:rPr>
        <w:t xml:space="preserve"> Mitch pp. 255-257)</w:t>
      </w:r>
    </w:p>
    <w:p w14:paraId="58209A11" w14:textId="74A8B445" w:rsidR="00A2329F" w:rsidRPr="00A2329F" w:rsidRDefault="00A2329F" w:rsidP="00A2329F">
      <w:pPr>
        <w:rPr>
          <w:b/>
          <w:bCs/>
          <w:iCs/>
        </w:rPr>
      </w:pPr>
      <w:r w:rsidRPr="00A2329F">
        <w:rPr>
          <w:b/>
          <w:bCs/>
          <w:iCs/>
        </w:rPr>
        <w:t>Going Deeper – Going Up to Jerusalem (and Down)</w:t>
      </w:r>
    </w:p>
    <w:p w14:paraId="1A5966AF" w14:textId="00BC6FFB" w:rsidR="00494ED9" w:rsidRPr="00A2329F" w:rsidRDefault="00494ED9" w:rsidP="00A2329F">
      <w:pPr>
        <w:ind w:left="630" w:right="540"/>
        <w:rPr>
          <w:iCs/>
        </w:rPr>
      </w:pPr>
      <w:r w:rsidRPr="00494ED9">
        <w:t xml:space="preserve">Jesus and the Twelve now leave the country of Perea, go into the Dead Sea Valley, and up to Jerusalem in the country of Judea. From Mount Nebo to Jerusalem is only thirty miles. Nebo, however, stands 2680 feet above sea level; the mouth of the Jordan River 1365 feet below, and Jerusalem 3800 feet above. So travelers must descend 4045 feet and then ascend 5165 feet in the course of the journey. The changes of elevation total 9210 feet, and their feet will touch the lowest point on the exposed surface of the planet, with the heaviest atmospheric pressure. None of that would make for a very pleasant journey, with bandits camouflaged in the desert. Hence that very steep grade is nicknamed the </w:t>
      </w:r>
      <w:r w:rsidRPr="00494ED9">
        <w:rPr>
          <w:i/>
        </w:rPr>
        <w:t>valley of the shadow of death</w:t>
      </w:r>
      <w:r w:rsidRPr="00494ED9">
        <w:t xml:space="preserve"> (Psalm 23:4).</w:t>
      </w:r>
    </w:p>
    <w:p w14:paraId="1A5966B0" w14:textId="28B75D19" w:rsidR="00494ED9" w:rsidRPr="00494ED9" w:rsidRDefault="00494ED9" w:rsidP="00494ED9">
      <w:pPr>
        <w:ind w:left="630" w:right="540"/>
      </w:pPr>
      <w:r w:rsidRPr="00494ED9">
        <w:t>No one could make such a journey in a single day, not even able-bodied young men in good physical condition. More likely they did most of their walking in the morning, resting in the heat of the afternoon under the palm trees of Jericho and bedding down for the night there, at the mid-point of their journey.</w:t>
      </w:r>
      <w:r w:rsidR="0005299B">
        <w:t xml:space="preserve"> </w:t>
      </w:r>
    </w:p>
    <w:p w14:paraId="0DBDD0FC" w14:textId="2061DFA2" w:rsidR="002460CC" w:rsidRDefault="00726384" w:rsidP="002460CC">
      <w:pPr>
        <w:rPr>
          <w:rFonts w:cs="Times New Roman"/>
          <w:color w:val="000000"/>
        </w:rPr>
      </w:pPr>
      <w:r w:rsidRPr="00726384">
        <w:rPr>
          <w:rFonts w:cs="Times New Roman"/>
          <w:b/>
          <w:color w:val="000000"/>
        </w:rPr>
        <w:t>20:21. "Command that these two sons of mine may sit, one at your right hand and one at your left, in your kingdom."</w:t>
      </w:r>
      <w:r w:rsidRPr="00726384">
        <w:rPr>
          <w:rFonts w:cs="Times New Roman"/>
          <w:color w:val="000000"/>
        </w:rPr>
        <w:t xml:space="preserve"> During Jesus' time in Jericho, the mother of James and John approached Him to request positions of distinction for her sons at the banquet in His kingdom. The context implies </w:t>
      </w:r>
      <w:r>
        <w:rPr>
          <w:rFonts w:cs="Times New Roman"/>
          <w:color w:val="000000"/>
        </w:rPr>
        <w:t xml:space="preserve">she has been </w:t>
      </w:r>
      <w:r w:rsidRPr="00726384">
        <w:rPr>
          <w:rFonts w:cs="Times New Roman"/>
          <w:color w:val="000000"/>
        </w:rPr>
        <w:t>with them since their departure from Galilee. Her name, identified in other sources as Mary, is likely that of the half-sister of the Blessed Virgin Mary. She proposes that it would be fitting for Jesus to be enthroned with His two half-cousins positioned on either side, thereby suggesting a reign reinforced by familial bonds.</w:t>
      </w:r>
      <w:r w:rsidR="002460CC">
        <w:rPr>
          <w:rFonts w:cs="Times New Roman"/>
          <w:color w:val="000000"/>
        </w:rPr>
        <w:t xml:space="preserve"> </w:t>
      </w:r>
      <w:r w:rsidRPr="00726384">
        <w:rPr>
          <w:rFonts w:cs="Times New Roman"/>
          <w:color w:val="000000"/>
        </w:rPr>
        <w:t xml:space="preserve">Jesus affirms that the two men will share His cup, a promise first seen in the Eucharist and later in </w:t>
      </w:r>
      <w:r w:rsidR="00DD6EB3">
        <w:rPr>
          <w:rFonts w:cs="Times New Roman"/>
          <w:color w:val="000000"/>
        </w:rPr>
        <w:t>Jame</w:t>
      </w:r>
      <w:r w:rsidR="00047F7F">
        <w:rPr>
          <w:rFonts w:cs="Times New Roman"/>
          <w:color w:val="000000"/>
        </w:rPr>
        <w:t>s</w:t>
      </w:r>
      <w:r w:rsidR="00DD6EB3">
        <w:rPr>
          <w:rFonts w:cs="Times New Roman"/>
          <w:color w:val="000000"/>
        </w:rPr>
        <w:t>’ martyrdom and John’s persecutions</w:t>
      </w:r>
      <w:r w:rsidRPr="00726384">
        <w:rPr>
          <w:rFonts w:cs="Times New Roman"/>
          <w:color w:val="000000"/>
        </w:rPr>
        <w:t xml:space="preserve">. </w:t>
      </w:r>
      <w:r w:rsidR="002460CC">
        <w:rPr>
          <w:rFonts w:cs="Times New Roman"/>
          <w:color w:val="000000"/>
        </w:rPr>
        <w:t xml:space="preserve">But, as far as who sits where, the pecking order around </w:t>
      </w:r>
      <w:r w:rsidR="00845F2D">
        <w:rPr>
          <w:rFonts w:cs="Times New Roman"/>
          <w:color w:val="000000"/>
        </w:rPr>
        <w:t>throne</w:t>
      </w:r>
      <w:r w:rsidR="002460CC">
        <w:rPr>
          <w:rFonts w:cs="Times New Roman"/>
          <w:color w:val="000000"/>
        </w:rPr>
        <w:t xml:space="preserve"> of glory, that is God’s responsibility</w:t>
      </w:r>
      <w:r w:rsidR="00845F2D">
        <w:rPr>
          <w:rFonts w:cs="Times New Roman"/>
          <w:color w:val="000000"/>
        </w:rPr>
        <w:t xml:space="preserve">. The Son doesn’t prepare the seating </w:t>
      </w:r>
      <w:proofErr w:type="gramStart"/>
      <w:r w:rsidR="00845F2D">
        <w:rPr>
          <w:rFonts w:cs="Times New Roman"/>
          <w:color w:val="000000"/>
        </w:rPr>
        <w:t>chart,</w:t>
      </w:r>
      <w:proofErr w:type="gramEnd"/>
      <w:r w:rsidR="002460CC">
        <w:rPr>
          <w:rFonts w:cs="Times New Roman"/>
          <w:color w:val="000000"/>
        </w:rPr>
        <w:t xml:space="preserve"> </w:t>
      </w:r>
      <w:r w:rsidR="002460CC" w:rsidRPr="002460CC">
        <w:rPr>
          <w:rFonts w:cs="Times New Roman"/>
          <w:i/>
          <w:iCs/>
          <w:color w:val="000000"/>
        </w:rPr>
        <w:t>it has been prepared by my Father</w:t>
      </w:r>
      <w:r w:rsidR="002460CC">
        <w:rPr>
          <w:rFonts w:cs="Times New Roman"/>
          <w:color w:val="000000"/>
        </w:rPr>
        <w:t xml:space="preserve">. </w:t>
      </w:r>
    </w:p>
    <w:p w14:paraId="1A5966B2" w14:textId="77A4F0FB" w:rsidR="00494ED9" w:rsidRPr="00726384" w:rsidRDefault="00726384" w:rsidP="002460CC">
      <w:pPr>
        <w:rPr>
          <w:rFonts w:cs="Times New Roman"/>
          <w:color w:val="000000"/>
        </w:rPr>
      </w:pPr>
      <w:r w:rsidRPr="00726384">
        <w:rPr>
          <w:rFonts w:cs="Times New Roman"/>
          <w:color w:val="000000"/>
        </w:rPr>
        <w:lastRenderedPageBreak/>
        <w:t xml:space="preserve">He then </w:t>
      </w:r>
      <w:r>
        <w:rPr>
          <w:rFonts w:cs="Times New Roman"/>
          <w:color w:val="000000"/>
        </w:rPr>
        <w:t xml:space="preserve">has to straighten out </w:t>
      </w:r>
      <w:r w:rsidRPr="00726384">
        <w:rPr>
          <w:rFonts w:cs="Times New Roman"/>
          <w:color w:val="000000"/>
        </w:rPr>
        <w:t xml:space="preserve">the </w:t>
      </w:r>
      <w:r>
        <w:rPr>
          <w:rFonts w:cs="Times New Roman"/>
          <w:color w:val="000000"/>
        </w:rPr>
        <w:t xml:space="preserve">remaining </w:t>
      </w:r>
      <w:r w:rsidRPr="00726384">
        <w:rPr>
          <w:rFonts w:cs="Times New Roman"/>
          <w:color w:val="000000"/>
        </w:rPr>
        <w:t>ten apostles, who—</w:t>
      </w:r>
      <w:r>
        <w:rPr>
          <w:rFonts w:cs="Times New Roman"/>
          <w:color w:val="000000"/>
        </w:rPr>
        <w:t xml:space="preserve">probably </w:t>
      </w:r>
      <w:r w:rsidRPr="00726384">
        <w:rPr>
          <w:rFonts w:cs="Times New Roman"/>
          <w:color w:val="000000"/>
        </w:rPr>
        <w:t>fatigued from their journey—may have let their tiredness influence their mood. Jesus teaches them about leadership, explaining that true leaders serve others. This advice remains invaluable for anyone seeking to lead, whether in religious or secular contexts. By living as a servant leader, Jesus set the example for Christians to follow. (</w:t>
      </w:r>
      <w:r w:rsidRPr="00726384">
        <w:rPr>
          <w:rFonts w:cs="Times New Roman"/>
          <w:b/>
          <w:color w:val="000000"/>
        </w:rPr>
        <w:t>Ibid</w:t>
      </w:r>
      <w:r w:rsidRPr="00726384">
        <w:rPr>
          <w:rFonts w:cs="Times New Roman"/>
          <w:color w:val="000000"/>
        </w:rPr>
        <w:t>. Ponessa pp. 143-147)</w:t>
      </w:r>
    </w:p>
    <w:p w14:paraId="1DE3463C" w14:textId="35E99B73" w:rsidR="00B01736" w:rsidRPr="000D29A3" w:rsidRDefault="00B01736" w:rsidP="00B01736">
      <w:pPr>
        <w:rPr>
          <w:b/>
          <w:bCs/>
        </w:rPr>
      </w:pPr>
      <w:r w:rsidRPr="000D29A3">
        <w:rPr>
          <w:b/>
          <w:bCs/>
        </w:rPr>
        <w:t>Going Deeper - The Cup of Christ</w:t>
      </w:r>
    </w:p>
    <w:p w14:paraId="330A3D65" w14:textId="248FFB6B" w:rsidR="00B01736" w:rsidRDefault="00B01736" w:rsidP="000D29A3">
      <w:pPr>
        <w:ind w:left="540" w:right="540"/>
      </w:pPr>
      <w:r>
        <w:t>Twice in Matthew’s Gospel we hear of a “cup” that Jesus will drink because the Father wills it (Matt 20:22; 26:39). This is a cup the disciples will also have to drink in due course (Matt 20:23). Most interpret it as a reference to the passion. The origins of the metaphor can be traced back to the Old Testament, where the Lord forces godless nations to consume the cup of judgment that their wickedness deserves (Ps 75:9; Isa 51:17; Jer 25:15; Ezek</w:t>
      </w:r>
      <w:r w:rsidR="00726384">
        <w:t>iel</w:t>
      </w:r>
      <w:r>
        <w:t xml:space="preserve"> 23:31–35). Also noteworthy is the Jewish idiom “the cup of death,” which appears in several ancient texts (e.g., Testament of Abraham 1.3; Targum </w:t>
      </w:r>
      <w:proofErr w:type="spellStart"/>
      <w:r>
        <w:t>Neofiti</w:t>
      </w:r>
      <w:proofErr w:type="spellEnd"/>
      <w:r>
        <w:t xml:space="preserve"> Gen</w:t>
      </w:r>
      <w:r w:rsidR="00726384">
        <w:t>esis</w:t>
      </w:r>
      <w:r>
        <w:t xml:space="preserve"> 40:23 and Deut</w:t>
      </w:r>
      <w:r w:rsidR="00726384">
        <w:t>eronomy</w:t>
      </w:r>
      <w:r>
        <w:t xml:space="preserve"> 32:1).</w:t>
      </w:r>
    </w:p>
    <w:p w14:paraId="2AE21E1D" w14:textId="1A286EFA" w:rsidR="00B01736" w:rsidRDefault="00B01736" w:rsidP="000D29A3">
      <w:pPr>
        <w:ind w:left="540" w:right="540"/>
      </w:pPr>
      <w:r>
        <w:t>This background suggests that the cup consumed by Jesus is threefold in meaning. First, it foretells an agonizing experience of suffering and death. The mortal humanity of Christ will tremble at the prospect of drinking it, even hoping that it might pass him by (26:39). Second, the image of the cup hints that Jesus will bear God’s just penalty for sin in a representative and redemptive way. Third, the cup of Jesus is one that he shares with his disciples. If the cup meant torture and death for the Lord, it will be no different for those who follow him. Christians from ancient times thus spoke of the cup of martyrdom as the experience of dying as a witness for the gospel. One memorable text says that the martyrs have a share in “the cup of Christ” (Martyrdom of Polycarp 14.2).  (</w:t>
      </w:r>
      <w:r w:rsidRPr="00B01736">
        <w:rPr>
          <w:b/>
          <w:bCs/>
        </w:rPr>
        <w:t>Ibid</w:t>
      </w:r>
      <w:r>
        <w:t>. Mitch p. 259)</w:t>
      </w:r>
    </w:p>
    <w:p w14:paraId="12E0FFBA" w14:textId="0905B738" w:rsidR="00B01736" w:rsidRPr="00C81AA2" w:rsidRDefault="00C81AA2" w:rsidP="00C81AA2">
      <w:pPr>
        <w:rPr>
          <w:rFonts w:cs="Times New Roman"/>
          <w:b/>
          <w:color w:val="000000"/>
        </w:rPr>
      </w:pPr>
      <w:r w:rsidRPr="00C81AA2">
        <w:rPr>
          <w:rFonts w:cs="Times New Roman"/>
          <w:b/>
          <w:color w:val="000000"/>
        </w:rPr>
        <w:t>20:30. And behold, two blind men sitting by the roadside.</w:t>
      </w:r>
      <w:r w:rsidRPr="00C81AA2">
        <w:rPr>
          <w:rFonts w:cs="Times New Roman"/>
          <w:color w:val="000000"/>
        </w:rPr>
        <w:t xml:space="preserve"> As the group leaves the city, they see two blind men </w:t>
      </w:r>
      <w:r w:rsidRPr="00C81AA2">
        <w:rPr>
          <w:rFonts w:cs="Times New Roman"/>
          <w:i/>
          <w:iCs/>
          <w:color w:val="000000"/>
        </w:rPr>
        <w:t>si</w:t>
      </w:r>
      <w:r>
        <w:rPr>
          <w:rFonts w:cs="Times New Roman"/>
          <w:i/>
          <w:iCs/>
          <w:color w:val="000000"/>
        </w:rPr>
        <w:t>t</w:t>
      </w:r>
      <w:r w:rsidRPr="00C81AA2">
        <w:rPr>
          <w:rFonts w:cs="Times New Roman"/>
          <w:i/>
          <w:iCs/>
          <w:color w:val="000000"/>
        </w:rPr>
        <w:t>ting by the roadside</w:t>
      </w:r>
      <w:r>
        <w:rPr>
          <w:rFonts w:cs="Times New Roman"/>
          <w:color w:val="000000"/>
        </w:rPr>
        <w:t xml:space="preserve">. With Passover coming, they were probably </w:t>
      </w:r>
      <w:r w:rsidRPr="00C81AA2">
        <w:rPr>
          <w:rFonts w:cs="Times New Roman"/>
          <w:color w:val="000000"/>
        </w:rPr>
        <w:t xml:space="preserve">hoping </w:t>
      </w:r>
      <w:r w:rsidR="000D0C3C">
        <w:rPr>
          <w:rFonts w:cs="Times New Roman"/>
          <w:color w:val="000000"/>
        </w:rPr>
        <w:t>for increased donations of alms from the</w:t>
      </w:r>
      <w:r w:rsidRPr="00C81AA2">
        <w:rPr>
          <w:rFonts w:cs="Times New Roman"/>
          <w:color w:val="000000"/>
        </w:rPr>
        <w:t xml:space="preserve"> </w:t>
      </w:r>
      <w:r w:rsidR="000D0C3C">
        <w:rPr>
          <w:rFonts w:cs="Times New Roman"/>
          <w:color w:val="000000"/>
        </w:rPr>
        <w:t xml:space="preserve">pilgrims </w:t>
      </w:r>
      <w:r w:rsidRPr="00C81AA2">
        <w:rPr>
          <w:rFonts w:cs="Times New Roman"/>
          <w:color w:val="000000"/>
        </w:rPr>
        <w:t xml:space="preserve">passing </w:t>
      </w:r>
      <w:r w:rsidR="000D0C3C">
        <w:rPr>
          <w:rFonts w:cs="Times New Roman"/>
          <w:color w:val="000000"/>
        </w:rPr>
        <w:t>by</w:t>
      </w:r>
      <w:r w:rsidRPr="00C81AA2">
        <w:rPr>
          <w:rFonts w:cs="Times New Roman"/>
          <w:color w:val="000000"/>
        </w:rPr>
        <w:t>.</w:t>
      </w:r>
    </w:p>
    <w:p w14:paraId="7F5E36AA" w14:textId="156DDC14" w:rsidR="0005299B" w:rsidRPr="000D0C3C" w:rsidRDefault="00EA79FF" w:rsidP="000D0C3C">
      <w:pPr>
        <w:rPr>
          <w:rFonts w:cs="Times New Roman"/>
          <w:color w:val="000000"/>
        </w:rPr>
      </w:pPr>
      <w:r>
        <w:rPr>
          <w:rFonts w:cs="Times New Roman"/>
          <w:color w:val="000000"/>
        </w:rPr>
        <w:lastRenderedPageBreak/>
        <w:t>However</w:t>
      </w:r>
      <w:r w:rsidR="000D0C3C" w:rsidRPr="000D0C3C">
        <w:rPr>
          <w:rFonts w:cs="Times New Roman"/>
          <w:color w:val="000000"/>
        </w:rPr>
        <w:t xml:space="preserve">, events unfolded in an unexpected manner. The men </w:t>
      </w:r>
      <w:r w:rsidR="000D0C3C" w:rsidRPr="000D0C3C">
        <w:rPr>
          <w:rFonts w:cs="Times New Roman"/>
          <w:i/>
          <w:iCs/>
          <w:color w:val="000000"/>
        </w:rPr>
        <w:t>heard that Jesus was passing by</w:t>
      </w:r>
      <w:r w:rsidR="008966B7">
        <w:rPr>
          <w:rFonts w:cs="Times New Roman"/>
          <w:i/>
          <w:iCs/>
          <w:color w:val="000000"/>
        </w:rPr>
        <w:t xml:space="preserve"> </w:t>
      </w:r>
      <w:r w:rsidR="008966B7">
        <w:rPr>
          <w:rFonts w:cs="Times New Roman"/>
          <w:color w:val="000000"/>
        </w:rPr>
        <w:t>and tried anxiously to get his attention.</w:t>
      </w:r>
      <w:r w:rsidR="000D0C3C" w:rsidRPr="000D0C3C">
        <w:rPr>
          <w:rFonts w:cs="Times New Roman"/>
          <w:color w:val="000000"/>
        </w:rPr>
        <w:t xml:space="preserve"> Accordingly, they called out, "</w:t>
      </w:r>
      <w:r w:rsidR="000D0C3C" w:rsidRPr="008966B7">
        <w:rPr>
          <w:rFonts w:cs="Times New Roman"/>
          <w:i/>
          <w:iCs/>
          <w:color w:val="000000"/>
        </w:rPr>
        <w:t>Have mercy on us, Son of David</w:t>
      </w:r>
      <w:r w:rsidR="000D0C3C" w:rsidRPr="000D0C3C">
        <w:rPr>
          <w:rFonts w:cs="Times New Roman"/>
          <w:color w:val="000000"/>
        </w:rPr>
        <w:t xml:space="preserve">!" Their persistent appeals drew the attention and irritation of the surrounding crowd, who </w:t>
      </w:r>
      <w:r w:rsidR="008966B7" w:rsidRPr="008966B7">
        <w:rPr>
          <w:rFonts w:cs="Times New Roman"/>
          <w:i/>
          <w:iCs/>
          <w:color w:val="000000"/>
        </w:rPr>
        <w:t>rebuked t</w:t>
      </w:r>
      <w:r w:rsidR="000D0C3C" w:rsidRPr="008966B7">
        <w:rPr>
          <w:rFonts w:cs="Times New Roman"/>
          <w:i/>
          <w:iCs/>
          <w:color w:val="000000"/>
        </w:rPr>
        <w:t>hem</w:t>
      </w:r>
      <w:r w:rsidR="00B01E05">
        <w:rPr>
          <w:rFonts w:cs="Times New Roman"/>
          <w:i/>
          <w:iCs/>
          <w:color w:val="000000"/>
        </w:rPr>
        <w:t>… be silent!</w:t>
      </w:r>
      <w:r w:rsidR="000D0C3C" w:rsidRPr="000D0C3C">
        <w:rPr>
          <w:rFonts w:cs="Times New Roman"/>
          <w:color w:val="000000"/>
        </w:rPr>
        <w:t xml:space="preserve">  Despite these admonitions, the two men resolutely continued seeking Jesus</w:t>
      </w:r>
      <w:r w:rsidR="008966B7">
        <w:rPr>
          <w:rFonts w:cs="Times New Roman"/>
          <w:color w:val="000000"/>
        </w:rPr>
        <w:t>’s attention</w:t>
      </w:r>
      <w:r w:rsidR="000D0C3C" w:rsidRPr="000D0C3C">
        <w:rPr>
          <w:rFonts w:cs="Times New Roman"/>
          <w:color w:val="000000"/>
        </w:rPr>
        <w:t>, speaking even more assertively: "</w:t>
      </w:r>
      <w:r w:rsidR="000D0C3C" w:rsidRPr="008966B7">
        <w:rPr>
          <w:rFonts w:cs="Times New Roman"/>
          <w:bCs/>
          <w:i/>
          <w:iCs/>
          <w:color w:val="000000"/>
        </w:rPr>
        <w:t>Lord, have mercy on us, Son of David!</w:t>
      </w:r>
      <w:r w:rsidR="000D0C3C" w:rsidRPr="000D0C3C">
        <w:rPr>
          <w:rFonts w:cs="Times New Roman"/>
          <w:color w:val="000000"/>
        </w:rPr>
        <w:t>"</w:t>
      </w:r>
    </w:p>
    <w:p w14:paraId="74EA839E" w14:textId="7EE59DE1" w:rsidR="008E78F8" w:rsidRPr="00B01E05" w:rsidRDefault="008966B7" w:rsidP="00B01E05">
      <w:pPr>
        <w:rPr>
          <w:rFonts w:cs="Times New Roman"/>
          <w:b/>
          <w:color w:val="000000"/>
        </w:rPr>
      </w:pPr>
      <w:r w:rsidRPr="008966B7">
        <w:rPr>
          <w:rFonts w:cs="Times New Roman"/>
          <w:b/>
          <w:color w:val="000000"/>
        </w:rPr>
        <w:t>20:32–3</w:t>
      </w:r>
      <w:r w:rsidR="00B01E05">
        <w:rPr>
          <w:rFonts w:cs="Times New Roman"/>
          <w:b/>
          <w:color w:val="000000"/>
        </w:rPr>
        <w:t>4</w:t>
      </w:r>
      <w:r w:rsidRPr="008966B7">
        <w:rPr>
          <w:rFonts w:cs="Times New Roman"/>
          <w:b/>
          <w:color w:val="000000"/>
        </w:rPr>
        <w:t>.</w:t>
      </w:r>
      <w:r w:rsidRPr="008966B7">
        <w:rPr>
          <w:rFonts w:cs="Times New Roman"/>
          <w:color w:val="000000"/>
        </w:rPr>
        <w:t xml:space="preserve"> The beggars caught Jesus's attention; he stopped and asked what they wanted. </w:t>
      </w:r>
      <w:r>
        <w:rPr>
          <w:rFonts w:cs="Times New Roman"/>
          <w:color w:val="000000"/>
        </w:rPr>
        <w:t>Unexpectedly, i</w:t>
      </w:r>
      <w:r w:rsidRPr="008966B7">
        <w:rPr>
          <w:rFonts w:cs="Times New Roman"/>
          <w:color w:val="000000"/>
        </w:rPr>
        <w:t xml:space="preserve">nstead of money, they requested sight: </w:t>
      </w:r>
      <w:r w:rsidRPr="008966B7">
        <w:rPr>
          <w:rFonts w:cs="Times New Roman"/>
          <w:i/>
          <w:color w:val="000000"/>
        </w:rPr>
        <w:t>Lord, let our eyes be opened.</w:t>
      </w:r>
      <w:r w:rsidR="00B01E05">
        <w:rPr>
          <w:rFonts w:cs="Times New Roman"/>
          <w:iCs/>
          <w:color w:val="000000"/>
        </w:rPr>
        <w:t xml:space="preserve"> </w:t>
      </w:r>
      <w:r w:rsidR="00B01E05" w:rsidRPr="00B01E05">
        <w:rPr>
          <w:rFonts w:cs="Times New Roman"/>
          <w:color w:val="000000"/>
        </w:rPr>
        <w:t xml:space="preserve">The evangelist describes how Jesus was deeply moved by compassion, responding to both the </w:t>
      </w:r>
      <w:r w:rsidR="00B01E05">
        <w:rPr>
          <w:rFonts w:cs="Times New Roman"/>
          <w:color w:val="000000"/>
        </w:rPr>
        <w:t>sightlessness</w:t>
      </w:r>
      <w:r w:rsidR="00B01E05" w:rsidRPr="00B01E05">
        <w:rPr>
          <w:rFonts w:cs="Times New Roman"/>
          <w:color w:val="000000"/>
        </w:rPr>
        <w:t xml:space="preserve"> of the men and the faith they showed by addressing him as</w:t>
      </w:r>
      <w:r w:rsidR="00B01E05">
        <w:rPr>
          <w:rFonts w:cs="Times New Roman"/>
          <w:color w:val="000000"/>
        </w:rPr>
        <w:t xml:space="preserve"> Lord, </w:t>
      </w:r>
      <w:r w:rsidR="00B01E05" w:rsidRPr="00B01E05">
        <w:rPr>
          <w:rFonts w:cs="Times New Roman"/>
          <w:color w:val="000000"/>
        </w:rPr>
        <w:t>Son of David—a clear sign they recognized him as the Messiah. Even though they faced obstacles, their perseverance in prayer stood out. After their sight was re</w:t>
      </w:r>
      <w:r w:rsidR="00B01E05">
        <w:rPr>
          <w:rFonts w:cs="Times New Roman"/>
          <w:color w:val="000000"/>
        </w:rPr>
        <w:t>stored</w:t>
      </w:r>
      <w:r w:rsidR="00B01E05" w:rsidRPr="00B01E05">
        <w:rPr>
          <w:rFonts w:cs="Times New Roman"/>
          <w:color w:val="000000"/>
        </w:rPr>
        <w:t>, the</w:t>
      </w:r>
      <w:r w:rsidR="00B01E05">
        <w:rPr>
          <w:rFonts w:cs="Times New Roman"/>
          <w:color w:val="000000"/>
        </w:rPr>
        <w:t>y</w:t>
      </w:r>
      <w:r w:rsidR="00B01E05" w:rsidRPr="00B01E05">
        <w:rPr>
          <w:rFonts w:cs="Times New Roman"/>
          <w:color w:val="000000"/>
        </w:rPr>
        <w:t xml:space="preserve"> chose to follow Jesus, a gesture that revealed their gratitude and commitment to becoming his disciples. (</w:t>
      </w:r>
      <w:r w:rsidR="00B01E05" w:rsidRPr="00B01E05">
        <w:rPr>
          <w:rFonts w:cs="Times New Roman"/>
          <w:b/>
          <w:color w:val="000000"/>
        </w:rPr>
        <w:t>Ibid.</w:t>
      </w:r>
      <w:r w:rsidR="00B01E05" w:rsidRPr="00B01E05">
        <w:rPr>
          <w:rFonts w:cs="Times New Roman"/>
          <w:color w:val="000000"/>
        </w:rPr>
        <w:t xml:space="preserve"> Mitch pp. 261-262)</w:t>
      </w:r>
    </w:p>
    <w:p w14:paraId="1A5966BA" w14:textId="258831C8" w:rsidR="00FD2923" w:rsidRDefault="00FD2923" w:rsidP="008E78F8"/>
    <w:sectPr w:rsidR="00FD29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B1AC5" w14:textId="77777777" w:rsidR="00B5532F" w:rsidRDefault="00B5532F" w:rsidP="00494ED9">
      <w:pPr>
        <w:spacing w:after="0" w:line="240" w:lineRule="auto"/>
      </w:pPr>
      <w:r>
        <w:separator/>
      </w:r>
    </w:p>
  </w:endnote>
  <w:endnote w:type="continuationSeparator" w:id="0">
    <w:p w14:paraId="4D99DE48" w14:textId="77777777" w:rsidR="00B5532F" w:rsidRDefault="00B5532F" w:rsidP="0049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853666"/>
      <w:docPartObj>
        <w:docPartGallery w:val="Page Numbers (Bottom of Page)"/>
        <w:docPartUnique/>
      </w:docPartObj>
    </w:sdtPr>
    <w:sdtEndPr>
      <w:rPr>
        <w:noProof/>
      </w:rPr>
    </w:sdtEndPr>
    <w:sdtContent>
      <w:p w14:paraId="1A5966BF" w14:textId="77777777" w:rsidR="00494ED9" w:rsidRDefault="00494ED9">
        <w:pPr>
          <w:pStyle w:val="Footer"/>
          <w:jc w:val="center"/>
        </w:pPr>
        <w:r>
          <w:fldChar w:fldCharType="begin"/>
        </w:r>
        <w:r>
          <w:instrText xml:space="preserve"> PAGE   \* MERGEFORMAT </w:instrText>
        </w:r>
        <w:r>
          <w:fldChar w:fldCharType="separate"/>
        </w:r>
        <w:r w:rsidR="00A8100E">
          <w:rPr>
            <w:noProof/>
          </w:rPr>
          <w:t>1</w:t>
        </w:r>
        <w:r>
          <w:rPr>
            <w:noProof/>
          </w:rPr>
          <w:fldChar w:fldCharType="end"/>
        </w:r>
      </w:p>
    </w:sdtContent>
  </w:sdt>
  <w:p w14:paraId="1A5966C0" w14:textId="77777777" w:rsidR="00494ED9" w:rsidRDefault="00494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BF63C" w14:textId="77777777" w:rsidR="00B5532F" w:rsidRDefault="00B5532F" w:rsidP="00494ED9">
      <w:pPr>
        <w:spacing w:after="0" w:line="240" w:lineRule="auto"/>
      </w:pPr>
      <w:r>
        <w:separator/>
      </w:r>
    </w:p>
  </w:footnote>
  <w:footnote w:type="continuationSeparator" w:id="0">
    <w:p w14:paraId="6882D4B9" w14:textId="77777777" w:rsidR="00B5532F" w:rsidRDefault="00B5532F" w:rsidP="00494ED9">
      <w:pPr>
        <w:spacing w:after="0" w:line="240" w:lineRule="auto"/>
      </w:pPr>
      <w:r>
        <w:continuationSeparator/>
      </w:r>
    </w:p>
  </w:footnote>
  <w:footnote w:id="1">
    <w:p w14:paraId="221003C0" w14:textId="77777777" w:rsidR="008F3433" w:rsidRDefault="008F3433" w:rsidP="008F3433">
      <w:r>
        <w:rPr>
          <w:vertAlign w:val="superscript"/>
        </w:rPr>
        <w:footnoteRef/>
      </w:r>
      <w:r>
        <w:t xml:space="preserve"> Mitch, C., &amp; Sri, E. (2010). </w:t>
      </w:r>
      <w:hyperlink r:id="rId1" w:history="1">
        <w:r>
          <w:rPr>
            <w:i/>
            <w:color w:val="0000FF"/>
            <w:u w:val="single"/>
          </w:rPr>
          <w:t>The Gospel of Matthew</w:t>
        </w:r>
      </w:hyperlink>
      <w:r>
        <w:t xml:space="preserve"> (p. 239). Baker Academic.</w:t>
      </w:r>
    </w:p>
  </w:footnote>
  <w:footnote w:id="2">
    <w:p w14:paraId="3561B5E6" w14:textId="4A384B45" w:rsidR="00856B14" w:rsidRDefault="00856B14" w:rsidP="00856B14">
      <w:r>
        <w:rPr>
          <w:vertAlign w:val="superscript"/>
        </w:rPr>
        <w:footnoteRef/>
      </w:r>
      <w:r>
        <w:t xml:space="preserve"> Ponessa, J. L., &amp; Manhardt, L. W. (2016). </w:t>
      </w:r>
      <w:hyperlink r:id="rId2" w:history="1">
        <w:r>
          <w:rPr>
            <w:i/>
            <w:color w:val="0000FF"/>
            <w:u w:val="single"/>
          </w:rPr>
          <w:t>The Gospel of Matthew</w:t>
        </w:r>
      </w:hyperlink>
      <w:r>
        <w:t xml:space="preserve"> (p. 144). Emmaus Road Publishing.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23"/>
    <w:rsid w:val="0003037C"/>
    <w:rsid w:val="00030D1C"/>
    <w:rsid w:val="00044669"/>
    <w:rsid w:val="00047F7F"/>
    <w:rsid w:val="0005299B"/>
    <w:rsid w:val="00073713"/>
    <w:rsid w:val="000C4837"/>
    <w:rsid w:val="000C77EB"/>
    <w:rsid w:val="000D0C3C"/>
    <w:rsid w:val="000D29A3"/>
    <w:rsid w:val="00142CE0"/>
    <w:rsid w:val="00191CB5"/>
    <w:rsid w:val="001A22CD"/>
    <w:rsid w:val="001D652E"/>
    <w:rsid w:val="001E3EBE"/>
    <w:rsid w:val="00221B19"/>
    <w:rsid w:val="002460CC"/>
    <w:rsid w:val="002849AC"/>
    <w:rsid w:val="00292854"/>
    <w:rsid w:val="002E4880"/>
    <w:rsid w:val="00345358"/>
    <w:rsid w:val="00371D3D"/>
    <w:rsid w:val="003F4B47"/>
    <w:rsid w:val="003F6E23"/>
    <w:rsid w:val="004004C9"/>
    <w:rsid w:val="004162CA"/>
    <w:rsid w:val="00425A31"/>
    <w:rsid w:val="00474F3E"/>
    <w:rsid w:val="00494ED9"/>
    <w:rsid w:val="004A7FAC"/>
    <w:rsid w:val="004B29FC"/>
    <w:rsid w:val="004C16CB"/>
    <w:rsid w:val="0051115E"/>
    <w:rsid w:val="005642E2"/>
    <w:rsid w:val="005663BE"/>
    <w:rsid w:val="005970AD"/>
    <w:rsid w:val="005A2B3D"/>
    <w:rsid w:val="00600E88"/>
    <w:rsid w:val="00615B8B"/>
    <w:rsid w:val="0066679E"/>
    <w:rsid w:val="00671502"/>
    <w:rsid w:val="00692916"/>
    <w:rsid w:val="00726384"/>
    <w:rsid w:val="0073226A"/>
    <w:rsid w:val="00752DDB"/>
    <w:rsid w:val="0076662F"/>
    <w:rsid w:val="007763DF"/>
    <w:rsid w:val="007934E9"/>
    <w:rsid w:val="007B04BC"/>
    <w:rsid w:val="007B1058"/>
    <w:rsid w:val="007C2E05"/>
    <w:rsid w:val="007C649B"/>
    <w:rsid w:val="007F6F9F"/>
    <w:rsid w:val="00825E9A"/>
    <w:rsid w:val="00842EAF"/>
    <w:rsid w:val="00845F2D"/>
    <w:rsid w:val="00856B14"/>
    <w:rsid w:val="0085711B"/>
    <w:rsid w:val="008966B7"/>
    <w:rsid w:val="008E78F8"/>
    <w:rsid w:val="008F3433"/>
    <w:rsid w:val="00923F90"/>
    <w:rsid w:val="00943FD6"/>
    <w:rsid w:val="009620FE"/>
    <w:rsid w:val="009702AC"/>
    <w:rsid w:val="009836C3"/>
    <w:rsid w:val="009B573F"/>
    <w:rsid w:val="009E0127"/>
    <w:rsid w:val="00A2329F"/>
    <w:rsid w:val="00A321DE"/>
    <w:rsid w:val="00A8100E"/>
    <w:rsid w:val="00AB26C7"/>
    <w:rsid w:val="00AB77B4"/>
    <w:rsid w:val="00B01736"/>
    <w:rsid w:val="00B01E05"/>
    <w:rsid w:val="00B53822"/>
    <w:rsid w:val="00B550F9"/>
    <w:rsid w:val="00B5532F"/>
    <w:rsid w:val="00B65026"/>
    <w:rsid w:val="00BA4095"/>
    <w:rsid w:val="00BC078C"/>
    <w:rsid w:val="00C32196"/>
    <w:rsid w:val="00C355B8"/>
    <w:rsid w:val="00C463F3"/>
    <w:rsid w:val="00C81AA2"/>
    <w:rsid w:val="00CA3F9A"/>
    <w:rsid w:val="00CE716E"/>
    <w:rsid w:val="00CE7AB1"/>
    <w:rsid w:val="00D03795"/>
    <w:rsid w:val="00D176D8"/>
    <w:rsid w:val="00D57BB0"/>
    <w:rsid w:val="00D92493"/>
    <w:rsid w:val="00DD6EB3"/>
    <w:rsid w:val="00E25796"/>
    <w:rsid w:val="00E27465"/>
    <w:rsid w:val="00E569EE"/>
    <w:rsid w:val="00EA79FF"/>
    <w:rsid w:val="00ED52CB"/>
    <w:rsid w:val="00F63C96"/>
    <w:rsid w:val="00F724AC"/>
    <w:rsid w:val="00F768C5"/>
    <w:rsid w:val="00FB2A08"/>
    <w:rsid w:val="00FD2923"/>
    <w:rsid w:val="00FD5BCA"/>
    <w:rsid w:val="00FE2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ED9"/>
  </w:style>
  <w:style w:type="paragraph" w:styleId="Footer">
    <w:name w:val="footer"/>
    <w:basedOn w:val="Normal"/>
    <w:link w:val="FooterChar"/>
    <w:uiPriority w:val="99"/>
    <w:unhideWhenUsed/>
    <w:rsid w:val="00494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ED9"/>
  </w:style>
  <w:style w:type="paragraph" w:styleId="BalloonText">
    <w:name w:val="Balloon Text"/>
    <w:basedOn w:val="Normal"/>
    <w:link w:val="BalloonTextChar"/>
    <w:uiPriority w:val="99"/>
    <w:semiHidden/>
    <w:unhideWhenUsed/>
    <w:rsid w:val="00BC0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ED9"/>
  </w:style>
  <w:style w:type="paragraph" w:styleId="Footer">
    <w:name w:val="footer"/>
    <w:basedOn w:val="Normal"/>
    <w:link w:val="FooterChar"/>
    <w:uiPriority w:val="99"/>
    <w:unhideWhenUsed/>
    <w:rsid w:val="00494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ED9"/>
  </w:style>
  <w:style w:type="paragraph" w:styleId="BalloonText">
    <w:name w:val="Balloon Text"/>
    <w:basedOn w:val="Normal"/>
    <w:link w:val="BalloonTextChar"/>
    <w:uiPriority w:val="99"/>
    <w:semiHidden/>
    <w:unhideWhenUsed/>
    <w:rsid w:val="00BC0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cbs61mt?ref=Bible.Mt19-20&amp;off=1805&amp;ctx=ossed+into+the+Holy+~Land+from+the+east+b" TargetMode="External"/><Relationship Id="rId1" Type="http://schemas.openxmlformats.org/officeDocument/2006/relationships/hyperlink" Target="https://ref.ly/logosres/cathcomm61mt?ref=BibleNAB.Mt19.3&amp;off=1431&amp;ctx=unt+to+such+a+test.%0a~How%2c+then%2c+should+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15</Pages>
  <Words>4518</Words>
  <Characters>25758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2025-09-26T21:39:00Z</dcterms:created>
  <dcterms:modified xsi:type="dcterms:W3CDTF">2026-01-20T17:49:00Z</dcterms:modified>
</cp:coreProperties>
</file>