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bottomFromText="160" w:horzAnchor="margin" w:tblpXSpec="center" w:tblpY="2881"/>
        <w:tblW w:w="4132" w:type="pct"/>
        <w:tblBorders>
          <w:left w:val="single" w:sz="12" w:space="0" w:color="4472C4" w:themeColor="accent1"/>
        </w:tblBorders>
        <w:tblCellMar>
          <w:left w:w="144" w:type="dxa"/>
          <w:right w:w="115" w:type="dxa"/>
        </w:tblCellMar>
        <w:tblLook w:val="04A0" w:firstRow="1" w:lastRow="0" w:firstColumn="1" w:lastColumn="0" w:noHBand="0" w:noVBand="1"/>
      </w:tblPr>
      <w:tblGrid>
        <w:gridCol w:w="7818"/>
      </w:tblGrid>
      <w:tr w:rsidR="001E514B" w14:paraId="4AEAB404" w14:textId="77777777" w:rsidTr="001E514B">
        <w:tc>
          <w:tcPr>
            <w:tcW w:w="7446" w:type="dxa"/>
            <w:tcBorders>
              <w:top w:val="nil"/>
              <w:left w:val="single" w:sz="12" w:space="0" w:color="4472C4" w:themeColor="accent1"/>
              <w:bottom w:val="nil"/>
              <w:right w:val="nil"/>
            </w:tcBorders>
            <w:tcMar>
              <w:top w:w="216" w:type="dxa"/>
              <w:left w:w="115" w:type="dxa"/>
              <w:bottom w:w="216" w:type="dxa"/>
              <w:right w:w="115" w:type="dxa"/>
            </w:tcMar>
          </w:tcPr>
          <w:p w14:paraId="3DD90D94" w14:textId="77777777" w:rsidR="001E514B" w:rsidRDefault="001E514B" w:rsidP="005B090A">
            <w:pPr>
              <w:pStyle w:val="NoSpacing"/>
              <w:spacing w:line="256" w:lineRule="auto"/>
              <w:rPr>
                <w:color w:val="2F5496" w:themeColor="accent1" w:themeShade="BF"/>
                <w:sz w:val="24"/>
              </w:rPr>
            </w:pPr>
          </w:p>
        </w:tc>
      </w:tr>
      <w:tr w:rsidR="001E514B" w14:paraId="54C7B7F1" w14:textId="77777777" w:rsidTr="001E514B">
        <w:tc>
          <w:tcPr>
            <w:tcW w:w="7446" w:type="dxa"/>
            <w:tcBorders>
              <w:top w:val="nil"/>
              <w:left w:val="single" w:sz="12" w:space="0" w:color="4472C4" w:themeColor="accent1"/>
              <w:bottom w:val="nil"/>
              <w:right w:val="nil"/>
            </w:tcBorders>
            <w:tcMar>
              <w:top w:w="0" w:type="dxa"/>
              <w:left w:w="108" w:type="dxa"/>
              <w:bottom w:w="0" w:type="dxa"/>
              <w:right w:w="108" w:type="dxa"/>
            </w:tcMar>
            <w:hideMark/>
          </w:tcPr>
          <w:p w14:paraId="2908E1B5" w14:textId="45B51906" w:rsidR="001E514B" w:rsidRDefault="001E514B" w:rsidP="005B090A">
            <w:pPr>
              <w:pStyle w:val="NoSpacing"/>
              <w:spacing w:line="216" w:lineRule="auto"/>
              <w:rPr>
                <w:rFonts w:asciiTheme="majorHAnsi" w:eastAsiaTheme="majorEastAsia" w:hAnsiTheme="majorHAnsi" w:cstheme="majorBidi"/>
                <w:color w:val="4472C4" w:themeColor="accent1"/>
                <w:sz w:val="88"/>
                <w:szCs w:val="88"/>
              </w:rPr>
            </w:pPr>
            <w:r>
              <w:rPr>
                <w:noProof/>
              </w:rPr>
              <w:drawing>
                <wp:inline distT="0" distB="0" distL="0" distR="0" wp14:anchorId="3B8A25CD" wp14:editId="2C61F9B3">
                  <wp:extent cx="459105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895350"/>
                          </a:xfrm>
                          <a:prstGeom prst="rect">
                            <a:avLst/>
                          </a:prstGeom>
                          <a:noFill/>
                          <a:ln>
                            <a:noFill/>
                          </a:ln>
                        </pic:spPr>
                      </pic:pic>
                    </a:graphicData>
                  </a:graphic>
                </wp:inline>
              </w:drawing>
            </w:r>
          </w:p>
        </w:tc>
      </w:tr>
      <w:tr w:rsidR="001E514B" w14:paraId="68BDDF0D" w14:textId="77777777" w:rsidTr="001E514B">
        <w:tc>
          <w:tcPr>
            <w:tcW w:w="7446" w:type="dxa"/>
            <w:tcBorders>
              <w:top w:val="nil"/>
              <w:left w:val="single" w:sz="12" w:space="0" w:color="4472C4" w:themeColor="accent1"/>
              <w:bottom w:val="nil"/>
              <w:right w:val="nil"/>
            </w:tcBorders>
            <w:tcMar>
              <w:top w:w="0" w:type="dxa"/>
              <w:left w:w="108" w:type="dxa"/>
              <w:bottom w:w="0" w:type="dxa"/>
              <w:right w:w="108" w:type="dxa"/>
            </w:tcMar>
          </w:tcPr>
          <w:p w14:paraId="0CE87491" w14:textId="77777777" w:rsidR="001E514B" w:rsidRDefault="001E514B" w:rsidP="005B090A">
            <w:pPr>
              <w:pStyle w:val="NoSpacing"/>
              <w:spacing w:line="216" w:lineRule="auto"/>
              <w:rPr>
                <w:rFonts w:asciiTheme="minorHAnsi" w:hAnsiTheme="minorHAnsi" w:cstheme="minorBidi"/>
                <w:noProof/>
              </w:rPr>
            </w:pPr>
          </w:p>
          <w:p w14:paraId="4CCC9440" w14:textId="77777777" w:rsidR="001E514B" w:rsidRDefault="001E514B" w:rsidP="005B090A">
            <w:pPr>
              <w:pStyle w:val="NoSpacing"/>
              <w:spacing w:line="216" w:lineRule="auto"/>
              <w:rPr>
                <w:noProof/>
              </w:rPr>
            </w:pPr>
          </w:p>
          <w:p w14:paraId="5F603038" w14:textId="77777777" w:rsidR="001E514B" w:rsidRDefault="001E514B" w:rsidP="005B090A">
            <w:pPr>
              <w:pStyle w:val="NoSpacing"/>
              <w:spacing w:line="216" w:lineRule="auto"/>
              <w:rPr>
                <w:noProof/>
              </w:rPr>
            </w:pPr>
          </w:p>
          <w:p w14:paraId="0826AD70" w14:textId="77777777" w:rsidR="001E514B" w:rsidRDefault="001E514B" w:rsidP="005B090A">
            <w:pPr>
              <w:pStyle w:val="NoSpacing"/>
              <w:spacing w:line="216" w:lineRule="auto"/>
              <w:rPr>
                <w:noProof/>
              </w:rPr>
            </w:pPr>
          </w:p>
          <w:p w14:paraId="4ED8540A" w14:textId="77777777" w:rsidR="001E514B" w:rsidRDefault="001E514B" w:rsidP="005B090A">
            <w:pPr>
              <w:pStyle w:val="NoSpacing"/>
              <w:spacing w:line="216" w:lineRule="auto"/>
              <w:rPr>
                <w:noProof/>
              </w:rPr>
            </w:pPr>
          </w:p>
          <w:p w14:paraId="5C1CDFDE" w14:textId="77777777" w:rsidR="001E514B" w:rsidRDefault="001E514B" w:rsidP="005B090A">
            <w:pPr>
              <w:pStyle w:val="NoSpacing"/>
              <w:spacing w:line="216" w:lineRule="auto"/>
              <w:rPr>
                <w:noProof/>
              </w:rPr>
            </w:pPr>
          </w:p>
          <w:p w14:paraId="5AC5387D" w14:textId="77777777" w:rsidR="001E514B" w:rsidRDefault="001E514B" w:rsidP="005B090A">
            <w:pPr>
              <w:pStyle w:val="NoSpacing"/>
              <w:spacing w:line="216" w:lineRule="auto"/>
              <w:rPr>
                <w:noProof/>
              </w:rPr>
            </w:pPr>
          </w:p>
          <w:p w14:paraId="5B150261" w14:textId="77777777" w:rsidR="001E514B" w:rsidRDefault="001E514B" w:rsidP="005B090A">
            <w:pPr>
              <w:pStyle w:val="NoSpacing"/>
              <w:spacing w:line="216" w:lineRule="auto"/>
              <w:jc w:val="center"/>
              <w:rPr>
                <w:noProof/>
                <w:color w:val="2F5496" w:themeColor="accent1" w:themeShade="BF"/>
                <w:sz w:val="72"/>
                <w:szCs w:val="72"/>
              </w:rPr>
            </w:pPr>
            <w:r>
              <w:rPr>
                <w:noProof/>
                <w:color w:val="2F5496" w:themeColor="accent1" w:themeShade="BF"/>
                <w:sz w:val="72"/>
                <w:szCs w:val="72"/>
              </w:rPr>
              <w:t>Health and Safety Policy</w:t>
            </w:r>
          </w:p>
          <w:p w14:paraId="50091D74" w14:textId="77777777" w:rsidR="001E514B" w:rsidRDefault="001E514B" w:rsidP="005B090A">
            <w:pPr>
              <w:pStyle w:val="NoSpacing"/>
              <w:spacing w:line="216" w:lineRule="auto"/>
              <w:jc w:val="center"/>
              <w:rPr>
                <w:noProof/>
                <w:color w:val="2F5496" w:themeColor="accent1" w:themeShade="BF"/>
                <w:sz w:val="36"/>
                <w:szCs w:val="36"/>
              </w:rPr>
            </w:pPr>
          </w:p>
          <w:p w14:paraId="24C03708" w14:textId="47D13F91" w:rsidR="001E514B" w:rsidRDefault="001E514B" w:rsidP="005B090A">
            <w:pPr>
              <w:pStyle w:val="NoSpacing"/>
              <w:spacing w:line="216" w:lineRule="auto"/>
              <w:rPr>
                <w:noProof/>
                <w:color w:val="2F5496" w:themeColor="accent1" w:themeShade="BF"/>
                <w:sz w:val="36"/>
                <w:szCs w:val="36"/>
              </w:rPr>
            </w:pPr>
            <w:r>
              <w:rPr>
                <w:noProof/>
                <w:color w:val="2F5496" w:themeColor="accent1" w:themeShade="BF"/>
                <w:sz w:val="36"/>
                <w:szCs w:val="36"/>
              </w:rPr>
              <w:t>Ashby</w:t>
            </w:r>
          </w:p>
          <w:p w14:paraId="7CEE115F" w14:textId="77777777" w:rsidR="00333285" w:rsidRDefault="00333285" w:rsidP="005B090A">
            <w:pPr>
              <w:pStyle w:val="NoSpacing"/>
              <w:spacing w:line="216" w:lineRule="auto"/>
              <w:rPr>
                <w:noProof/>
              </w:rPr>
            </w:pPr>
          </w:p>
          <w:p w14:paraId="501C4CDF" w14:textId="6922F3C1" w:rsidR="00333285" w:rsidRDefault="00333285" w:rsidP="005B090A">
            <w:pPr>
              <w:pStyle w:val="NoSpacing"/>
              <w:spacing w:line="216" w:lineRule="auto"/>
              <w:rPr>
                <w:noProof/>
              </w:rPr>
            </w:pPr>
          </w:p>
        </w:tc>
      </w:tr>
      <w:tr w:rsidR="001E514B" w14:paraId="6FF71CA9" w14:textId="77777777" w:rsidTr="001E514B">
        <w:tc>
          <w:tcPr>
            <w:tcW w:w="7446" w:type="dxa"/>
            <w:tcBorders>
              <w:top w:val="nil"/>
              <w:left w:val="single" w:sz="12" w:space="0" w:color="4472C4" w:themeColor="accent1"/>
              <w:bottom w:val="nil"/>
              <w:right w:val="nil"/>
            </w:tcBorders>
            <w:tcMar>
              <w:top w:w="216" w:type="dxa"/>
              <w:left w:w="115" w:type="dxa"/>
              <w:bottom w:w="216" w:type="dxa"/>
              <w:right w:w="115" w:type="dxa"/>
            </w:tcMar>
          </w:tcPr>
          <w:p w14:paraId="70A4526C" w14:textId="77777777" w:rsidR="00333285" w:rsidRDefault="00333285" w:rsidP="00333285">
            <w:pPr>
              <w:pStyle w:val="NoSpacing"/>
              <w:rPr>
                <w:color w:val="2F5496" w:themeColor="accent1" w:themeShade="BF"/>
                <w:sz w:val="28"/>
                <w:szCs w:val="28"/>
              </w:rPr>
            </w:pPr>
          </w:p>
          <w:p w14:paraId="367FCF32" w14:textId="77777777" w:rsidR="00333285" w:rsidRDefault="00333285" w:rsidP="00333285">
            <w:pPr>
              <w:pStyle w:val="NoSpacing"/>
              <w:rPr>
                <w:color w:val="2F5496" w:themeColor="accent1" w:themeShade="BF"/>
                <w:sz w:val="28"/>
                <w:szCs w:val="28"/>
              </w:rPr>
            </w:pPr>
          </w:p>
          <w:p w14:paraId="0BCA8CC4" w14:textId="77777777" w:rsidR="00333285" w:rsidRDefault="00333285" w:rsidP="00333285">
            <w:pPr>
              <w:pStyle w:val="NoSpacing"/>
              <w:rPr>
                <w:color w:val="2F5496" w:themeColor="accent1" w:themeShade="BF"/>
                <w:sz w:val="28"/>
                <w:szCs w:val="28"/>
              </w:rPr>
            </w:pPr>
          </w:p>
          <w:p w14:paraId="2E3F54CA" w14:textId="41EA5746" w:rsidR="00333285" w:rsidRDefault="008D4804" w:rsidP="00333285">
            <w:pPr>
              <w:pStyle w:val="NoSpacing"/>
              <w:rPr>
                <w:color w:val="2F5496" w:themeColor="accent1" w:themeShade="BF"/>
                <w:sz w:val="28"/>
                <w:szCs w:val="28"/>
              </w:rPr>
            </w:pPr>
            <w:r>
              <w:rPr>
                <w:color w:val="2F5496" w:themeColor="accent1" w:themeShade="BF"/>
                <w:sz w:val="28"/>
                <w:szCs w:val="28"/>
              </w:rPr>
              <w:t>Rebecca</w:t>
            </w:r>
            <w:r w:rsidR="00333285">
              <w:rPr>
                <w:color w:val="2F5496" w:themeColor="accent1" w:themeShade="BF"/>
                <w:sz w:val="28"/>
                <w:szCs w:val="28"/>
              </w:rPr>
              <w:t xml:space="preserve"> Lewis</w:t>
            </w:r>
          </w:p>
          <w:p w14:paraId="5722DFF8" w14:textId="4DB85949" w:rsidR="001E514B" w:rsidRDefault="00D66F23" w:rsidP="008D4804">
            <w:pPr>
              <w:pStyle w:val="NoSpacing"/>
              <w:rPr>
                <w:color w:val="2F5496" w:themeColor="accent1" w:themeShade="BF"/>
                <w:sz w:val="24"/>
              </w:rPr>
            </w:pPr>
            <w:r>
              <w:rPr>
                <w:color w:val="2F5496" w:themeColor="accent1" w:themeShade="BF"/>
                <w:sz w:val="28"/>
                <w:szCs w:val="28"/>
              </w:rPr>
              <w:t>September 2025</w:t>
            </w:r>
            <w:r w:rsidR="003E7BDA">
              <w:rPr>
                <w:color w:val="2F5496" w:themeColor="accent1" w:themeShade="BF"/>
                <w:sz w:val="28"/>
                <w:szCs w:val="28"/>
              </w:rPr>
              <w:t xml:space="preserve"> </w:t>
            </w:r>
          </w:p>
        </w:tc>
      </w:tr>
    </w:tbl>
    <w:p w14:paraId="4198FFAF" w14:textId="604FC45C" w:rsidR="001A6A52" w:rsidRDefault="001A6A52">
      <w:pPr>
        <w:rPr>
          <w:noProof/>
        </w:rPr>
      </w:pPr>
      <w:r>
        <w:rPr>
          <w:noProof/>
        </w:rPr>
        <w:br w:type="page"/>
      </w:r>
      <w:r>
        <w:rPr>
          <w:noProof/>
        </w:rPr>
        <w:lastRenderedPageBreak/>
        <w:drawing>
          <wp:inline distT="0" distB="0" distL="0" distR="0" wp14:anchorId="3A8817FC" wp14:editId="38741FE9">
            <wp:extent cx="4591050" cy="890270"/>
            <wp:effectExtent l="0" t="0" r="0" b="5080"/>
            <wp:docPr id="27" name="Picture 3">
              <a:extLst xmlns:a="http://schemas.openxmlformats.org/drawingml/2006/main">
                <a:ext uri="{FF2B5EF4-FFF2-40B4-BE49-F238E27FC236}">
                  <a16:creationId xmlns:a16="http://schemas.microsoft.com/office/drawing/2014/main" id="{848D8B3B-2C13-4C5F-9107-415D54F9D8CA}"/>
                </a:ext>
              </a:extLst>
            </wp:docPr>
            <wp:cNvGraphicFramePr/>
            <a:graphic xmlns:a="http://schemas.openxmlformats.org/drawingml/2006/main">
              <a:graphicData uri="http://schemas.openxmlformats.org/drawingml/2006/picture">
                <pic:pic xmlns:pic="http://schemas.openxmlformats.org/drawingml/2006/picture">
                  <pic:nvPicPr>
                    <pic:cNvPr id="27" name="Picture 3">
                      <a:extLst>
                        <a:ext uri="{FF2B5EF4-FFF2-40B4-BE49-F238E27FC236}">
                          <a16:creationId xmlns:a16="http://schemas.microsoft.com/office/drawing/2014/main" id="{848D8B3B-2C13-4C5F-9107-415D54F9D8CA}"/>
                        </a:ext>
                      </a:extLst>
                    </pic:cNvPr>
                    <pic:cNvPicPr/>
                  </pic:nvPicPr>
                  <pic:blipFill>
                    <a:blip r:embed="rId6"/>
                    <a:stretch>
                      <a:fillRect/>
                    </a:stretch>
                  </pic:blipFill>
                  <pic:spPr>
                    <a:xfrm>
                      <a:off x="0" y="0"/>
                      <a:ext cx="4591050" cy="890270"/>
                    </a:xfrm>
                    <a:prstGeom prst="rect">
                      <a:avLst/>
                    </a:prstGeom>
                  </pic:spPr>
                </pic:pic>
              </a:graphicData>
            </a:graphic>
          </wp:inline>
        </w:drawing>
      </w:r>
    </w:p>
    <w:p w14:paraId="3F148876" w14:textId="77777777" w:rsidR="001A6A52" w:rsidRDefault="001A6A52"/>
    <w:p w14:paraId="4836F0F1" w14:textId="77777777" w:rsidR="008B588C" w:rsidRDefault="008B588C" w:rsidP="00467AA5">
      <w:pPr>
        <w:jc w:val="center"/>
        <w:rPr>
          <w:b/>
          <w:u w:val="single"/>
        </w:rPr>
      </w:pPr>
    </w:p>
    <w:p w14:paraId="2309C6CD" w14:textId="4D4B50BC" w:rsidR="00467AA5" w:rsidRDefault="00823FF9" w:rsidP="00467AA5">
      <w:pPr>
        <w:jc w:val="center"/>
      </w:pPr>
      <w:r w:rsidRPr="00467AA5">
        <w:rPr>
          <w:b/>
          <w:u w:val="single"/>
        </w:rPr>
        <w:t>Health and Safety Policy 20</w:t>
      </w:r>
      <w:r w:rsidR="003E7BDA">
        <w:rPr>
          <w:b/>
          <w:u w:val="single"/>
        </w:rPr>
        <w:t>2</w:t>
      </w:r>
      <w:r w:rsidR="00BA26DD">
        <w:rPr>
          <w:b/>
          <w:u w:val="single"/>
        </w:rPr>
        <w:t>5</w:t>
      </w:r>
      <w:r w:rsidRPr="00467AA5">
        <w:rPr>
          <w:b/>
          <w:u w:val="single"/>
        </w:rPr>
        <w:t xml:space="preserve"> Health and Safety Policy Statement</w:t>
      </w:r>
      <w:r>
        <w:t xml:space="preserve"> </w:t>
      </w:r>
    </w:p>
    <w:p w14:paraId="0F5B0E75" w14:textId="6387A188" w:rsidR="009C5B20" w:rsidRDefault="00823FF9" w:rsidP="00467AA5">
      <w:pPr>
        <w:pStyle w:val="ListParagraph"/>
        <w:numPr>
          <w:ilvl w:val="0"/>
          <w:numId w:val="1"/>
        </w:numPr>
      </w:pPr>
      <w:r>
        <w:t>The requirement</w:t>
      </w:r>
      <w:r w:rsidR="00467AA5">
        <w:t xml:space="preserve"> is</w:t>
      </w:r>
      <w:r>
        <w:t xml:space="preserve"> to provide a safe and healthy working environment for all employees</w:t>
      </w:r>
      <w:r w:rsidR="00467AA5">
        <w:t>. The Director (</w:t>
      </w:r>
      <w:r w:rsidR="00D50461">
        <w:t>Rebecca</w:t>
      </w:r>
      <w:r w:rsidR="00467AA5">
        <w:t xml:space="preserve"> Lewis) recognises</w:t>
      </w:r>
      <w:r>
        <w:t xml:space="preserve"> and take</w:t>
      </w:r>
      <w:r w:rsidR="00467AA5">
        <w:t>s</w:t>
      </w:r>
      <w:r>
        <w:t xml:space="preserve"> responsibility for compliance with the statutory duties under the Health and Safety at Work etc Act 1974.</w:t>
      </w:r>
      <w:r w:rsidR="009C5B20">
        <w:br/>
      </w:r>
    </w:p>
    <w:p w14:paraId="571DDC30" w14:textId="4B3A1C43" w:rsidR="00467AA5" w:rsidRDefault="00823FF9" w:rsidP="00467AA5">
      <w:pPr>
        <w:pStyle w:val="ListParagraph"/>
        <w:numPr>
          <w:ilvl w:val="0"/>
          <w:numId w:val="1"/>
        </w:numPr>
      </w:pPr>
      <w:r>
        <w:t xml:space="preserve">In compliance with the Health and Safety at Work etc. Act, </w:t>
      </w:r>
      <w:r w:rsidR="00467AA5">
        <w:t>the Director</w:t>
      </w:r>
      <w:r>
        <w:t xml:space="preserve"> will ensure so far as is reasonably practicable that: - </w:t>
      </w:r>
    </w:p>
    <w:p w14:paraId="5670C80B" w14:textId="77777777" w:rsidR="00467AA5" w:rsidRDefault="00467AA5" w:rsidP="009C5B20">
      <w:pPr>
        <w:ind w:left="720"/>
      </w:pPr>
      <w:r>
        <w:t>A</w:t>
      </w:r>
      <w:r w:rsidR="00823FF9">
        <w:t xml:space="preserve">ll places and premises where staff and pupils are required to work and engage in </w:t>
      </w:r>
      <w:r>
        <w:t>education</w:t>
      </w:r>
      <w:r w:rsidR="00823FF9">
        <w:t xml:space="preserve"> activities are maintained in a condition which is safe and without risk to health. (This includes the health and safety of persons on </w:t>
      </w:r>
      <w:r>
        <w:t xml:space="preserve">centre </w:t>
      </w:r>
      <w:r w:rsidR="00823FF9">
        <w:t>premises</w:t>
      </w:r>
      <w:r>
        <w:t xml:space="preserve">. </w:t>
      </w:r>
      <w:r w:rsidR="00823FF9">
        <w:t xml:space="preserve"> </w:t>
      </w:r>
    </w:p>
    <w:p w14:paraId="6FCAF68F" w14:textId="4FC61F63" w:rsidR="00467AA5" w:rsidRDefault="00467AA5" w:rsidP="009C5B20">
      <w:pPr>
        <w:ind w:left="720"/>
      </w:pPr>
      <w:r>
        <w:t>A</w:t>
      </w:r>
      <w:r w:rsidR="00823FF9">
        <w:t xml:space="preserve">ll plant and equipment </w:t>
      </w:r>
      <w:proofErr w:type="gramStart"/>
      <w:r w:rsidR="00823FF9">
        <w:t>is</w:t>
      </w:r>
      <w:proofErr w:type="gramEnd"/>
      <w:r w:rsidR="00823FF9">
        <w:t xml:space="preserve"> safe to use and that arrangements exist for the safe use, handling and storage of articles and substances at work</w:t>
      </w:r>
      <w:r>
        <w:t>, where appropriate.</w:t>
      </w:r>
    </w:p>
    <w:p w14:paraId="14B24D9C" w14:textId="1BC7265E" w:rsidR="00467AA5" w:rsidRDefault="00467AA5" w:rsidP="009C5B20">
      <w:pPr>
        <w:ind w:firstLine="720"/>
      </w:pPr>
      <w:r>
        <w:t>A</w:t>
      </w:r>
      <w:r w:rsidR="00823FF9">
        <w:t xml:space="preserve">ppropriate safe systems of work exist and are maintained. </w:t>
      </w:r>
    </w:p>
    <w:p w14:paraId="18EB2C34" w14:textId="77777777" w:rsidR="009C5B20" w:rsidRDefault="00467AA5" w:rsidP="009C5B20">
      <w:pPr>
        <w:ind w:firstLine="720"/>
      </w:pPr>
      <w:r>
        <w:t>A healthy working environment is maintained including adequate welfare facilities.</w:t>
      </w:r>
    </w:p>
    <w:p w14:paraId="0AA9F56E" w14:textId="10DEC4B6" w:rsidR="00467AA5" w:rsidRDefault="009C5B20" w:rsidP="009C5B20">
      <w:pPr>
        <w:ind w:left="720" w:hanging="465"/>
      </w:pPr>
      <w:r>
        <w:t>3.</w:t>
      </w:r>
      <w:r>
        <w:tab/>
      </w:r>
      <w:r w:rsidR="00823FF9">
        <w:t xml:space="preserve">In addition to the above the </w:t>
      </w:r>
      <w:r w:rsidR="00467AA5">
        <w:t xml:space="preserve">centre </w:t>
      </w:r>
      <w:r w:rsidR="00823FF9">
        <w:t xml:space="preserve">will ensure that so far as is reasonably practicable that the health and safety of non-employees is not adversely affected by its activities. </w:t>
      </w:r>
    </w:p>
    <w:p w14:paraId="1DE06299" w14:textId="77777777" w:rsidR="009C5B20" w:rsidRDefault="00467AA5" w:rsidP="009C5B20">
      <w:pPr>
        <w:ind w:left="720" w:hanging="465"/>
      </w:pPr>
      <w:r>
        <w:t>4.</w:t>
      </w:r>
      <w:r w:rsidR="00823FF9">
        <w:t xml:space="preserve"> </w:t>
      </w:r>
      <w:r w:rsidR="009C5B20">
        <w:tab/>
      </w:r>
      <w:r w:rsidR="00823FF9">
        <w:t xml:space="preserve">Employee involvement is an important part of managing safety, and consultation on health and safety with employees and employee representative’s forms part of this policy. </w:t>
      </w:r>
      <w:r w:rsidR="009C5B20">
        <w:br/>
      </w:r>
    </w:p>
    <w:p w14:paraId="367CB05F" w14:textId="421C0466" w:rsidR="00383BA9" w:rsidRDefault="00467AA5" w:rsidP="009C5B20">
      <w:pPr>
        <w:ind w:left="720" w:hanging="465"/>
      </w:pPr>
      <w:r>
        <w:t>5</w:t>
      </w:r>
      <w:r w:rsidR="00823FF9">
        <w:t xml:space="preserve">. </w:t>
      </w:r>
      <w:r w:rsidR="009C5B20">
        <w:tab/>
      </w:r>
      <w:r w:rsidR="00823FF9">
        <w:t>This policy statement and the accompanying organisational arrangements supersede any previously issued.</w:t>
      </w:r>
    </w:p>
    <w:p w14:paraId="47E19B04" w14:textId="55D3196A" w:rsidR="003C44CD" w:rsidRPr="00C4439B" w:rsidRDefault="003C44CD" w:rsidP="009C5B20">
      <w:pPr>
        <w:ind w:left="720" w:hanging="465"/>
        <w:rPr>
          <w:rFonts w:cstheme="minorHAnsi"/>
        </w:rPr>
      </w:pPr>
      <w:r w:rsidRPr="00C4439B">
        <w:rPr>
          <w:rFonts w:cstheme="minorHAnsi"/>
        </w:rPr>
        <w:t xml:space="preserve">6.      Please be aware that all staff and children are offered face coverings on arrival. </w:t>
      </w:r>
    </w:p>
    <w:p w14:paraId="640CA857" w14:textId="0AB5C6E4" w:rsidR="006F6AD3" w:rsidRPr="00C4439B" w:rsidRDefault="006F6AD3" w:rsidP="006F6AD3">
      <w:pPr>
        <w:pStyle w:val="NormalWeb"/>
        <w:spacing w:after="225"/>
        <w:textAlignment w:val="baseline"/>
        <w:rPr>
          <w:rFonts w:asciiTheme="minorHAnsi" w:eastAsia="Times New Roman" w:hAnsiTheme="minorHAnsi" w:cstheme="minorHAnsi"/>
          <w:color w:val="111111"/>
          <w:sz w:val="22"/>
          <w:szCs w:val="22"/>
          <w:lang w:eastAsia="en-GB"/>
        </w:rPr>
      </w:pPr>
      <w:r w:rsidRPr="00C4439B">
        <w:rPr>
          <w:rFonts w:asciiTheme="minorHAnsi" w:hAnsiTheme="minorHAnsi" w:cstheme="minorHAnsi"/>
          <w:sz w:val="22"/>
          <w:szCs w:val="22"/>
        </w:rPr>
        <w:t xml:space="preserve">     7.    </w:t>
      </w:r>
      <w:r w:rsidR="00C4439B" w:rsidRPr="00C4439B">
        <w:rPr>
          <w:rFonts w:asciiTheme="minorHAnsi" w:hAnsiTheme="minorHAnsi" w:cstheme="minorHAnsi"/>
          <w:sz w:val="22"/>
          <w:szCs w:val="22"/>
        </w:rPr>
        <w:t>Elite Tuition Group complies with the Control of Substances Hazardous to Health (</w:t>
      </w:r>
      <w:r w:rsidR="00BA26DD" w:rsidRPr="00C4439B">
        <w:rPr>
          <w:rFonts w:asciiTheme="minorHAnsi" w:hAnsiTheme="minorHAnsi" w:cstheme="minorHAnsi"/>
          <w:sz w:val="22"/>
          <w:szCs w:val="22"/>
        </w:rPr>
        <w:t xml:space="preserve">COSHH)  </w:t>
      </w:r>
      <w:r w:rsidR="00C4439B" w:rsidRPr="00C4439B">
        <w:rPr>
          <w:rFonts w:asciiTheme="minorHAnsi" w:hAnsiTheme="minorHAnsi" w:cstheme="minorHAnsi"/>
          <w:sz w:val="22"/>
          <w:szCs w:val="22"/>
        </w:rPr>
        <w:t xml:space="preserve">        </w:t>
      </w:r>
      <w:r w:rsidR="00AE31FB">
        <w:rPr>
          <w:rFonts w:asciiTheme="minorHAnsi" w:hAnsiTheme="minorHAnsi" w:cstheme="minorHAnsi"/>
          <w:sz w:val="22"/>
          <w:szCs w:val="22"/>
        </w:rPr>
        <w:t xml:space="preserve">   </w:t>
      </w:r>
      <w:r w:rsidR="00C4439B" w:rsidRPr="00C4439B">
        <w:rPr>
          <w:rFonts w:asciiTheme="minorHAnsi" w:hAnsiTheme="minorHAnsi" w:cstheme="minorHAnsi"/>
          <w:sz w:val="22"/>
          <w:szCs w:val="22"/>
        </w:rPr>
        <w:t>Regulations and all other relevant statutory requirements and, where necessary, best practice guidance and avoids the use of hazardous substances as far as is reasonable practicable.</w:t>
      </w:r>
    </w:p>
    <w:p w14:paraId="09A74C24" w14:textId="7220AEC8" w:rsidR="00467AA5" w:rsidRDefault="00467AA5" w:rsidP="00467AA5"/>
    <w:tbl>
      <w:tblPr>
        <w:tblStyle w:val="TableGrid"/>
        <w:tblW w:w="0" w:type="auto"/>
        <w:tblLook w:val="04A0" w:firstRow="1" w:lastRow="0" w:firstColumn="1" w:lastColumn="0" w:noHBand="0" w:noVBand="1"/>
      </w:tblPr>
      <w:tblGrid>
        <w:gridCol w:w="4508"/>
        <w:gridCol w:w="4508"/>
      </w:tblGrid>
      <w:tr w:rsidR="00467AA5" w14:paraId="674CDE53" w14:textId="77777777" w:rsidTr="00467AA5">
        <w:tc>
          <w:tcPr>
            <w:tcW w:w="4508" w:type="dxa"/>
          </w:tcPr>
          <w:p w14:paraId="24B5B95F" w14:textId="520AF652" w:rsidR="00467AA5" w:rsidRDefault="00A45F1A" w:rsidP="00467AA5">
            <w:r>
              <w:t>Signed in centre</w:t>
            </w:r>
          </w:p>
          <w:p w14:paraId="7405D1E9" w14:textId="5849DD25" w:rsidR="00467AA5" w:rsidRDefault="00467AA5" w:rsidP="00467AA5"/>
        </w:tc>
        <w:tc>
          <w:tcPr>
            <w:tcW w:w="4508" w:type="dxa"/>
          </w:tcPr>
          <w:p w14:paraId="1E52BDED" w14:textId="461ED6FF" w:rsidR="00467AA5" w:rsidRDefault="00A45F1A" w:rsidP="00467AA5">
            <w:r>
              <w:t xml:space="preserve">Rebecca </w:t>
            </w:r>
            <w:r w:rsidR="00467AA5">
              <w:t>Lewis</w:t>
            </w:r>
          </w:p>
        </w:tc>
      </w:tr>
    </w:tbl>
    <w:p w14:paraId="32B51FF2" w14:textId="5380C8D7" w:rsidR="00997294" w:rsidRDefault="00D66F23">
      <w:r>
        <w:t>September 2025</w:t>
      </w:r>
    </w:p>
    <w:p w14:paraId="6E3CAB3C" w14:textId="77777777" w:rsidR="00997294" w:rsidRDefault="00997294"/>
    <w:p w14:paraId="1DCB525C" w14:textId="77777777" w:rsidR="00997294" w:rsidRDefault="00997294"/>
    <w:p w14:paraId="12777F4E" w14:textId="77777777" w:rsidR="00997294" w:rsidRDefault="00997294"/>
    <w:p w14:paraId="0BF9439C" w14:textId="77777777" w:rsidR="00997294" w:rsidRDefault="00997294"/>
    <w:p w14:paraId="3A4FD9A0" w14:textId="77777777" w:rsidR="00997294" w:rsidRDefault="00997294"/>
    <w:p w14:paraId="130CCEEC" w14:textId="77777777" w:rsidR="00997294" w:rsidRPr="009C5B20" w:rsidRDefault="00823FF9">
      <w:pPr>
        <w:rPr>
          <w:b/>
        </w:rPr>
      </w:pPr>
      <w:r w:rsidRPr="009C5B20">
        <w:rPr>
          <w:b/>
        </w:rPr>
        <w:t xml:space="preserve">Part 1 </w:t>
      </w:r>
    </w:p>
    <w:p w14:paraId="38F59723" w14:textId="77777777" w:rsidR="00997294" w:rsidRPr="009C5B20" w:rsidRDefault="00823FF9">
      <w:pPr>
        <w:rPr>
          <w:b/>
        </w:rPr>
      </w:pPr>
      <w:r w:rsidRPr="009C5B20">
        <w:rPr>
          <w:b/>
        </w:rPr>
        <w:t xml:space="preserve">Arrangements &amp; Procedures for Health, Safety and Welfare  </w:t>
      </w:r>
    </w:p>
    <w:p w14:paraId="47DA5F19" w14:textId="77777777" w:rsidR="00997294" w:rsidRDefault="00823FF9">
      <w:r>
        <w:t xml:space="preserve">The following procedures and arrangements have been established within our </w:t>
      </w:r>
      <w:r w:rsidR="00997294">
        <w:t>centre</w:t>
      </w:r>
      <w:r>
        <w:t xml:space="preserve"> to eliminate or reduce health and safety risks to an acceptable level and to comply with minimum legal requirements: </w:t>
      </w:r>
    </w:p>
    <w:p w14:paraId="4AF8A762" w14:textId="403A45D3" w:rsidR="009C5B20" w:rsidRDefault="00823FF9" w:rsidP="009C5B20">
      <w:pPr>
        <w:pStyle w:val="ListParagraph"/>
        <w:numPr>
          <w:ilvl w:val="0"/>
          <w:numId w:val="2"/>
        </w:numPr>
      </w:pPr>
      <w:r>
        <w:t xml:space="preserve">Accident Reporting, Recording &amp; Investigation </w:t>
      </w:r>
    </w:p>
    <w:p w14:paraId="176E667C" w14:textId="77777777" w:rsidR="009C5B20" w:rsidRDefault="00823FF9" w:rsidP="009C5B20">
      <w:pPr>
        <w:pStyle w:val="ListParagraph"/>
      </w:pPr>
      <w:r>
        <w:t>Th</w:t>
      </w:r>
      <w:r w:rsidR="00997294">
        <w:t>e Centre Manager</w:t>
      </w:r>
      <w:r>
        <w:t xml:space="preserve"> will report to the </w:t>
      </w:r>
      <w:r w:rsidR="00997294">
        <w:t xml:space="preserve">Director </w:t>
      </w:r>
      <w:r>
        <w:t xml:space="preserve">any accidents, following the agreed procedures. Appropriate forms will be completed according to whom the accident happened and the seriousness of the accident. She/he will assist in the investigation of any accident although responsibility rests ultimately with the </w:t>
      </w:r>
      <w:r w:rsidR="00997294">
        <w:t>Director</w:t>
      </w:r>
      <w:r>
        <w:t xml:space="preserve">. </w:t>
      </w:r>
      <w:r w:rsidR="009C5B20">
        <w:br/>
      </w:r>
    </w:p>
    <w:p w14:paraId="41C16C42" w14:textId="41191BCC" w:rsidR="00997294" w:rsidRDefault="00823FF9" w:rsidP="009C5B20">
      <w:pPr>
        <w:pStyle w:val="ListParagraph"/>
        <w:numPr>
          <w:ilvl w:val="0"/>
          <w:numId w:val="2"/>
        </w:numPr>
      </w:pPr>
      <w:r>
        <w:t>Contractors</w:t>
      </w:r>
      <w:r w:rsidR="009C5B20">
        <w:br/>
      </w:r>
      <w:r>
        <w:t xml:space="preserve">The </w:t>
      </w:r>
      <w:r w:rsidR="00997294">
        <w:t>Centre Manager</w:t>
      </w:r>
      <w:r>
        <w:t xml:space="preserve"> will be responsible for the induction of any contractors and for the completion of the exchange of hazards form. Dependent on how long the contractors are likely to be on site, the </w:t>
      </w:r>
      <w:r w:rsidR="00997294">
        <w:t>Centre Manager</w:t>
      </w:r>
      <w:r>
        <w:t xml:space="preserve"> will arrange regular liaison meetings and for monitoring their working practices and methods. Depending on the work involved, risk assessments will be drawn up and monitored as part of this role. </w:t>
      </w:r>
      <w:r w:rsidR="00FE3AAB">
        <w:t>Where possible, contractors will not be on site at the same time as students. If this is not possible, contractors will not be in a position of being alone with students. A member of Elite staff will always be present. DBS certificate numbers will be recorded if appropriate. All visitors to the centre will be required to sign in on arrival and sign out on leaving. (GDPR compliant)</w:t>
      </w:r>
      <w:r w:rsidR="009C5B20">
        <w:br/>
      </w:r>
    </w:p>
    <w:p w14:paraId="08F703D6" w14:textId="35D79573" w:rsidR="00997294" w:rsidRDefault="009C5B20" w:rsidP="009C5B20">
      <w:pPr>
        <w:ind w:left="720" w:hanging="360"/>
        <w:contextualSpacing/>
      </w:pPr>
      <w:r>
        <w:t>3</w:t>
      </w:r>
      <w:r w:rsidR="00823FF9">
        <w:t xml:space="preserve">. </w:t>
      </w:r>
      <w:r>
        <w:tab/>
      </w:r>
      <w:r w:rsidR="00823FF9">
        <w:t>Curriculum Safety</w:t>
      </w:r>
      <w:r>
        <w:br/>
        <w:t>Te</w:t>
      </w:r>
      <w:r w:rsidR="00823FF9">
        <w:t xml:space="preserve">aching staff and teaching support staff will be required to keep pupils safe in whatever task or learning activity they are involved in as the </w:t>
      </w:r>
      <w:r w:rsidR="002308D4">
        <w:t>priority</w:t>
      </w:r>
      <w:r w:rsidR="00823FF9">
        <w:t xml:space="preserve">. There are risk assessments in place for different curriculum activities available for staff to consult. There are </w:t>
      </w:r>
      <w:r w:rsidR="00FE3AAB">
        <w:t>specific</w:t>
      </w:r>
      <w:r w:rsidR="00823FF9">
        <w:t xml:space="preserve"> risk assessments </w:t>
      </w:r>
      <w:r w:rsidR="00997294">
        <w:t>for</w:t>
      </w:r>
      <w:r w:rsidR="00823FF9">
        <w:t xml:space="preserve"> E safety </w:t>
      </w:r>
      <w:r w:rsidR="00997294">
        <w:t xml:space="preserve">which is </w:t>
      </w:r>
      <w:r w:rsidR="00823FF9">
        <w:t xml:space="preserve">important and there are policies and protocols in place. All staff are aware of and must comply with these in-house procedures. </w:t>
      </w:r>
      <w:r>
        <w:br/>
      </w:r>
    </w:p>
    <w:p w14:paraId="0FC68852" w14:textId="0BF35CBA" w:rsidR="00FA61E7" w:rsidRDefault="009C5B20" w:rsidP="00C472C2">
      <w:pPr>
        <w:ind w:left="720" w:hanging="360"/>
        <w:contextualSpacing/>
      </w:pPr>
      <w:r>
        <w:t>4</w:t>
      </w:r>
      <w:r w:rsidR="00823FF9">
        <w:t xml:space="preserve">. </w:t>
      </w:r>
      <w:r>
        <w:tab/>
      </w:r>
      <w:r w:rsidR="00823FF9">
        <w:t xml:space="preserve">Drugs &amp; Medications </w:t>
      </w:r>
      <w:r w:rsidR="00997294">
        <w:t>Elite Tuition Group</w:t>
      </w:r>
      <w:r w:rsidR="00823FF9">
        <w:t xml:space="preserve"> has a discreet policy for</w:t>
      </w:r>
      <w:r w:rsidR="00997294">
        <w:t xml:space="preserve"> first aid and</w:t>
      </w:r>
      <w:r w:rsidR="00823FF9">
        <w:t xml:space="preserve"> medication. </w:t>
      </w:r>
      <w:r w:rsidR="00FA61E7">
        <w:br/>
      </w:r>
    </w:p>
    <w:p w14:paraId="03329A83" w14:textId="14B768B0" w:rsidR="00404F38" w:rsidRDefault="00C472C2" w:rsidP="00C472C2">
      <w:pPr>
        <w:ind w:left="720" w:hanging="360"/>
        <w:contextualSpacing/>
      </w:pPr>
      <w:r>
        <w:t>5.</w:t>
      </w:r>
      <w:r>
        <w:tab/>
      </w:r>
      <w:r w:rsidR="00823FF9">
        <w:t xml:space="preserve">Electrical Equipment [fixed &amp; portable] </w:t>
      </w:r>
      <w:r>
        <w:br/>
      </w:r>
      <w:r w:rsidR="00823FF9">
        <w:t xml:space="preserve">Staff are aware of the need for frequent visual </w:t>
      </w:r>
      <w:r w:rsidR="00FE3AAB">
        <w:t>checks,</w:t>
      </w:r>
      <w:r w:rsidR="00823FF9">
        <w:t xml:space="preserve"> and this also forms part of the area risk assessment in every room. Staff are also aware that they must not bring any electrical equipment from home unless it is under 12 months old or has a valid PAT test and sticker. </w:t>
      </w:r>
      <w:r w:rsidR="00FA61E7">
        <w:br/>
      </w:r>
    </w:p>
    <w:p w14:paraId="17C24208" w14:textId="31ED6664" w:rsidR="00404F38" w:rsidRDefault="00C472C2" w:rsidP="00C472C2">
      <w:pPr>
        <w:ind w:left="720" w:hanging="375"/>
        <w:contextualSpacing/>
      </w:pPr>
      <w:r>
        <w:t>6</w:t>
      </w:r>
      <w:r w:rsidR="00823FF9">
        <w:t xml:space="preserve">. </w:t>
      </w:r>
      <w:r>
        <w:tab/>
      </w:r>
      <w:r w:rsidR="00823FF9">
        <w:t xml:space="preserve">Fire Precautions &amp; Procedures [and other emergencies incl. bomb threats] </w:t>
      </w:r>
      <w:r>
        <w:br/>
      </w:r>
      <w:r w:rsidR="00823FF9">
        <w:t xml:space="preserve">The </w:t>
      </w:r>
      <w:r w:rsidR="00404F38">
        <w:t>Director</w:t>
      </w:r>
      <w:r w:rsidR="00823FF9">
        <w:t xml:space="preserve"> will be responsible for undertaking and monitoring the fire risk assessment annually and following any changes. </w:t>
      </w:r>
      <w:r w:rsidR="00FA61E7">
        <w:br/>
      </w:r>
    </w:p>
    <w:p w14:paraId="4ED63614" w14:textId="334528FB" w:rsidR="00115246" w:rsidRDefault="00C472C2" w:rsidP="00C472C2">
      <w:pPr>
        <w:ind w:left="720" w:hanging="375"/>
        <w:contextualSpacing/>
      </w:pPr>
      <w:r>
        <w:t>7</w:t>
      </w:r>
      <w:r w:rsidR="00823FF9">
        <w:t xml:space="preserve">. </w:t>
      </w:r>
      <w:r>
        <w:tab/>
      </w:r>
      <w:r w:rsidR="00404F38">
        <w:t xml:space="preserve">At least one centre member of staff is qualified to administer first aid. </w:t>
      </w:r>
      <w:r w:rsidR="00823FF9">
        <w:t>There are first aid boxes</w:t>
      </w:r>
      <w:r w:rsidR="00404F38">
        <w:t xml:space="preserve"> readily available</w:t>
      </w:r>
      <w:r w:rsidR="00FE3AAB">
        <w:t>.</w:t>
      </w:r>
      <w:r w:rsidR="00404F38">
        <w:t xml:space="preserve"> </w:t>
      </w:r>
      <w:r w:rsidR="00823FF9">
        <w:t>They are checked and restocked by anyone and everyone who uses something out of them.</w:t>
      </w:r>
      <w:r w:rsidR="00115246" w:rsidRPr="00115246">
        <w:t xml:space="preserve"> </w:t>
      </w:r>
      <w:r w:rsidR="00115246">
        <w:t xml:space="preserve">First aid trained staff are aware of where the defibrillators are in the local environment. </w:t>
      </w:r>
      <w:r w:rsidR="00823FF9">
        <w:t xml:space="preserve">The </w:t>
      </w:r>
      <w:r w:rsidR="00115246">
        <w:t>Centre Manager</w:t>
      </w:r>
      <w:r w:rsidR="00823FF9">
        <w:t xml:space="preserve"> will be responsible for </w:t>
      </w:r>
      <w:r w:rsidR="00115246">
        <w:t>organisin</w:t>
      </w:r>
      <w:r w:rsidR="00823FF9">
        <w:t>g a</w:t>
      </w:r>
      <w:r w:rsidR="00115246">
        <w:t xml:space="preserve"> </w:t>
      </w:r>
      <w:r w:rsidR="00823FF9">
        <w:t xml:space="preserve">child </w:t>
      </w:r>
      <w:r w:rsidR="00115246">
        <w:t xml:space="preserve">going </w:t>
      </w:r>
      <w:r w:rsidR="00823FF9">
        <w:t xml:space="preserve">to hospital. The </w:t>
      </w:r>
      <w:r w:rsidR="00404F38">
        <w:t>Centre Manager</w:t>
      </w:r>
      <w:r w:rsidR="00823FF9">
        <w:t xml:space="preserve"> will be responsible for calling an ambulance when needed, and for directing emergency staff to the location of the patient. </w:t>
      </w:r>
      <w:r w:rsidR="00FA61E7">
        <w:br/>
      </w:r>
    </w:p>
    <w:p w14:paraId="705D171A" w14:textId="3A1C2944" w:rsidR="00115246" w:rsidRDefault="00AC4F1D" w:rsidP="00C472C2">
      <w:pPr>
        <w:tabs>
          <w:tab w:val="left" w:pos="426"/>
          <w:tab w:val="left" w:pos="709"/>
        </w:tabs>
        <w:ind w:left="345" w:hanging="345"/>
      </w:pPr>
      <w:r>
        <w:tab/>
      </w:r>
      <w:r w:rsidR="00823FF9">
        <w:t xml:space="preserve"> </w:t>
      </w:r>
      <w:r w:rsidR="00C472C2">
        <w:t>8.</w:t>
      </w:r>
      <w:r w:rsidR="00C472C2">
        <w:tab/>
      </w:r>
      <w:r w:rsidR="00823FF9">
        <w:t>Housekeeping, cleaning &amp; waste disposal.</w:t>
      </w:r>
      <w:r w:rsidR="00115246">
        <w:t xml:space="preserve"> All centres are cleaned when no students are present.</w:t>
      </w:r>
      <w:r w:rsidR="00823FF9">
        <w:t xml:space="preserve"> </w:t>
      </w:r>
      <w:r w:rsidR="00115246">
        <w:t>Bins are emptied daily</w:t>
      </w:r>
      <w:r w:rsidR="00823FF9">
        <w:t xml:space="preserve">. Any broken glass is wrapped in newspaper before being put in the large, outdoor bins. Any spillages during the day are cleaned up as soon as possible by which ever member of staff is nearest. </w:t>
      </w:r>
    </w:p>
    <w:p w14:paraId="7882D004" w14:textId="6567F1B7" w:rsidR="00115246" w:rsidRDefault="00AC4F1D" w:rsidP="00C472C2">
      <w:pPr>
        <w:tabs>
          <w:tab w:val="left" w:pos="426"/>
          <w:tab w:val="left" w:pos="709"/>
        </w:tabs>
      </w:pPr>
      <w:r>
        <w:tab/>
      </w:r>
      <w:r w:rsidR="00C472C2">
        <w:t>9</w:t>
      </w:r>
      <w:r w:rsidR="00823FF9">
        <w:t xml:space="preserve">. </w:t>
      </w:r>
      <w:r w:rsidR="00C472C2">
        <w:t xml:space="preserve">   </w:t>
      </w:r>
      <w:r w:rsidR="00823FF9">
        <w:t xml:space="preserve">Lettings/shared use of premises </w:t>
      </w:r>
    </w:p>
    <w:p w14:paraId="36F35CE5" w14:textId="427D157E" w:rsidR="00115246" w:rsidRDefault="00AC4F1D" w:rsidP="00C472C2">
      <w:pPr>
        <w:tabs>
          <w:tab w:val="left" w:pos="426"/>
          <w:tab w:val="left" w:pos="709"/>
        </w:tabs>
        <w:ind w:left="426"/>
      </w:pPr>
      <w:r>
        <w:t>The building is no longer shared and as such there is no current requirement for additional measures.</w:t>
      </w:r>
    </w:p>
    <w:p w14:paraId="43BC8FDC" w14:textId="578F9732" w:rsidR="00225006" w:rsidRDefault="00AC4F1D" w:rsidP="00C472C2">
      <w:pPr>
        <w:tabs>
          <w:tab w:val="left" w:pos="426"/>
          <w:tab w:val="left" w:pos="709"/>
        </w:tabs>
        <w:ind w:left="420" w:hanging="420"/>
      </w:pPr>
      <w:r>
        <w:tab/>
      </w:r>
      <w:r w:rsidR="00823FF9">
        <w:t>1</w:t>
      </w:r>
      <w:r w:rsidR="00C472C2">
        <w:t>0</w:t>
      </w:r>
      <w:r w:rsidR="00823FF9">
        <w:t>. A</w:t>
      </w:r>
      <w:r w:rsidR="00225006">
        <w:t xml:space="preserve">ny </w:t>
      </w:r>
      <w:r w:rsidR="00823FF9">
        <w:t xml:space="preserve">staff likely to lone work have mobile phones should they need to contact someone in an emergency and </w:t>
      </w:r>
      <w:proofErr w:type="gramStart"/>
      <w:r w:rsidR="00823FF9">
        <w:t>make arrangements</w:t>
      </w:r>
      <w:proofErr w:type="gramEnd"/>
      <w:r w:rsidR="00823FF9">
        <w:t xml:space="preserve"> to be in contact with someone else on a regular basis</w:t>
      </w:r>
      <w:r w:rsidR="00225006">
        <w:t xml:space="preserve">. Any lone working staff will lock </w:t>
      </w:r>
      <w:r w:rsidR="00823FF9">
        <w:t xml:space="preserve">outer doors to prevent unauthorised users accessing the building </w:t>
      </w:r>
      <w:proofErr w:type="gramStart"/>
      <w:r w:rsidR="00823FF9">
        <w:t>as long as</w:t>
      </w:r>
      <w:proofErr w:type="gramEnd"/>
      <w:r w:rsidR="00823FF9">
        <w:t xml:space="preserve"> they have a mobile phone with them. </w:t>
      </w:r>
    </w:p>
    <w:p w14:paraId="236AEF79" w14:textId="77777777" w:rsidR="00AC4F1D" w:rsidRDefault="00AC4F1D" w:rsidP="00C472C2">
      <w:pPr>
        <w:tabs>
          <w:tab w:val="left" w:pos="426"/>
          <w:tab w:val="left" w:pos="709"/>
        </w:tabs>
        <w:ind w:left="420" w:hanging="420"/>
      </w:pPr>
      <w:r>
        <w:tab/>
      </w:r>
      <w:r w:rsidR="00C472C2">
        <w:t>1</w:t>
      </w:r>
      <w:r w:rsidR="00823FF9">
        <w:t>1. Reporting Defects</w:t>
      </w:r>
    </w:p>
    <w:p w14:paraId="796F3B0F" w14:textId="73AE4336" w:rsidR="00225006" w:rsidRDefault="00AC4F1D" w:rsidP="00C472C2">
      <w:pPr>
        <w:tabs>
          <w:tab w:val="left" w:pos="426"/>
          <w:tab w:val="left" w:pos="709"/>
        </w:tabs>
        <w:ind w:left="420" w:hanging="420"/>
      </w:pPr>
      <w:r>
        <w:t xml:space="preserve">        </w:t>
      </w:r>
      <w:r w:rsidR="00823FF9">
        <w:t xml:space="preserve"> Any member of staff, volunteers, students are expected, indeed, encouraged to report any concerns regarding health and safety issues to </w:t>
      </w:r>
      <w:r w:rsidR="00225006">
        <w:t>the Centre Manager or Director</w:t>
      </w:r>
      <w:r w:rsidR="00823FF9">
        <w:t>. As an interim measure</w:t>
      </w:r>
      <w:r w:rsidR="00225006">
        <w:t>, the Centre Manager</w:t>
      </w:r>
      <w:r w:rsidR="00823FF9">
        <w:t xml:space="preserve"> will be asked to attend to the issue, depending on the seriousness or scope. If outside contractors are required to deal with it, the </w:t>
      </w:r>
      <w:r w:rsidR="00225006">
        <w:t>Director</w:t>
      </w:r>
      <w:r w:rsidR="00823FF9">
        <w:t xml:space="preserve"> will </w:t>
      </w:r>
      <w:r w:rsidR="00FE3AAB">
        <w:t>plan</w:t>
      </w:r>
      <w:r w:rsidR="00823FF9">
        <w:t xml:space="preserve"> to engage their services. If a room or an area is unsafe, children and staff will be moved to another area until the repairs are made or until a temporary measure makes it safe to use again. </w:t>
      </w:r>
    </w:p>
    <w:p w14:paraId="156DC68F" w14:textId="28D40F8E" w:rsidR="00225006" w:rsidRDefault="00C472C2" w:rsidP="00C472C2">
      <w:pPr>
        <w:tabs>
          <w:tab w:val="left" w:pos="426"/>
          <w:tab w:val="left" w:pos="709"/>
        </w:tabs>
        <w:ind w:left="420" w:hanging="420"/>
      </w:pPr>
      <w:r>
        <w:t>12.</w:t>
      </w:r>
      <w:r>
        <w:tab/>
      </w:r>
      <w:r w:rsidR="00823FF9">
        <w:t xml:space="preserve">Risk Assessments </w:t>
      </w:r>
      <w:r>
        <w:br/>
      </w:r>
      <w:r w:rsidR="00823FF9">
        <w:t xml:space="preserve">Most generic risk assessments are carried out by the </w:t>
      </w:r>
      <w:r w:rsidR="00404F38">
        <w:t xml:space="preserve">Centre </w:t>
      </w:r>
      <w:r w:rsidR="003E4D4B">
        <w:t>Director</w:t>
      </w:r>
      <w:r w:rsidR="00823FF9">
        <w:t xml:space="preserve"> in conjunction with </w:t>
      </w:r>
      <w:r w:rsidR="00225006">
        <w:t>Centre Managers</w:t>
      </w:r>
      <w:r w:rsidR="00823FF9">
        <w:t xml:space="preserve"> All staff are aware that this ha</w:t>
      </w:r>
      <w:r w:rsidR="00225006">
        <w:t>s</w:t>
      </w:r>
      <w:r w:rsidR="00823FF9">
        <w:t xml:space="preserve"> been carried out and have access to them. </w:t>
      </w:r>
    </w:p>
    <w:p w14:paraId="48B1BEED" w14:textId="551A1EB4" w:rsidR="00225006" w:rsidRDefault="00C472C2" w:rsidP="00C472C2">
      <w:pPr>
        <w:tabs>
          <w:tab w:val="left" w:pos="426"/>
          <w:tab w:val="left" w:pos="709"/>
        </w:tabs>
        <w:ind w:left="420" w:hanging="420"/>
      </w:pPr>
      <w:r>
        <w:t>13</w:t>
      </w:r>
      <w:r w:rsidR="00823FF9">
        <w:t xml:space="preserve">. </w:t>
      </w:r>
      <w:r>
        <w:tab/>
      </w:r>
      <w:r w:rsidR="00823FF9">
        <w:t xml:space="preserve">Smoking </w:t>
      </w:r>
      <w:r>
        <w:br/>
      </w:r>
      <w:r w:rsidR="00225006">
        <w:t>Elite Tuition Group</w:t>
      </w:r>
      <w:r w:rsidR="00823FF9">
        <w:t xml:space="preserve"> is a totally non-smoking site and displays notices to that effect. Staff who do smoke must leave the premises and the site to do so. </w:t>
      </w:r>
    </w:p>
    <w:p w14:paraId="54F84C4D" w14:textId="77777777" w:rsidR="00C472C2" w:rsidRDefault="00C472C2" w:rsidP="00C472C2">
      <w:pPr>
        <w:tabs>
          <w:tab w:val="left" w:pos="426"/>
          <w:tab w:val="left" w:pos="709"/>
        </w:tabs>
        <w:spacing w:after="0" w:line="240" w:lineRule="auto"/>
      </w:pPr>
      <w:r>
        <w:t>14</w:t>
      </w:r>
      <w:r w:rsidR="00823FF9">
        <w:t xml:space="preserve">. </w:t>
      </w:r>
      <w:r>
        <w:tab/>
      </w:r>
      <w:r w:rsidR="00823FF9">
        <w:t xml:space="preserve">Supervision </w:t>
      </w:r>
    </w:p>
    <w:p w14:paraId="49EFDD13" w14:textId="0BD555F1" w:rsidR="00E11955" w:rsidRDefault="00823FF9" w:rsidP="00C472C2">
      <w:pPr>
        <w:tabs>
          <w:tab w:val="left" w:pos="426"/>
          <w:tab w:val="left" w:pos="709"/>
        </w:tabs>
        <w:spacing w:after="0" w:line="240" w:lineRule="auto"/>
        <w:ind w:left="426"/>
      </w:pPr>
      <w:r>
        <w:t>Staff are aware that no pupil must be left unattended</w:t>
      </w:r>
      <w:r w:rsidR="00225006">
        <w:t>.</w:t>
      </w:r>
      <w:r>
        <w:t xml:space="preserve"> </w:t>
      </w:r>
      <w:r w:rsidR="00225006">
        <w:t xml:space="preserve">Relevant staff </w:t>
      </w:r>
      <w:r>
        <w:t>have enhanced DBS checks.</w:t>
      </w:r>
      <w:r w:rsidR="00C472C2">
        <w:br/>
      </w:r>
      <w:r>
        <w:t xml:space="preserve">  </w:t>
      </w:r>
    </w:p>
    <w:p w14:paraId="6B1A9358" w14:textId="62093CAE" w:rsidR="00E11955" w:rsidRDefault="00C472C2" w:rsidP="00C472C2">
      <w:pPr>
        <w:tabs>
          <w:tab w:val="left" w:pos="426"/>
          <w:tab w:val="left" w:pos="709"/>
        </w:tabs>
        <w:spacing w:after="0" w:line="240" w:lineRule="auto"/>
      </w:pPr>
      <w:r>
        <w:t>15</w:t>
      </w:r>
      <w:r w:rsidR="00823FF9">
        <w:t xml:space="preserve">. </w:t>
      </w:r>
      <w:r>
        <w:tab/>
      </w:r>
      <w:r w:rsidR="00823FF9">
        <w:t xml:space="preserve">Violence to Staff/School Security </w:t>
      </w:r>
    </w:p>
    <w:p w14:paraId="08992189" w14:textId="21928FE2" w:rsidR="00E11955" w:rsidRPr="003D6D99" w:rsidRDefault="00C472C2" w:rsidP="003D6D99">
      <w:pPr>
        <w:tabs>
          <w:tab w:val="left" w:pos="426"/>
          <w:tab w:val="left" w:pos="709"/>
        </w:tabs>
        <w:spacing w:after="0" w:line="240" w:lineRule="auto"/>
      </w:pPr>
      <w:r>
        <w:tab/>
      </w:r>
      <w:r w:rsidR="00823FF9">
        <w:t xml:space="preserve">All measures possible are implemented to ensure staff and pupil </w:t>
      </w:r>
      <w:r w:rsidR="00E11955">
        <w:t>health</w:t>
      </w:r>
      <w:r w:rsidR="002D7BCC" w:rsidRPr="002D7BCC">
        <w:t xml:space="preserve"> </w:t>
      </w:r>
      <w:r w:rsidR="00021D8D" w:rsidRPr="002D7BCC">
        <w:rPr>
          <w:noProof/>
        </w:rPr>
        <mc:AlternateContent>
          <mc:Choice Requires="wps">
            <w:drawing>
              <wp:anchor distT="0" distB="0" distL="114300" distR="114300" simplePos="0" relativeHeight="251658752" behindDoc="1" locked="0" layoutInCell="1" allowOverlap="1" wp14:anchorId="705D0EA4" wp14:editId="138F7918">
                <wp:simplePos x="0" y="0"/>
                <wp:positionH relativeFrom="column">
                  <wp:posOffset>-914400</wp:posOffset>
                </wp:positionH>
                <wp:positionV relativeFrom="paragraph">
                  <wp:posOffset>712470</wp:posOffset>
                </wp:positionV>
                <wp:extent cx="9991725" cy="45085"/>
                <wp:effectExtent l="0" t="0" r="28575" b="12065"/>
                <wp:wrapTight wrapText="bothSides">
                  <wp:wrapPolygon edited="0">
                    <wp:start x="0" y="0"/>
                    <wp:lineTo x="0" y="18254"/>
                    <wp:lineTo x="21621" y="18254"/>
                    <wp:lineTo x="21621" y="0"/>
                    <wp:lineTo x="0" y="0"/>
                  </wp:wrapPolygon>
                </wp:wrapTight>
                <wp:docPr id="2" name="Rectangle 2"/>
                <wp:cNvGraphicFramePr/>
                <a:graphic xmlns:a="http://schemas.openxmlformats.org/drawingml/2006/main">
                  <a:graphicData uri="http://schemas.microsoft.com/office/word/2010/wordprocessingShape">
                    <wps:wsp>
                      <wps:cNvSpPr/>
                      <wps:spPr>
                        <a:xfrm flipV="1">
                          <a:off x="0" y="0"/>
                          <a:ext cx="9991725" cy="45085"/>
                        </a:xfrm>
                        <a:prstGeom prst="rect">
                          <a:avLst/>
                        </a:prstGeom>
                        <a:solidFill>
                          <a:srgbClr val="4472C4"/>
                        </a:solidFill>
                        <a:ln w="12700" cap="flat" cmpd="sng" algn="ctr">
                          <a:solidFill>
                            <a:srgbClr val="4472C4">
                              <a:shade val="50000"/>
                            </a:srgbClr>
                          </a:solidFill>
                          <a:prstDash val="solid"/>
                          <a:miter lim="800000"/>
                        </a:ln>
                        <a:effectLst/>
                      </wps:spPr>
                      <wps:txbx>
                        <w:txbxContent>
                          <w:p w14:paraId="5080A533" w14:textId="0D4A287E" w:rsidR="002D7BCC" w:rsidRPr="00D533D4" w:rsidRDefault="002D7BCC" w:rsidP="002D7BCC">
                            <w:pPr>
                              <w:rPr>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05D0EA4" id="Rectangle 2" o:spid="_x0000_s1026" style="position:absolute;margin-left:-1in;margin-top:56.1pt;width:786.75pt;height:3.55pt;flip:y;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zzdAIAAP4EAAAOAAAAZHJzL2Uyb0RvYy54bWysVE1v2zAMvQ/YfxB0X+0EztIYdYogRYcB&#10;RVsg3XpmZCkWoK9JSuLu14+SnX6tp2E+CJRIPYqPj7647LUiB+6DtKahk7OSEm6YbaXZNfTHw/WX&#10;c0pCBNOCsoY39IkHern8/Oni6Go+tZ1VLfcEQUyoj66hXYyuLorAOq4hnFnHDTqF9Roibv2uaD0c&#10;EV2rYlqWX4uj9a3zlvEQ8PRqcNJlxheCs3gnROCRqIbi22JefV63aS2WF1DvPLhOsvEZ8A+v0CAN&#10;Jn2GuoIIZO/lX1BaMm+DFfGMWV1YISTjuQasZlK+q2bTgeO5FiQnuGeawv+DZbeHjbv3SMPRhTqg&#10;marohddEKOl+Yk9zXfhS0mfanp5p430kDA8Xi8VkPp1RwtBXzcrzWaK1GGASnPMhfuNWk2Q01GNX&#10;MigcbkIcQk8hKTxYJdtrqVTe+N12rTw5AHawqubTdTWivwlThhzxrdN5iV1mgEoSCiKa2rUNDWZH&#10;CagdSpRFn3O/uR0+SJKTd9DyIfWsxO+UeQjPNb7BSVVcQeiGK9mVrkCtZUSZK6kbep6ATkjKJC/P&#10;Qh25eOlDsmK/7cfmbG37dO+Jt4OIg2PXEvPdQIj34FG1WDlOYrzDRSiLdNjRoqSz/vdH5ykexYRe&#10;So44BUjVrz14Ton6blBmi0lVpbHJm2o2n+LGv/ZsX3vMXq8ttmmCM+9YNlN8VCdTeKsfcWBXKSu6&#10;wDDM3VBs1GCu4zCbOPCMr1Y5CAfFQbwxG8dOakw8P/SP4N0oqYhavLWneYH6nbKG2ES1sat9tEJm&#10;2SWCB1axlWmDQ5abOv4Q0hS/3ueol9/W8g8AAAD//wMAUEsDBBQABgAIAAAAIQA9sWXp4gAAAA0B&#10;AAAPAAAAZHJzL2Rvd25yZXYueG1sTI/BTsMwEETvSPyDtUjcWichIBriVAgEQqIcmlbiuo2XJDRe&#10;h9htw9/XOcFxZ0azb/LlaDpxpMG1lhXE8wgEcWV1y7WC7eZldg/CeWSNnWVS8EsOlsXlRY6Ztide&#10;07H0tQgl7DJU0HjfZ1K6qiGDbm574uB92cGgD+dQSz3gKZSbTiZRdCcNthw+NNjTU0PVvjwYBd+8&#10;+uzfnstV29o17j/e9U/9qpW6vhofH0B4Gv1fGCb8gA5FYNrZA2snOgWzOE3DGB+cOElATJE0WdyC&#10;2E3S4gZkkcv/K4ozAAAA//8DAFBLAQItABQABgAIAAAAIQC2gziS/gAAAOEBAAATAAAAAAAAAAAA&#10;AAAAAAAAAABbQ29udGVudF9UeXBlc10ueG1sUEsBAi0AFAAGAAgAAAAhADj9If/WAAAAlAEAAAsA&#10;AAAAAAAAAAAAAAAALwEAAF9yZWxzLy5yZWxzUEsBAi0AFAAGAAgAAAAhAMbrLPN0AgAA/gQAAA4A&#10;AAAAAAAAAAAAAAAALgIAAGRycy9lMm9Eb2MueG1sUEsBAi0AFAAGAAgAAAAhAD2xZeniAAAADQEA&#10;AA8AAAAAAAAAAAAAAAAAzgQAAGRycy9kb3ducmV2LnhtbFBLBQYAAAAABAAEAPMAAADdBQAAAAA=&#10;" fillcolor="#4472c4" strokecolor="#2f528f" strokeweight="1pt">
                <v:textbox>
                  <w:txbxContent>
                    <w:p w14:paraId="5080A533" w14:textId="0D4A287E" w:rsidR="002D7BCC" w:rsidRPr="00D533D4" w:rsidRDefault="002D7BCC" w:rsidP="002D7BCC">
                      <w:pPr>
                        <w:rPr>
                          <w:sz w:val="52"/>
                          <w:szCs w:val="52"/>
                        </w:rPr>
                      </w:pPr>
                    </w:p>
                  </w:txbxContent>
                </v:textbox>
                <w10:wrap type="tight"/>
              </v:rect>
            </w:pict>
          </mc:Fallback>
        </mc:AlternateContent>
      </w:r>
    </w:p>
    <w:sectPr w:rsidR="00E11955" w:rsidRPr="003D6D99" w:rsidSect="008B588C">
      <w:pgSz w:w="11906" w:h="16838"/>
      <w:pgMar w:top="1440" w:right="99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0996"/>
    <w:multiLevelType w:val="multilevel"/>
    <w:tmpl w:val="C146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5015E"/>
    <w:multiLevelType w:val="hybridMultilevel"/>
    <w:tmpl w:val="08782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283A72"/>
    <w:multiLevelType w:val="hybridMultilevel"/>
    <w:tmpl w:val="D142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94319">
    <w:abstractNumId w:val="2"/>
  </w:num>
  <w:num w:numId="2" w16cid:durableId="1804302708">
    <w:abstractNumId w:val="1"/>
  </w:num>
  <w:num w:numId="3" w16cid:durableId="15704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F9"/>
    <w:rsid w:val="00021D8D"/>
    <w:rsid w:val="00115246"/>
    <w:rsid w:val="001A6A52"/>
    <w:rsid w:val="001E514B"/>
    <w:rsid w:val="00225006"/>
    <w:rsid w:val="002308D4"/>
    <w:rsid w:val="002D7BCC"/>
    <w:rsid w:val="00333285"/>
    <w:rsid w:val="003401C1"/>
    <w:rsid w:val="00383BA9"/>
    <w:rsid w:val="003C44CD"/>
    <w:rsid w:val="003C69F4"/>
    <w:rsid w:val="003D6D99"/>
    <w:rsid w:val="003E4D4B"/>
    <w:rsid w:val="003E7BDA"/>
    <w:rsid w:val="00404F38"/>
    <w:rsid w:val="00467AA5"/>
    <w:rsid w:val="005B3AFA"/>
    <w:rsid w:val="005C7BC9"/>
    <w:rsid w:val="006F6AD3"/>
    <w:rsid w:val="0071089F"/>
    <w:rsid w:val="00823FF9"/>
    <w:rsid w:val="00874FF7"/>
    <w:rsid w:val="00875E7E"/>
    <w:rsid w:val="008B588C"/>
    <w:rsid w:val="008D4804"/>
    <w:rsid w:val="00935FA8"/>
    <w:rsid w:val="00997294"/>
    <w:rsid w:val="009C5B20"/>
    <w:rsid w:val="009F7440"/>
    <w:rsid w:val="00A31D3F"/>
    <w:rsid w:val="00A45F1A"/>
    <w:rsid w:val="00A73C6A"/>
    <w:rsid w:val="00AC4F1D"/>
    <w:rsid w:val="00AE31FB"/>
    <w:rsid w:val="00BA26DD"/>
    <w:rsid w:val="00BB44AA"/>
    <w:rsid w:val="00C4439B"/>
    <w:rsid w:val="00C472C2"/>
    <w:rsid w:val="00D50461"/>
    <w:rsid w:val="00D66F23"/>
    <w:rsid w:val="00DF5164"/>
    <w:rsid w:val="00E11955"/>
    <w:rsid w:val="00FA61E7"/>
    <w:rsid w:val="00FE3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6206"/>
  <w15:chartTrackingRefBased/>
  <w15:docId w15:val="{0DA9C088-2831-48CD-95C9-B04B6F2B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D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B20"/>
    <w:pPr>
      <w:ind w:left="720"/>
      <w:contextualSpacing/>
    </w:pPr>
  </w:style>
  <w:style w:type="character" w:customStyle="1" w:styleId="NoSpacingChar">
    <w:name w:val="No Spacing Char"/>
    <w:basedOn w:val="DefaultParagraphFont"/>
    <w:link w:val="NoSpacing"/>
    <w:uiPriority w:val="1"/>
    <w:locked/>
    <w:rsid w:val="001E514B"/>
    <w:rPr>
      <w:rFonts w:ascii="Times New Roman" w:eastAsiaTheme="minorEastAsia" w:hAnsi="Times New Roman" w:cs="Times New Roman"/>
      <w:lang w:val="en-US"/>
    </w:rPr>
  </w:style>
  <w:style w:type="paragraph" w:styleId="NoSpacing">
    <w:name w:val="No Spacing"/>
    <w:link w:val="NoSpacingChar"/>
    <w:uiPriority w:val="1"/>
    <w:qFormat/>
    <w:rsid w:val="001E514B"/>
    <w:pPr>
      <w:spacing w:after="0" w:line="240" w:lineRule="auto"/>
    </w:pPr>
    <w:rPr>
      <w:rFonts w:ascii="Times New Roman" w:eastAsiaTheme="minorEastAsia" w:hAnsi="Times New Roman" w:cs="Times New Roman"/>
      <w:lang w:val="en-US"/>
    </w:rPr>
  </w:style>
  <w:style w:type="paragraph" w:styleId="NormalWeb">
    <w:name w:val="Normal (Web)"/>
    <w:basedOn w:val="Normal"/>
    <w:uiPriority w:val="99"/>
    <w:semiHidden/>
    <w:unhideWhenUsed/>
    <w:rsid w:val="006F6A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2799">
      <w:bodyDiv w:val="1"/>
      <w:marLeft w:val="0"/>
      <w:marRight w:val="0"/>
      <w:marTop w:val="0"/>
      <w:marBottom w:val="0"/>
      <w:divBdr>
        <w:top w:val="none" w:sz="0" w:space="0" w:color="auto"/>
        <w:left w:val="none" w:sz="0" w:space="0" w:color="auto"/>
        <w:bottom w:val="none" w:sz="0" w:space="0" w:color="auto"/>
        <w:right w:val="none" w:sz="0" w:space="0" w:color="auto"/>
      </w:divBdr>
    </w:div>
    <w:div w:id="1274435781">
      <w:bodyDiv w:val="1"/>
      <w:marLeft w:val="0"/>
      <w:marRight w:val="0"/>
      <w:marTop w:val="0"/>
      <w:marBottom w:val="0"/>
      <w:divBdr>
        <w:top w:val="none" w:sz="0" w:space="0" w:color="auto"/>
        <w:left w:val="none" w:sz="0" w:space="0" w:color="auto"/>
        <w:bottom w:val="none" w:sz="0" w:space="0" w:color="auto"/>
        <w:right w:val="none" w:sz="0" w:space="0" w:color="auto"/>
      </w:divBdr>
    </w:div>
    <w:div w:id="199826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B6782-4B37-4B85-A0AD-6C9A8C5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Elite Tuition</cp:lastModifiedBy>
  <cp:revision>2</cp:revision>
  <dcterms:created xsi:type="dcterms:W3CDTF">2025-09-23T10:58:00Z</dcterms:created>
  <dcterms:modified xsi:type="dcterms:W3CDTF">2025-09-23T10:58:00Z</dcterms:modified>
</cp:coreProperties>
</file>