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C0A5" w14:textId="3C074AF8" w:rsidR="00663F6D" w:rsidRDefault="00A96F99" w:rsidP="00A96F99">
      <w:pPr>
        <w:pStyle w:val="BodyText"/>
        <w:spacing w:before="0"/>
        <w:ind w:left="0" w:firstLine="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1B7FAD62" wp14:editId="639AC64B">
            <wp:extent cx="2268220" cy="1603375"/>
            <wp:effectExtent l="0" t="0" r="0" b="0"/>
            <wp:docPr id="78255489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24549B" w14:textId="77777777" w:rsidR="00663F6D" w:rsidRDefault="00000000">
      <w:pPr>
        <w:ind w:left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730585D" wp14:editId="4DB20C5D">
                <wp:extent cx="5581650" cy="1155700"/>
                <wp:effectExtent l="38100" t="38100" r="38100" b="44450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1650" cy="115570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 w="76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C59A4B" w14:textId="541E2B27" w:rsidR="00663F6D" w:rsidRDefault="00000000">
                            <w:pPr>
                              <w:spacing w:before="84" w:line="249" w:lineRule="auto"/>
                              <w:ind w:left="2881" w:right="109" w:hanging="2030"/>
                              <w:rPr>
                                <w:b/>
                                <w:color w:val="000000"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2025/26</w:t>
                            </w:r>
                            <w:r>
                              <w:rPr>
                                <w:b/>
                                <w:color w:val="FFFFFF"/>
                                <w:spacing w:val="-42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Year-end</w:t>
                            </w:r>
                            <w:r>
                              <w:rPr>
                                <w:b/>
                                <w:color w:val="FFFFFF"/>
                                <w:spacing w:val="-38"/>
                                <w:sz w:val="60"/>
                              </w:rPr>
                              <w:t xml:space="preserve"> </w:t>
                            </w:r>
                            <w:r w:rsidR="005C4BC4">
                              <w:rPr>
                                <w:b/>
                                <w:color w:val="FFFFFF"/>
                                <w:spacing w:val="-38"/>
                                <w:sz w:val="60"/>
                              </w:rPr>
                              <w:t>C</w:t>
                            </w:r>
                            <w:r>
                              <w:rPr>
                                <w:b/>
                                <w:color w:val="FFFFFF"/>
                                <w:sz w:val="60"/>
                              </w:rPr>
                              <w:t>hecklist for Business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30585D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width:439.5pt;height:9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" fillcolor="#231f20" strokecolor="#231f20" strokeweight="6pt">
                <v:path arrowok="t"/>
                <v:textbox inset="0,0,0,0">
                  <w:txbxContent>
                    <w:p w14:paraId="07C59A4B" w14:textId="541E2B27" w:rsidR="00663F6D" w:rsidRDefault="00000000">
                      <w:pPr>
                        <w:spacing w:before="84" w:line="249" w:lineRule="auto"/>
                        <w:ind w:left="2881" w:right="109" w:hanging="2030"/>
                        <w:rPr>
                          <w:b/>
                          <w:color w:val="000000"/>
                          <w:sz w:val="60"/>
                        </w:rPr>
                      </w:pPr>
                      <w:r>
                        <w:rPr>
                          <w:b/>
                          <w:color w:val="FFFFFF"/>
                          <w:sz w:val="60"/>
                        </w:rPr>
                        <w:t>2025/26</w:t>
                      </w:r>
                      <w:r>
                        <w:rPr>
                          <w:b/>
                          <w:color w:val="FFFFFF"/>
                          <w:spacing w:val="-42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60"/>
                        </w:rPr>
                        <w:t>Year-end</w:t>
                      </w:r>
                      <w:r>
                        <w:rPr>
                          <w:b/>
                          <w:color w:val="FFFFFF"/>
                          <w:spacing w:val="-38"/>
                          <w:sz w:val="60"/>
                        </w:rPr>
                        <w:t xml:space="preserve"> </w:t>
                      </w:r>
                      <w:r w:rsidR="005C4BC4">
                        <w:rPr>
                          <w:b/>
                          <w:color w:val="FFFFFF"/>
                          <w:spacing w:val="-38"/>
                          <w:sz w:val="60"/>
                        </w:rPr>
                        <w:t>C</w:t>
                      </w:r>
                      <w:r>
                        <w:rPr>
                          <w:b/>
                          <w:color w:val="FFFFFF"/>
                          <w:sz w:val="60"/>
                        </w:rPr>
                        <w:t>hecklist for Business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CE8FE8" w14:textId="77777777" w:rsidR="00663F6D" w:rsidRDefault="00000000">
      <w:pPr>
        <w:spacing w:before="30" w:line="249" w:lineRule="auto"/>
        <w:ind w:left="142" w:right="139" w:firstLine="1"/>
        <w:jc w:val="both"/>
        <w:rPr>
          <w:i/>
          <w:sz w:val="21"/>
        </w:rPr>
      </w:pPr>
      <w:r>
        <w:rPr>
          <w:i/>
          <w:color w:val="231F20"/>
          <w:sz w:val="21"/>
        </w:rPr>
        <w:t>Many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business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clients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like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to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review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their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tax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position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before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the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end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of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the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income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year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and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evaluate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any strategies that may be available to legitimately reduce their tax.</w:t>
      </w:r>
      <w:r>
        <w:rPr>
          <w:i/>
          <w:color w:val="231F20"/>
          <w:spacing w:val="40"/>
          <w:sz w:val="21"/>
        </w:rPr>
        <w:t xml:space="preserve"> </w:t>
      </w:r>
      <w:r>
        <w:rPr>
          <w:i/>
          <w:color w:val="231F20"/>
          <w:sz w:val="21"/>
        </w:rPr>
        <w:t>Traditionally, year-end tax planning for profitable small businesses is based around accelerating deductions and deferring income.</w:t>
      </w:r>
    </w:p>
    <w:p w14:paraId="2A7389B4" w14:textId="77777777" w:rsidR="00663F6D" w:rsidRDefault="00000000">
      <w:pPr>
        <w:spacing w:before="118" w:line="249" w:lineRule="auto"/>
        <w:ind w:left="142" w:right="139" w:firstLine="1"/>
        <w:jc w:val="both"/>
        <w:rPr>
          <w:i/>
          <w:sz w:val="21"/>
        </w:rPr>
      </w:pPr>
      <w:r>
        <w:rPr>
          <w:i/>
          <w:color w:val="231F20"/>
          <w:sz w:val="21"/>
        </w:rPr>
        <w:t>Small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Business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Entities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('SBEs')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–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i.e.,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those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with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an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aggregated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turnover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of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less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than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$10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million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>–</w:t>
      </w:r>
      <w:r>
        <w:rPr>
          <w:i/>
          <w:color w:val="231F20"/>
          <w:spacing w:val="-6"/>
          <w:sz w:val="21"/>
        </w:rPr>
        <w:t xml:space="preserve"> </w:t>
      </w:r>
      <w:r>
        <w:rPr>
          <w:i/>
          <w:color w:val="231F20"/>
          <w:sz w:val="21"/>
        </w:rPr>
        <w:t xml:space="preserve">often </w:t>
      </w:r>
      <w:r>
        <w:rPr>
          <w:i/>
          <w:color w:val="231F20"/>
          <w:spacing w:val="-4"/>
          <w:sz w:val="21"/>
        </w:rPr>
        <w:t>have greater tax planning opportunities compared to other businesses, due to certain concessions generally only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applying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to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them.</w:t>
      </w:r>
      <w:r>
        <w:rPr>
          <w:i/>
          <w:color w:val="231F20"/>
          <w:spacing w:val="39"/>
          <w:sz w:val="21"/>
        </w:rPr>
        <w:t xml:space="preserve"> </w:t>
      </w:r>
      <w:r>
        <w:rPr>
          <w:i/>
          <w:color w:val="231F20"/>
          <w:spacing w:val="-4"/>
          <w:sz w:val="21"/>
        </w:rPr>
        <w:t>SBEs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usually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also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have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the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flexibility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to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pick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concessions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that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suit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>their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4"/>
          <w:sz w:val="21"/>
        </w:rPr>
        <w:t xml:space="preserve">circumstances. </w:t>
      </w:r>
      <w:r>
        <w:rPr>
          <w:i/>
          <w:color w:val="231F20"/>
          <w:sz w:val="21"/>
        </w:rPr>
        <w:t>For 2025/26, many of these concessions may also be available to medium-sized businesses ('MSBs'), i.e., businesses with an aggregated turnover of less than $50 million.</w:t>
      </w:r>
    </w:p>
    <w:p w14:paraId="2D7690BD" w14:textId="77777777" w:rsidR="00663F6D" w:rsidRDefault="00000000">
      <w:pPr>
        <w:pStyle w:val="BodyText"/>
        <w:spacing w:before="119"/>
        <w:ind w:left="143" w:firstLine="0"/>
        <w:jc w:val="both"/>
      </w:pP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strategies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considered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all</w:t>
      </w:r>
      <w:r>
        <w:rPr>
          <w:b/>
          <w:color w:val="231F20"/>
          <w:spacing w:val="-3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-2"/>
        </w:rPr>
        <w:t xml:space="preserve"> taxpayers.</w:t>
      </w:r>
    </w:p>
    <w:p w14:paraId="389B6E0A" w14:textId="77777777" w:rsidR="00663F6D" w:rsidRDefault="00663F6D">
      <w:pPr>
        <w:pStyle w:val="BodyText"/>
        <w:spacing w:before="10"/>
        <w:ind w:left="0" w:firstLine="0"/>
        <w:rPr>
          <w:sz w:val="9"/>
        </w:rPr>
      </w:pPr>
    </w:p>
    <w:p w14:paraId="3DD94522" w14:textId="77777777" w:rsidR="00663F6D" w:rsidRDefault="00663F6D">
      <w:pPr>
        <w:pStyle w:val="BodyText"/>
        <w:rPr>
          <w:sz w:val="9"/>
        </w:rPr>
        <w:sectPr w:rsidR="00663F6D" w:rsidSect="00A96F99">
          <w:footerReference w:type="default" r:id="rId8"/>
          <w:pgSz w:w="11910" w:h="16840"/>
          <w:pgMar w:top="284" w:right="1440" w:bottom="1440" w:left="1440" w:header="0" w:footer="240" w:gutter="0"/>
          <w:cols w:space="720"/>
          <w:docGrid w:linePitch="299"/>
        </w:sectPr>
      </w:pPr>
    </w:p>
    <w:p w14:paraId="533DF87A" w14:textId="77777777" w:rsidR="00663F6D" w:rsidRDefault="00000000">
      <w:pPr>
        <w:pStyle w:val="Heading2"/>
        <w:spacing w:before="91" w:line="249" w:lineRule="auto"/>
        <w:ind w:right="383" w:firstLine="1"/>
        <w:jc w:val="center"/>
      </w:pPr>
      <w:proofErr w:type="spellStart"/>
      <w:r>
        <w:rPr>
          <w:color w:val="231F20"/>
        </w:rPr>
        <w:t>Maximising</w:t>
      </w:r>
      <w:proofErr w:type="spellEnd"/>
      <w:r>
        <w:rPr>
          <w:color w:val="231F20"/>
        </w:rPr>
        <w:t xml:space="preserve"> deductions for non-SBE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taxpayers</w:t>
      </w:r>
    </w:p>
    <w:p w14:paraId="0B7232F8" w14:textId="77777777" w:rsidR="00663F6D" w:rsidRDefault="00000000">
      <w:pPr>
        <w:spacing w:before="98" w:line="249" w:lineRule="auto"/>
        <w:ind w:left="142" w:right="38"/>
        <w:jc w:val="both"/>
        <w:rPr>
          <w:sz w:val="21"/>
        </w:rPr>
      </w:pPr>
      <w:r>
        <w:rPr>
          <w:sz w:val="21"/>
        </w:rPr>
        <w:t xml:space="preserve">Deductions can be </w:t>
      </w:r>
      <w:proofErr w:type="spellStart"/>
      <w:r>
        <w:rPr>
          <w:sz w:val="21"/>
        </w:rPr>
        <w:t>maximised</w:t>
      </w:r>
      <w:proofErr w:type="spellEnd"/>
      <w:r>
        <w:rPr>
          <w:sz w:val="21"/>
        </w:rPr>
        <w:t xml:space="preserve"> for non-SBE business taxpayers by </w:t>
      </w:r>
      <w:r>
        <w:rPr>
          <w:b/>
          <w:sz w:val="21"/>
        </w:rPr>
        <w:t>prepaying expenses</w:t>
      </w:r>
      <w:r>
        <w:rPr>
          <w:sz w:val="21"/>
        </w:rPr>
        <w:t xml:space="preserve">, </w:t>
      </w:r>
      <w:r>
        <w:rPr>
          <w:b/>
          <w:sz w:val="21"/>
        </w:rPr>
        <w:t xml:space="preserve">accelerating expenditure </w:t>
      </w:r>
      <w:r>
        <w:rPr>
          <w:sz w:val="21"/>
        </w:rPr>
        <w:t xml:space="preserve">and/or </w:t>
      </w:r>
      <w:r>
        <w:rPr>
          <w:b/>
          <w:sz w:val="21"/>
        </w:rPr>
        <w:t xml:space="preserve">accruing expenses </w:t>
      </w:r>
      <w:r>
        <w:rPr>
          <w:sz w:val="21"/>
        </w:rPr>
        <w:t>that have been incurred.</w:t>
      </w:r>
    </w:p>
    <w:p w14:paraId="371A14FC" w14:textId="77777777" w:rsidR="00663F6D" w:rsidRDefault="00000000">
      <w:pPr>
        <w:pStyle w:val="Heading4"/>
        <w:spacing w:before="206"/>
        <w:jc w:val="center"/>
      </w:pPr>
      <w:r>
        <w:rPr>
          <w:color w:val="231F20"/>
        </w:rPr>
        <w:t xml:space="preserve">Prepayment </w:t>
      </w:r>
      <w:r>
        <w:rPr>
          <w:color w:val="231F20"/>
          <w:spacing w:val="-2"/>
        </w:rPr>
        <w:t>strategies</w:t>
      </w:r>
    </w:p>
    <w:p w14:paraId="7EA3C68F" w14:textId="77777777" w:rsidR="00663F6D" w:rsidRDefault="00000000">
      <w:pPr>
        <w:pStyle w:val="BodyText"/>
        <w:spacing w:before="119" w:line="249" w:lineRule="auto"/>
        <w:ind w:left="142" w:right="45" w:firstLine="1"/>
        <w:jc w:val="center"/>
      </w:pPr>
      <w:r>
        <w:t>Any part of an expense prepayment relating to the period up to 30 June is generally deductible.</w:t>
      </w:r>
    </w:p>
    <w:p w14:paraId="6C0552EF" w14:textId="77777777" w:rsidR="00663F6D" w:rsidRDefault="00000000">
      <w:pPr>
        <w:pStyle w:val="BodyText"/>
        <w:spacing w:before="128" w:line="249" w:lineRule="auto"/>
        <w:ind w:left="142" w:right="46" w:firstLine="1"/>
        <w:jc w:val="both"/>
      </w:pPr>
      <w:r>
        <w:t>In addition, non-SBE taxpayers may generally claim prepayments in full for expenditure that is:</w:t>
      </w:r>
    </w:p>
    <w:p w14:paraId="234B85C0" w14:textId="77777777" w:rsidR="00663F6D" w:rsidRPr="009E57B3" w:rsidRDefault="00000000">
      <w:pPr>
        <w:pStyle w:val="ListParagraph"/>
        <w:numPr>
          <w:ilvl w:val="0"/>
          <w:numId w:val="1"/>
        </w:numPr>
        <w:tabs>
          <w:tab w:val="left" w:pos="538"/>
        </w:tabs>
        <w:spacing w:before="132"/>
        <w:ind w:left="538" w:hanging="396"/>
        <w:rPr>
          <w:sz w:val="24"/>
        </w:rPr>
      </w:pPr>
      <w:r>
        <w:rPr>
          <w:color w:val="231F20"/>
          <w:sz w:val="21"/>
        </w:rPr>
        <w:t xml:space="preserve">under </w:t>
      </w:r>
      <w:r>
        <w:rPr>
          <w:color w:val="231F20"/>
          <w:spacing w:val="-2"/>
          <w:sz w:val="21"/>
        </w:rPr>
        <w:t>$1,000;</w:t>
      </w:r>
    </w:p>
    <w:p w14:paraId="2356D205" w14:textId="77777777" w:rsidR="00663F6D" w:rsidRPr="009E57B3" w:rsidRDefault="00000000">
      <w:pPr>
        <w:pStyle w:val="ListParagraph"/>
        <w:numPr>
          <w:ilvl w:val="0"/>
          <w:numId w:val="1"/>
        </w:numPr>
        <w:tabs>
          <w:tab w:val="left" w:pos="538"/>
        </w:tabs>
        <w:spacing w:before="192" w:line="244" w:lineRule="auto"/>
        <w:ind w:left="538" w:right="44" w:hanging="397"/>
        <w:rPr>
          <w:sz w:val="24"/>
        </w:rPr>
      </w:pPr>
      <w:r>
        <w:rPr>
          <w:color w:val="231F20"/>
          <w:sz w:val="21"/>
        </w:rPr>
        <w:t>made</w:t>
      </w:r>
      <w:r>
        <w:rPr>
          <w:color w:val="231F20"/>
          <w:spacing w:val="-23"/>
          <w:sz w:val="21"/>
        </w:rPr>
        <w:t xml:space="preserve"> </w:t>
      </w:r>
      <w:r>
        <w:rPr>
          <w:color w:val="231F20"/>
          <w:sz w:val="21"/>
        </w:rPr>
        <w:t>under</w:t>
      </w:r>
      <w:r>
        <w:rPr>
          <w:color w:val="231F20"/>
          <w:spacing w:val="-23"/>
          <w:sz w:val="21"/>
        </w:rPr>
        <w:t xml:space="preserve"> </w:t>
      </w:r>
      <w:r>
        <w:rPr>
          <w:color w:val="231F20"/>
          <w:sz w:val="21"/>
        </w:rPr>
        <w:t>a</w:t>
      </w:r>
      <w:r>
        <w:rPr>
          <w:color w:val="231F20"/>
          <w:spacing w:val="-23"/>
          <w:sz w:val="21"/>
        </w:rPr>
        <w:t xml:space="preserve"> </w:t>
      </w:r>
      <w:r>
        <w:rPr>
          <w:color w:val="231F20"/>
          <w:sz w:val="21"/>
        </w:rPr>
        <w:t>'contract</w:t>
      </w:r>
      <w:r>
        <w:rPr>
          <w:color w:val="231F20"/>
          <w:spacing w:val="-23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23"/>
          <w:sz w:val="21"/>
        </w:rPr>
        <w:t xml:space="preserve"> </w:t>
      </w:r>
      <w:r>
        <w:rPr>
          <w:color w:val="231F20"/>
          <w:sz w:val="21"/>
        </w:rPr>
        <w:t>service'</w:t>
      </w:r>
      <w:r>
        <w:rPr>
          <w:color w:val="231F20"/>
          <w:spacing w:val="-23"/>
          <w:sz w:val="21"/>
        </w:rPr>
        <w:t xml:space="preserve"> </w:t>
      </w:r>
      <w:r>
        <w:rPr>
          <w:color w:val="231F20"/>
          <w:sz w:val="21"/>
        </w:rPr>
        <w:t>(e.g.,</w:t>
      </w:r>
      <w:r>
        <w:rPr>
          <w:color w:val="231F20"/>
          <w:spacing w:val="-23"/>
          <w:sz w:val="21"/>
        </w:rPr>
        <w:t xml:space="preserve"> </w:t>
      </w:r>
      <w:r>
        <w:rPr>
          <w:color w:val="231F20"/>
          <w:sz w:val="21"/>
        </w:rPr>
        <w:t>salary and wages); or</w:t>
      </w:r>
    </w:p>
    <w:p w14:paraId="54C3D74B" w14:textId="77777777" w:rsidR="00663F6D" w:rsidRPr="009E57B3" w:rsidRDefault="00000000">
      <w:pPr>
        <w:pStyle w:val="ListParagraph"/>
        <w:numPr>
          <w:ilvl w:val="0"/>
          <w:numId w:val="1"/>
        </w:numPr>
        <w:tabs>
          <w:tab w:val="left" w:pos="538"/>
        </w:tabs>
        <w:spacing w:before="192"/>
        <w:ind w:left="538" w:hanging="396"/>
        <w:rPr>
          <w:sz w:val="24"/>
        </w:rPr>
      </w:pPr>
      <w:r>
        <w:rPr>
          <w:color w:val="231F20"/>
          <w:sz w:val="21"/>
        </w:rPr>
        <w:t>required</w:t>
      </w:r>
      <w:r>
        <w:rPr>
          <w:color w:val="231F20"/>
          <w:spacing w:val="-4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be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incurred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z w:val="21"/>
        </w:rPr>
        <w:t>under</w:t>
      </w:r>
      <w:r>
        <w:rPr>
          <w:color w:val="231F20"/>
          <w:spacing w:val="-3"/>
          <w:sz w:val="21"/>
        </w:rPr>
        <w:t xml:space="preserve"> </w:t>
      </w:r>
      <w:r>
        <w:rPr>
          <w:color w:val="231F20"/>
          <w:spacing w:val="-4"/>
          <w:sz w:val="21"/>
        </w:rPr>
        <w:t>law.</w:t>
      </w:r>
    </w:p>
    <w:p w14:paraId="78272B0A" w14:textId="77777777" w:rsidR="00663F6D" w:rsidRDefault="00000000">
      <w:pPr>
        <w:spacing w:before="175" w:line="249" w:lineRule="auto"/>
        <w:ind w:left="142" w:right="45" w:firstLine="1"/>
        <w:jc w:val="both"/>
        <w:rPr>
          <w:i/>
          <w:sz w:val="21"/>
        </w:rPr>
      </w:pPr>
      <w:r>
        <w:rPr>
          <w:i/>
          <w:color w:val="231F20"/>
          <w:sz w:val="21"/>
        </w:rPr>
        <w:t>Note: Medium-sized businesses ('MSBs') may</w:t>
      </w:r>
      <w:r>
        <w:rPr>
          <w:i/>
          <w:color w:val="231F20"/>
          <w:spacing w:val="40"/>
          <w:sz w:val="21"/>
        </w:rPr>
        <w:t xml:space="preserve"> </w:t>
      </w:r>
      <w:r>
        <w:rPr>
          <w:i/>
          <w:color w:val="231F20"/>
          <w:sz w:val="21"/>
        </w:rPr>
        <w:t>be</w:t>
      </w:r>
      <w:r>
        <w:rPr>
          <w:i/>
          <w:color w:val="231F20"/>
          <w:spacing w:val="-7"/>
          <w:sz w:val="21"/>
        </w:rPr>
        <w:t xml:space="preserve"> </w:t>
      </w:r>
      <w:r>
        <w:rPr>
          <w:i/>
          <w:color w:val="231F20"/>
          <w:sz w:val="21"/>
        </w:rPr>
        <w:t>able</w:t>
      </w:r>
      <w:r>
        <w:rPr>
          <w:i/>
          <w:color w:val="231F20"/>
          <w:spacing w:val="-7"/>
          <w:sz w:val="21"/>
        </w:rPr>
        <w:t xml:space="preserve"> </w:t>
      </w:r>
      <w:r>
        <w:rPr>
          <w:i/>
          <w:color w:val="231F20"/>
          <w:sz w:val="21"/>
        </w:rPr>
        <w:t>to</w:t>
      </w:r>
      <w:r>
        <w:rPr>
          <w:i/>
          <w:color w:val="231F20"/>
          <w:spacing w:val="-7"/>
          <w:sz w:val="21"/>
        </w:rPr>
        <w:t xml:space="preserve"> </w:t>
      </w:r>
      <w:r>
        <w:rPr>
          <w:i/>
          <w:color w:val="231F20"/>
          <w:sz w:val="21"/>
        </w:rPr>
        <w:t>fully</w:t>
      </w:r>
      <w:r>
        <w:rPr>
          <w:i/>
          <w:color w:val="231F20"/>
          <w:spacing w:val="-7"/>
          <w:sz w:val="21"/>
        </w:rPr>
        <w:t xml:space="preserve"> </w:t>
      </w:r>
      <w:r>
        <w:rPr>
          <w:i/>
          <w:color w:val="231F20"/>
          <w:sz w:val="21"/>
        </w:rPr>
        <w:t>deduct</w:t>
      </w:r>
      <w:r>
        <w:rPr>
          <w:i/>
          <w:color w:val="231F20"/>
          <w:spacing w:val="-7"/>
          <w:sz w:val="21"/>
        </w:rPr>
        <w:t xml:space="preserve"> </w:t>
      </w:r>
      <w:r>
        <w:rPr>
          <w:i/>
          <w:color w:val="231F20"/>
          <w:sz w:val="21"/>
        </w:rPr>
        <w:t>certain</w:t>
      </w:r>
      <w:r>
        <w:rPr>
          <w:i/>
          <w:color w:val="231F20"/>
          <w:spacing w:val="-7"/>
          <w:sz w:val="21"/>
        </w:rPr>
        <w:t xml:space="preserve"> </w:t>
      </w:r>
      <w:r>
        <w:rPr>
          <w:i/>
          <w:color w:val="231F20"/>
          <w:sz w:val="21"/>
        </w:rPr>
        <w:t>other</w:t>
      </w:r>
      <w:r>
        <w:rPr>
          <w:i/>
          <w:color w:val="231F20"/>
          <w:spacing w:val="-7"/>
          <w:sz w:val="21"/>
        </w:rPr>
        <w:t xml:space="preserve"> </w:t>
      </w:r>
      <w:r>
        <w:rPr>
          <w:i/>
          <w:color w:val="231F20"/>
          <w:sz w:val="21"/>
        </w:rPr>
        <w:t>prepayments made before 1 July 2026 (refer below).</w:t>
      </w:r>
    </w:p>
    <w:p w14:paraId="11AB13D3" w14:textId="77777777" w:rsidR="00663F6D" w:rsidRDefault="00000000">
      <w:pPr>
        <w:pStyle w:val="Heading4"/>
        <w:spacing w:before="149"/>
        <w:ind w:left="1059"/>
      </w:pPr>
      <w:r>
        <w:rPr>
          <w:color w:val="231F20"/>
          <w:spacing w:val="-9"/>
        </w:rPr>
        <w:t>Accelerating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expenditure</w:t>
      </w:r>
    </w:p>
    <w:p w14:paraId="6B243C6C" w14:textId="77777777" w:rsidR="00663F6D" w:rsidRDefault="00000000">
      <w:pPr>
        <w:pStyle w:val="BodyText"/>
        <w:spacing w:before="119" w:line="249" w:lineRule="auto"/>
        <w:ind w:left="142" w:right="45" w:firstLine="1"/>
        <w:jc w:val="both"/>
      </w:pPr>
      <w:r>
        <w:rPr>
          <w:color w:val="231F20"/>
          <w:spacing w:val="-4"/>
        </w:rPr>
        <w:t xml:space="preserve">Accelerating expenditure involves bringing forward </w:t>
      </w:r>
      <w:r>
        <w:rPr>
          <w:color w:val="231F20"/>
        </w:rPr>
        <w:t>business expenditure on deductible items (e.g., consumables, repairs and maintenance).</w:t>
      </w:r>
    </w:p>
    <w:p w14:paraId="682EF2F8" w14:textId="77777777" w:rsidR="00663F6D" w:rsidRDefault="00000000">
      <w:pPr>
        <w:pStyle w:val="Heading5"/>
        <w:spacing w:before="106"/>
        <w:ind w:firstLine="0"/>
        <w:jc w:val="both"/>
      </w:pPr>
      <w:r>
        <w:rPr>
          <w:b w:val="0"/>
        </w:rPr>
        <w:br w:type="column"/>
      </w:r>
      <w:r>
        <w:rPr>
          <w:color w:val="231F20"/>
        </w:rPr>
        <w:t xml:space="preserve">Superannuation </w:t>
      </w:r>
      <w:r>
        <w:rPr>
          <w:color w:val="231F20"/>
          <w:spacing w:val="-2"/>
        </w:rPr>
        <w:t>contributions</w:t>
      </w:r>
    </w:p>
    <w:p w14:paraId="6C2BF81F" w14:textId="77777777" w:rsidR="00663F6D" w:rsidRDefault="00000000">
      <w:pPr>
        <w:pStyle w:val="BodyText"/>
        <w:spacing w:before="11" w:line="249" w:lineRule="auto"/>
        <w:ind w:left="142" w:right="141" w:firstLine="1"/>
        <w:jc w:val="both"/>
      </w:pPr>
      <w:r>
        <w:rPr>
          <w:color w:val="231F20"/>
          <w:spacing w:val="-4"/>
        </w:rPr>
        <w:t>Businesses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(including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SBEs)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can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generally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claim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a </w:t>
      </w:r>
      <w:r>
        <w:rPr>
          <w:color w:val="231F20"/>
        </w:rPr>
        <w:t>deduction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superannuation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made 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complying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fund)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by 30 June 2026.</w:t>
      </w:r>
    </w:p>
    <w:p w14:paraId="6DDAA9E8" w14:textId="77777777" w:rsidR="00663F6D" w:rsidRDefault="00663F6D">
      <w:pPr>
        <w:pStyle w:val="BodyText"/>
        <w:spacing w:before="72"/>
        <w:ind w:left="0" w:firstLine="0"/>
      </w:pPr>
    </w:p>
    <w:p w14:paraId="78B511CE" w14:textId="77777777" w:rsidR="00663F6D" w:rsidRDefault="00000000">
      <w:pPr>
        <w:pStyle w:val="Heading5"/>
        <w:spacing w:before="1"/>
        <w:ind w:firstLine="0"/>
        <w:jc w:val="both"/>
      </w:pPr>
      <w:r>
        <w:rPr>
          <w:color w:val="231F20"/>
        </w:rPr>
        <w:t>Fringe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benefits</w:t>
      </w:r>
    </w:p>
    <w:p w14:paraId="5578F4A9" w14:textId="77777777" w:rsidR="00663F6D" w:rsidRDefault="00000000">
      <w:pPr>
        <w:pStyle w:val="BodyText"/>
        <w:spacing w:before="11" w:line="249" w:lineRule="auto"/>
        <w:ind w:left="142" w:right="140" w:firstLine="1"/>
        <w:jc w:val="both"/>
      </w:pPr>
      <w:r>
        <w:rPr>
          <w:color w:val="231F20"/>
        </w:rPr>
        <w:t>Businesses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(including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SBEs)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claim a deduction for the cost of fringe benefits (such as property benefits) they provide to employees before 30 June 2026.</w:t>
      </w:r>
    </w:p>
    <w:p w14:paraId="1C4ED5BB" w14:textId="77777777" w:rsidR="00663F6D" w:rsidRDefault="00663F6D">
      <w:pPr>
        <w:pStyle w:val="BodyText"/>
        <w:spacing w:before="73"/>
        <w:ind w:left="0" w:firstLine="0"/>
      </w:pPr>
    </w:p>
    <w:p w14:paraId="176A34B6" w14:textId="77777777" w:rsidR="00663F6D" w:rsidRDefault="00000000">
      <w:pPr>
        <w:pStyle w:val="Heading5"/>
        <w:spacing w:before="0"/>
        <w:ind w:firstLine="0"/>
        <w:jc w:val="both"/>
      </w:pPr>
      <w:r>
        <w:rPr>
          <w:color w:val="231F20"/>
        </w:rPr>
        <w:t xml:space="preserve">Accelerating </w:t>
      </w:r>
      <w:r>
        <w:rPr>
          <w:color w:val="231F20"/>
          <w:spacing w:val="-2"/>
        </w:rPr>
        <w:t>depreciation</w:t>
      </w:r>
    </w:p>
    <w:p w14:paraId="6074F26C" w14:textId="77777777" w:rsidR="00663F6D" w:rsidRDefault="00000000">
      <w:pPr>
        <w:spacing w:before="11" w:line="249" w:lineRule="auto"/>
        <w:ind w:left="142" w:right="139" w:firstLine="1"/>
        <w:jc w:val="both"/>
        <w:rPr>
          <w:sz w:val="21"/>
        </w:rPr>
      </w:pPr>
      <w:r>
        <w:rPr>
          <w:color w:val="231F20"/>
          <w:sz w:val="21"/>
        </w:rPr>
        <w:t>Non-SBE businesses may claim the following depreciation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deductions</w:t>
      </w:r>
      <w:r>
        <w:rPr>
          <w:color w:val="231F20"/>
          <w:spacing w:val="-9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9"/>
          <w:sz w:val="21"/>
        </w:rPr>
        <w:t xml:space="preserve"> </w:t>
      </w:r>
      <w:r>
        <w:rPr>
          <w:b/>
          <w:color w:val="231F20"/>
          <w:sz w:val="21"/>
        </w:rPr>
        <w:t>depreciating</w:t>
      </w:r>
      <w:r>
        <w:rPr>
          <w:b/>
          <w:color w:val="231F20"/>
          <w:spacing w:val="-14"/>
          <w:sz w:val="21"/>
        </w:rPr>
        <w:t xml:space="preserve"> </w:t>
      </w:r>
      <w:r>
        <w:rPr>
          <w:b/>
          <w:color w:val="231F20"/>
          <w:sz w:val="21"/>
        </w:rPr>
        <w:t xml:space="preserve">assets </w:t>
      </w:r>
      <w:r>
        <w:rPr>
          <w:color w:val="231F20"/>
          <w:sz w:val="21"/>
        </w:rPr>
        <w:t>first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used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(or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installed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ready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business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use)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 xml:space="preserve">by </w:t>
      </w:r>
      <w:r>
        <w:rPr>
          <w:b/>
          <w:color w:val="231F20"/>
          <w:sz w:val="21"/>
        </w:rPr>
        <w:t>30 June 2026</w:t>
      </w:r>
      <w:r>
        <w:rPr>
          <w:color w:val="231F20"/>
          <w:sz w:val="21"/>
        </w:rPr>
        <w:t>:</w:t>
      </w:r>
    </w:p>
    <w:p w14:paraId="0184FDF1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38"/>
        </w:tabs>
        <w:spacing w:before="191" w:line="247" w:lineRule="auto"/>
        <w:ind w:left="538" w:right="140"/>
        <w:jc w:val="both"/>
        <w:rPr>
          <w:sz w:val="24"/>
        </w:rPr>
      </w:pPr>
      <w:r>
        <w:rPr>
          <w:color w:val="231F20"/>
          <w:sz w:val="21"/>
        </w:rPr>
        <w:t>Depreciating assets costing $100 or less (including any GST) can be written off in the year of purchase.</w:t>
      </w:r>
    </w:p>
    <w:p w14:paraId="660EBED2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38"/>
        </w:tabs>
        <w:spacing w:before="190" w:line="247" w:lineRule="auto"/>
        <w:ind w:left="538" w:right="140"/>
        <w:jc w:val="both"/>
        <w:rPr>
          <w:sz w:val="24"/>
        </w:rPr>
      </w:pPr>
      <w:r>
        <w:rPr>
          <w:color w:val="231F20"/>
          <w:sz w:val="21"/>
        </w:rPr>
        <w:t xml:space="preserve">Assets costing less than $1,000 may be </w:t>
      </w:r>
      <w:r>
        <w:rPr>
          <w:color w:val="231F20"/>
          <w:spacing w:val="-4"/>
          <w:sz w:val="21"/>
        </w:rPr>
        <w:t>allocated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pacing w:val="-4"/>
          <w:sz w:val="21"/>
        </w:rPr>
        <w:t>to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pacing w:val="-4"/>
          <w:sz w:val="21"/>
        </w:rPr>
        <w:t>a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4"/>
          <w:sz w:val="21"/>
        </w:rPr>
        <w:t>Low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pacing w:val="-4"/>
          <w:sz w:val="21"/>
        </w:rPr>
        <w:t>Value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pacing w:val="-4"/>
          <w:sz w:val="21"/>
        </w:rPr>
        <w:t>Pool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pacing w:val="-4"/>
          <w:sz w:val="21"/>
        </w:rPr>
        <w:t>and</w:t>
      </w:r>
      <w:r>
        <w:rPr>
          <w:color w:val="231F20"/>
          <w:spacing w:val="-11"/>
          <w:sz w:val="21"/>
        </w:rPr>
        <w:t xml:space="preserve"> </w:t>
      </w:r>
      <w:r>
        <w:rPr>
          <w:color w:val="231F20"/>
          <w:spacing w:val="-4"/>
          <w:sz w:val="21"/>
        </w:rPr>
        <w:t xml:space="preserve">depreciated </w:t>
      </w:r>
      <w:r>
        <w:rPr>
          <w:color w:val="231F20"/>
          <w:sz w:val="21"/>
        </w:rPr>
        <w:t>at a rate of 18.75% and 37.5% thereafter.</w:t>
      </w:r>
    </w:p>
    <w:p w14:paraId="5EBB67F0" w14:textId="77777777" w:rsidR="00663F6D" w:rsidRDefault="00000000">
      <w:pPr>
        <w:pStyle w:val="BodyText"/>
        <w:spacing w:before="174" w:line="249" w:lineRule="auto"/>
        <w:ind w:left="142" w:right="138" w:firstLine="1"/>
        <w:jc w:val="both"/>
      </w:pPr>
      <w:r>
        <w:rPr>
          <w:color w:val="231F20"/>
          <w:spacing w:val="-4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most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other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cases,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asset's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cost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is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depreciated over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its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effective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life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(as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determined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by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taxpayer </w:t>
      </w:r>
      <w:r>
        <w:rPr>
          <w:color w:val="231F20"/>
        </w:rPr>
        <w:t>or the ATO).</w:t>
      </w:r>
    </w:p>
    <w:p w14:paraId="568F4BD6" w14:textId="77777777" w:rsidR="00663F6D" w:rsidRDefault="00663F6D">
      <w:pPr>
        <w:pStyle w:val="BodyText"/>
        <w:spacing w:line="249" w:lineRule="auto"/>
        <w:jc w:val="both"/>
        <w:sectPr w:rsidR="00663F6D">
          <w:type w:val="continuous"/>
          <w:pgSz w:w="11910" w:h="16840"/>
          <w:pgMar w:top="1920" w:right="992" w:bottom="420" w:left="992" w:header="0" w:footer="240" w:gutter="0"/>
          <w:cols w:num="2" w:space="720" w:equalWidth="0">
            <w:col w:w="4725" w:space="378"/>
            <w:col w:w="4823"/>
          </w:cols>
        </w:sectPr>
      </w:pPr>
    </w:p>
    <w:p w14:paraId="525D2EED" w14:textId="77777777" w:rsidR="00663F6D" w:rsidRDefault="00000000">
      <w:pPr>
        <w:spacing w:before="82"/>
        <w:ind w:left="144"/>
        <w:rPr>
          <w:b/>
          <w:i/>
          <w:sz w:val="21"/>
        </w:rPr>
      </w:pPr>
      <w:r>
        <w:rPr>
          <w:b/>
          <w:i/>
          <w:color w:val="231F20"/>
          <w:sz w:val="21"/>
        </w:rPr>
        <w:lastRenderedPageBreak/>
        <w:t>2026</w:t>
      </w:r>
      <w:r>
        <w:rPr>
          <w:b/>
          <w:i/>
          <w:color w:val="231F20"/>
          <w:spacing w:val="-8"/>
          <w:sz w:val="21"/>
        </w:rPr>
        <w:t xml:space="preserve"> </w:t>
      </w:r>
      <w:r>
        <w:rPr>
          <w:b/>
          <w:i/>
          <w:color w:val="231F20"/>
          <w:sz w:val="21"/>
        </w:rPr>
        <w:t>Year-end</w:t>
      </w:r>
      <w:r>
        <w:rPr>
          <w:b/>
          <w:i/>
          <w:color w:val="231F20"/>
          <w:spacing w:val="-3"/>
          <w:sz w:val="21"/>
        </w:rPr>
        <w:t xml:space="preserve"> </w:t>
      </w:r>
      <w:r>
        <w:rPr>
          <w:b/>
          <w:i/>
          <w:color w:val="231F20"/>
          <w:sz w:val="21"/>
        </w:rPr>
        <w:t>Checklist</w:t>
      </w:r>
      <w:r>
        <w:rPr>
          <w:b/>
          <w:i/>
          <w:color w:val="231F20"/>
          <w:spacing w:val="-3"/>
          <w:sz w:val="21"/>
        </w:rPr>
        <w:t xml:space="preserve"> </w:t>
      </w:r>
      <w:r>
        <w:rPr>
          <w:b/>
          <w:i/>
          <w:color w:val="231F20"/>
          <w:sz w:val="21"/>
        </w:rPr>
        <w:t>for</w:t>
      </w:r>
      <w:r>
        <w:rPr>
          <w:b/>
          <w:i/>
          <w:color w:val="231F20"/>
          <w:spacing w:val="-3"/>
          <w:sz w:val="21"/>
        </w:rPr>
        <w:t xml:space="preserve"> </w:t>
      </w:r>
      <w:r>
        <w:rPr>
          <w:b/>
          <w:i/>
          <w:color w:val="231F20"/>
          <w:spacing w:val="-2"/>
          <w:sz w:val="21"/>
        </w:rPr>
        <w:t>Business</w:t>
      </w:r>
    </w:p>
    <w:p w14:paraId="5BDE204C" w14:textId="77777777" w:rsidR="00663F6D" w:rsidRDefault="00000000">
      <w:pPr>
        <w:pStyle w:val="BodyText"/>
        <w:spacing w:before="7"/>
        <w:ind w:left="0" w:firstLine="0"/>
        <w:rPr>
          <w:b/>
          <w:i/>
          <w:sz w:val="4"/>
        </w:rPr>
      </w:pPr>
      <w:r>
        <w:rPr>
          <w:b/>
          <w:i/>
          <w:noProof/>
          <w:sz w:val="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B0A8FA8" wp14:editId="2F35C74C">
                <wp:simplePos x="0" y="0"/>
                <wp:positionH relativeFrom="page">
                  <wp:posOffset>720399</wp:posOffset>
                </wp:positionH>
                <wp:positionV relativeFrom="paragraph">
                  <wp:posOffset>49355</wp:posOffset>
                </wp:positionV>
                <wp:extent cx="612013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B6FA7" id="Graphic 20" o:spid="_x0000_s1026" style="position:absolute;margin-left:56.7pt;margin-top:3.9pt;width:481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" path="m,l6120130,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7389FA85" w14:textId="77777777" w:rsidR="00663F6D" w:rsidRDefault="00663F6D">
      <w:pPr>
        <w:pStyle w:val="BodyText"/>
        <w:spacing w:before="3"/>
        <w:ind w:left="0" w:firstLine="0"/>
        <w:rPr>
          <w:b/>
          <w:i/>
          <w:sz w:val="9"/>
        </w:rPr>
      </w:pPr>
    </w:p>
    <w:p w14:paraId="0F5CA446" w14:textId="77777777" w:rsidR="00663F6D" w:rsidRDefault="00663F6D">
      <w:pPr>
        <w:pStyle w:val="BodyText"/>
        <w:rPr>
          <w:b/>
          <w:i/>
          <w:sz w:val="9"/>
        </w:rPr>
        <w:sectPr w:rsidR="00663F6D">
          <w:pgSz w:w="11910" w:h="16840"/>
          <w:pgMar w:top="460" w:right="992" w:bottom="420" w:left="992" w:header="0" w:footer="240" w:gutter="0"/>
          <w:cols w:space="720"/>
        </w:sectPr>
      </w:pPr>
    </w:p>
    <w:p w14:paraId="7016D0E4" w14:textId="77777777" w:rsidR="00663F6D" w:rsidRDefault="00000000">
      <w:pPr>
        <w:pStyle w:val="Heading4"/>
        <w:spacing w:before="107"/>
        <w:ind w:left="1216"/>
      </w:pPr>
      <w:r>
        <w:rPr>
          <w:color w:val="231F20"/>
        </w:rPr>
        <w:t xml:space="preserve">Accrued </w:t>
      </w:r>
      <w:r>
        <w:rPr>
          <w:color w:val="231F20"/>
          <w:spacing w:val="-2"/>
        </w:rPr>
        <w:t>expenditure</w:t>
      </w:r>
    </w:p>
    <w:p w14:paraId="3658B543" w14:textId="77777777" w:rsidR="00663F6D" w:rsidRDefault="00000000">
      <w:pPr>
        <w:pStyle w:val="BodyText"/>
        <w:spacing w:before="118" w:line="249" w:lineRule="auto"/>
        <w:ind w:left="142" w:right="40" w:firstLine="0"/>
        <w:jc w:val="both"/>
        <w:rPr>
          <w:i/>
        </w:rPr>
      </w:pPr>
      <w:r>
        <w:rPr>
          <w:color w:val="231F20"/>
        </w:rPr>
        <w:t xml:space="preserve">Businesses (including SBEs) can also generally </w:t>
      </w:r>
      <w:r>
        <w:rPr>
          <w:color w:val="231F20"/>
          <w:spacing w:val="-2"/>
        </w:rPr>
        <w:t>claim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deduction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certain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expenditure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'incurred' </w:t>
      </w:r>
      <w:r>
        <w:rPr>
          <w:color w:val="231F20"/>
        </w:rPr>
        <w:t xml:space="preserve">as </w:t>
      </w:r>
      <w:proofErr w:type="gramStart"/>
      <w:r>
        <w:rPr>
          <w:color w:val="231F20"/>
        </w:rPr>
        <w:t>at</w:t>
      </w:r>
      <w:proofErr w:type="gramEnd"/>
      <w:r>
        <w:rPr>
          <w:color w:val="231F20"/>
        </w:rPr>
        <w:t xml:space="preserve"> 30 June 2026, even if the expenses were not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actually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year-end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(e.g.,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invoice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for </w:t>
      </w:r>
      <w:r>
        <w:rPr>
          <w:color w:val="231F20"/>
          <w:spacing w:val="-2"/>
        </w:rPr>
        <w:t>services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rendered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issued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June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but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not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paid </w:t>
      </w:r>
      <w:r>
        <w:rPr>
          <w:color w:val="231F20"/>
        </w:rPr>
        <w:t>until July 2026)</w:t>
      </w:r>
      <w:r>
        <w:rPr>
          <w:i/>
          <w:color w:val="231F20"/>
        </w:rPr>
        <w:t>.</w:t>
      </w:r>
    </w:p>
    <w:p w14:paraId="042E9DB1" w14:textId="77777777" w:rsidR="00663F6D" w:rsidRDefault="00000000">
      <w:pPr>
        <w:pStyle w:val="BodyText"/>
        <w:spacing w:before="203" w:line="249" w:lineRule="auto"/>
        <w:ind w:left="142" w:right="40" w:firstLine="0"/>
        <w:jc w:val="both"/>
      </w:pPr>
      <w:r>
        <w:rPr>
          <w:color w:val="231F20"/>
        </w:rPr>
        <w:t>Examples of other accrued expenses that may be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claimed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tax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deduction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2025/26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include:</w:t>
      </w:r>
    </w:p>
    <w:p w14:paraId="0B643452" w14:textId="77777777" w:rsidR="00663F6D" w:rsidRPr="009E57B3" w:rsidRDefault="00000000">
      <w:pPr>
        <w:pStyle w:val="ListParagraph"/>
        <w:numPr>
          <w:ilvl w:val="0"/>
          <w:numId w:val="1"/>
        </w:numPr>
        <w:tabs>
          <w:tab w:val="left" w:pos="521"/>
          <w:tab w:val="left" w:pos="539"/>
        </w:tabs>
        <w:spacing w:before="237" w:line="249" w:lineRule="auto"/>
        <w:ind w:right="40" w:hanging="397"/>
        <w:jc w:val="both"/>
        <w:rPr>
          <w:sz w:val="21"/>
        </w:rPr>
      </w:pPr>
      <w:r>
        <w:rPr>
          <w:b/>
          <w:color w:val="231F20"/>
          <w:spacing w:val="-6"/>
          <w:sz w:val="21"/>
        </w:rPr>
        <w:t>salary</w:t>
      </w:r>
      <w:r>
        <w:rPr>
          <w:b/>
          <w:color w:val="231F20"/>
          <w:spacing w:val="-8"/>
          <w:sz w:val="21"/>
        </w:rPr>
        <w:t xml:space="preserve"> </w:t>
      </w:r>
      <w:r>
        <w:rPr>
          <w:b/>
          <w:color w:val="231F20"/>
          <w:spacing w:val="-6"/>
          <w:sz w:val="21"/>
        </w:rPr>
        <w:t>or</w:t>
      </w:r>
      <w:r>
        <w:rPr>
          <w:b/>
          <w:color w:val="231F20"/>
          <w:spacing w:val="-8"/>
          <w:sz w:val="21"/>
        </w:rPr>
        <w:t xml:space="preserve"> </w:t>
      </w:r>
      <w:r>
        <w:rPr>
          <w:b/>
          <w:color w:val="231F20"/>
          <w:spacing w:val="-6"/>
          <w:sz w:val="21"/>
        </w:rPr>
        <w:t>wages</w:t>
      </w:r>
      <w:r>
        <w:rPr>
          <w:b/>
          <w:color w:val="231F20"/>
          <w:spacing w:val="-8"/>
          <w:sz w:val="21"/>
        </w:rPr>
        <w:t xml:space="preserve"> </w:t>
      </w:r>
      <w:r>
        <w:rPr>
          <w:b/>
          <w:color w:val="231F20"/>
          <w:spacing w:val="-6"/>
          <w:sz w:val="21"/>
        </w:rPr>
        <w:t>and</w:t>
      </w:r>
      <w:r>
        <w:rPr>
          <w:b/>
          <w:color w:val="231F20"/>
          <w:spacing w:val="-8"/>
          <w:sz w:val="21"/>
        </w:rPr>
        <w:t xml:space="preserve"> </w:t>
      </w:r>
      <w:r>
        <w:rPr>
          <w:b/>
          <w:color w:val="231F20"/>
          <w:spacing w:val="-6"/>
          <w:sz w:val="21"/>
        </w:rPr>
        <w:t>bonuses</w:t>
      </w:r>
      <w:r>
        <w:rPr>
          <w:b/>
          <w:color w:val="231F20"/>
          <w:spacing w:val="-9"/>
          <w:sz w:val="21"/>
        </w:rPr>
        <w:t xml:space="preserve"> </w:t>
      </w:r>
      <w:r>
        <w:rPr>
          <w:color w:val="231F20"/>
          <w:spacing w:val="-6"/>
          <w:sz w:val="21"/>
        </w:rPr>
        <w:t>accrued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pacing w:val="-6"/>
          <w:sz w:val="21"/>
        </w:rPr>
        <w:t>for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6"/>
          <w:sz w:val="21"/>
        </w:rPr>
        <w:t xml:space="preserve">the </w:t>
      </w:r>
      <w:r>
        <w:rPr>
          <w:color w:val="231F20"/>
          <w:sz w:val="21"/>
        </w:rPr>
        <w:t>number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days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that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employees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have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 xml:space="preserve">worked but have not been paid as </w:t>
      </w:r>
      <w:proofErr w:type="gramStart"/>
      <w:r>
        <w:rPr>
          <w:color w:val="231F20"/>
          <w:sz w:val="21"/>
        </w:rPr>
        <w:t>at</w:t>
      </w:r>
      <w:proofErr w:type="gramEnd"/>
      <w:r>
        <w:rPr>
          <w:color w:val="231F20"/>
          <w:sz w:val="21"/>
        </w:rPr>
        <w:t xml:space="preserve"> 30 June 2026;</w:t>
      </w:r>
    </w:p>
    <w:p w14:paraId="1E37D6ED" w14:textId="77777777" w:rsidR="00663F6D" w:rsidRPr="009E57B3" w:rsidRDefault="00000000">
      <w:pPr>
        <w:pStyle w:val="ListParagraph"/>
        <w:numPr>
          <w:ilvl w:val="0"/>
          <w:numId w:val="1"/>
        </w:numPr>
        <w:tabs>
          <w:tab w:val="left" w:pos="521"/>
          <w:tab w:val="left" w:pos="539"/>
        </w:tabs>
        <w:spacing w:before="180" w:line="249" w:lineRule="auto"/>
        <w:ind w:right="41" w:hanging="397"/>
        <w:jc w:val="both"/>
        <w:rPr>
          <w:sz w:val="21"/>
        </w:rPr>
      </w:pPr>
      <w:r>
        <w:rPr>
          <w:color w:val="231F20"/>
          <w:sz w:val="21"/>
        </w:rPr>
        <w:t xml:space="preserve">accrued </w:t>
      </w:r>
      <w:r>
        <w:rPr>
          <w:b/>
          <w:color w:val="231F20"/>
          <w:sz w:val="21"/>
        </w:rPr>
        <w:t xml:space="preserve">interest </w:t>
      </w:r>
      <w:r>
        <w:rPr>
          <w:color w:val="231F20"/>
          <w:sz w:val="21"/>
        </w:rPr>
        <w:t>outstanding on a business loan that has not been paid;</w:t>
      </w:r>
    </w:p>
    <w:p w14:paraId="5F3D1138" w14:textId="77777777" w:rsidR="00663F6D" w:rsidRPr="009E57B3" w:rsidRDefault="00000000">
      <w:pPr>
        <w:pStyle w:val="ListParagraph"/>
        <w:numPr>
          <w:ilvl w:val="0"/>
          <w:numId w:val="1"/>
        </w:numPr>
        <w:tabs>
          <w:tab w:val="left" w:pos="521"/>
          <w:tab w:val="left" w:pos="539"/>
        </w:tabs>
        <w:spacing w:before="143" w:line="249" w:lineRule="auto"/>
        <w:ind w:right="40" w:hanging="397"/>
        <w:jc w:val="both"/>
        <w:rPr>
          <w:sz w:val="21"/>
        </w:rPr>
      </w:pPr>
      <w:r>
        <w:rPr>
          <w:b/>
          <w:color w:val="231F20"/>
          <w:sz w:val="21"/>
        </w:rPr>
        <w:t>commission</w:t>
      </w:r>
      <w:r>
        <w:rPr>
          <w:b/>
          <w:color w:val="231F20"/>
          <w:spacing w:val="39"/>
          <w:sz w:val="21"/>
        </w:rPr>
        <w:t xml:space="preserve"> </w:t>
      </w:r>
      <w:r>
        <w:rPr>
          <w:color w:val="231F20"/>
          <w:sz w:val="21"/>
        </w:rPr>
        <w:t>payments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owing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to</w:t>
      </w:r>
      <w:r>
        <w:rPr>
          <w:color w:val="231F20"/>
          <w:spacing w:val="-10"/>
          <w:sz w:val="21"/>
        </w:rPr>
        <w:t xml:space="preserve"> </w:t>
      </w:r>
      <w:r>
        <w:rPr>
          <w:color w:val="231F20"/>
          <w:sz w:val="21"/>
        </w:rPr>
        <w:t>employees or other external parties;</w:t>
      </w:r>
    </w:p>
    <w:p w14:paraId="44CA8A5A" w14:textId="77777777" w:rsidR="00663F6D" w:rsidRPr="009E57B3" w:rsidRDefault="00000000">
      <w:pPr>
        <w:pStyle w:val="ListParagraph"/>
        <w:numPr>
          <w:ilvl w:val="0"/>
          <w:numId w:val="1"/>
        </w:numPr>
        <w:tabs>
          <w:tab w:val="left" w:pos="521"/>
          <w:tab w:val="left" w:pos="539"/>
        </w:tabs>
        <w:spacing w:before="161" w:line="247" w:lineRule="auto"/>
        <w:ind w:right="40" w:hanging="397"/>
        <w:jc w:val="both"/>
        <w:rPr>
          <w:sz w:val="24"/>
        </w:rPr>
      </w:pPr>
      <w:r>
        <w:rPr>
          <w:color w:val="231F20"/>
          <w:sz w:val="21"/>
        </w:rPr>
        <w:t xml:space="preserve">the </w:t>
      </w:r>
      <w:r>
        <w:rPr>
          <w:b/>
          <w:color w:val="231F20"/>
          <w:sz w:val="21"/>
        </w:rPr>
        <w:t xml:space="preserve">fringe benefits tax ('FBT') instalment </w:t>
      </w:r>
      <w:r>
        <w:rPr>
          <w:color w:val="231F20"/>
          <w:sz w:val="21"/>
        </w:rPr>
        <w:t>for the June 2026 quarter, if it is due but not payable until July 2026; and</w:t>
      </w:r>
    </w:p>
    <w:p w14:paraId="292A85F3" w14:textId="77777777" w:rsidR="00663F6D" w:rsidRPr="009E57B3" w:rsidRDefault="00000000">
      <w:pPr>
        <w:pStyle w:val="ListParagraph"/>
        <w:numPr>
          <w:ilvl w:val="0"/>
          <w:numId w:val="1"/>
        </w:numPr>
        <w:tabs>
          <w:tab w:val="left" w:pos="521"/>
          <w:tab w:val="left" w:pos="539"/>
        </w:tabs>
        <w:spacing w:before="181" w:line="249" w:lineRule="auto"/>
        <w:ind w:right="40" w:hanging="397"/>
        <w:jc w:val="both"/>
        <w:rPr>
          <w:sz w:val="21"/>
        </w:rPr>
      </w:pPr>
      <w:r>
        <w:rPr>
          <w:b/>
          <w:color w:val="231F20"/>
          <w:sz w:val="21"/>
        </w:rPr>
        <w:t>directors’</w:t>
      </w:r>
      <w:r>
        <w:rPr>
          <w:b/>
          <w:color w:val="231F20"/>
          <w:spacing w:val="-15"/>
          <w:sz w:val="21"/>
        </w:rPr>
        <w:t xml:space="preserve"> </w:t>
      </w:r>
      <w:r>
        <w:rPr>
          <w:b/>
          <w:color w:val="231F20"/>
          <w:sz w:val="21"/>
        </w:rPr>
        <w:t>fees</w:t>
      </w:r>
      <w:r>
        <w:rPr>
          <w:b/>
          <w:color w:val="231F20"/>
          <w:spacing w:val="-10"/>
          <w:sz w:val="21"/>
        </w:rPr>
        <w:t xml:space="preserve"> </w:t>
      </w:r>
      <w:proofErr w:type="gramStart"/>
      <w:r>
        <w:rPr>
          <w:b/>
          <w:color w:val="231F20"/>
          <w:sz w:val="21"/>
        </w:rPr>
        <w:t>payable</w:t>
      </w:r>
      <w:proofErr w:type="gramEnd"/>
      <w:r>
        <w:rPr>
          <w:b/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as</w:t>
      </w:r>
      <w:r>
        <w:rPr>
          <w:color w:val="231F20"/>
          <w:spacing w:val="-7"/>
          <w:sz w:val="21"/>
        </w:rPr>
        <w:t xml:space="preserve"> </w:t>
      </w:r>
      <w:proofErr w:type="gramStart"/>
      <w:r>
        <w:rPr>
          <w:color w:val="231F20"/>
          <w:sz w:val="21"/>
        </w:rPr>
        <w:t>at</w:t>
      </w:r>
      <w:proofErr w:type="gramEnd"/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30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June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2026, where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company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is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definitively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committed to the payment.</w:t>
      </w:r>
    </w:p>
    <w:p w14:paraId="5F617A4A" w14:textId="77777777" w:rsidR="00663F6D" w:rsidRDefault="00663F6D">
      <w:pPr>
        <w:pStyle w:val="BodyText"/>
        <w:spacing w:before="136"/>
        <w:ind w:left="0" w:firstLine="0"/>
      </w:pPr>
    </w:p>
    <w:p w14:paraId="399D5FDF" w14:textId="77777777" w:rsidR="00663F6D" w:rsidRDefault="00000000">
      <w:pPr>
        <w:pStyle w:val="Heading2"/>
        <w:spacing w:line="232" w:lineRule="auto"/>
        <w:ind w:left="1429"/>
      </w:pPr>
      <w:proofErr w:type="spellStart"/>
      <w:r>
        <w:rPr>
          <w:color w:val="231F20"/>
        </w:rPr>
        <w:t>Maximising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deductions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for SBE taxpayers</w:t>
      </w:r>
    </w:p>
    <w:p w14:paraId="6573B292" w14:textId="77777777" w:rsidR="00663F6D" w:rsidRDefault="00000000">
      <w:pPr>
        <w:spacing w:before="138" w:line="249" w:lineRule="auto"/>
        <w:ind w:left="143" w:right="38" w:firstLine="1"/>
        <w:jc w:val="both"/>
        <w:rPr>
          <w:sz w:val="21"/>
        </w:rPr>
      </w:pPr>
      <w:r>
        <w:rPr>
          <w:color w:val="231F20"/>
          <w:sz w:val="21"/>
        </w:rPr>
        <w:t>Deductions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can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be</w:t>
      </w:r>
      <w:r>
        <w:rPr>
          <w:color w:val="231F20"/>
          <w:spacing w:val="-14"/>
          <w:sz w:val="21"/>
        </w:rPr>
        <w:t xml:space="preserve"> </w:t>
      </w:r>
      <w:proofErr w:type="spellStart"/>
      <w:r>
        <w:rPr>
          <w:color w:val="231F20"/>
          <w:sz w:val="21"/>
        </w:rPr>
        <w:t>maximised</w:t>
      </w:r>
      <w:proofErr w:type="spellEnd"/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SBE</w:t>
      </w:r>
      <w:r>
        <w:rPr>
          <w:color w:val="231F20"/>
          <w:spacing w:val="19"/>
          <w:sz w:val="21"/>
        </w:rPr>
        <w:t xml:space="preserve"> </w:t>
      </w:r>
      <w:r>
        <w:rPr>
          <w:color w:val="231F20"/>
          <w:sz w:val="21"/>
        </w:rPr>
        <w:t xml:space="preserve">taxpayers by </w:t>
      </w:r>
      <w:r>
        <w:rPr>
          <w:b/>
          <w:color w:val="231F20"/>
          <w:sz w:val="21"/>
        </w:rPr>
        <w:t xml:space="preserve">accelerating expenditure </w:t>
      </w:r>
      <w:r>
        <w:rPr>
          <w:color w:val="231F20"/>
          <w:sz w:val="21"/>
        </w:rPr>
        <w:t xml:space="preserve">and/or </w:t>
      </w:r>
      <w:r>
        <w:rPr>
          <w:b/>
          <w:color w:val="231F20"/>
          <w:sz w:val="21"/>
        </w:rPr>
        <w:t xml:space="preserve">prepaying </w:t>
      </w:r>
      <w:r>
        <w:rPr>
          <w:color w:val="231F20"/>
          <w:sz w:val="21"/>
        </w:rPr>
        <w:t>deductible business expenses (</w:t>
      </w:r>
      <w:proofErr w:type="gramStart"/>
      <w:r>
        <w:rPr>
          <w:color w:val="231F20"/>
          <w:sz w:val="21"/>
        </w:rPr>
        <w:t>and also</w:t>
      </w:r>
      <w:proofErr w:type="gramEnd"/>
      <w:r>
        <w:rPr>
          <w:color w:val="231F20"/>
          <w:sz w:val="21"/>
        </w:rPr>
        <w:t xml:space="preserve"> by </w:t>
      </w:r>
      <w:r>
        <w:rPr>
          <w:b/>
          <w:color w:val="231F20"/>
          <w:sz w:val="21"/>
        </w:rPr>
        <w:t xml:space="preserve">accruing expenditure </w:t>
      </w:r>
      <w:r>
        <w:rPr>
          <w:color w:val="231F20"/>
          <w:sz w:val="21"/>
        </w:rPr>
        <w:t>– as discussed above).</w:t>
      </w:r>
    </w:p>
    <w:p w14:paraId="22966C99" w14:textId="77777777" w:rsidR="00663F6D" w:rsidRDefault="00663F6D">
      <w:pPr>
        <w:pStyle w:val="BodyText"/>
        <w:spacing w:before="21"/>
        <w:ind w:left="0" w:firstLine="0"/>
      </w:pPr>
    </w:p>
    <w:p w14:paraId="7FD0F016" w14:textId="77777777" w:rsidR="00663F6D" w:rsidRDefault="00000000">
      <w:pPr>
        <w:pStyle w:val="Heading4"/>
        <w:ind w:left="1181"/>
      </w:pPr>
      <w:r>
        <w:rPr>
          <w:color w:val="231F20"/>
        </w:rPr>
        <w:t xml:space="preserve">Prepayment </w:t>
      </w:r>
      <w:r>
        <w:rPr>
          <w:color w:val="231F20"/>
          <w:spacing w:val="-2"/>
        </w:rPr>
        <w:t>strategies</w:t>
      </w:r>
    </w:p>
    <w:p w14:paraId="0D977947" w14:textId="77777777" w:rsidR="00663F6D" w:rsidRDefault="00000000">
      <w:pPr>
        <w:pStyle w:val="BodyText"/>
        <w:spacing w:before="118" w:line="249" w:lineRule="auto"/>
        <w:ind w:left="142" w:right="40" w:firstLine="0"/>
        <w:jc w:val="both"/>
      </w:pPr>
      <w:r>
        <w:rPr>
          <w:spacing w:val="-2"/>
        </w:rPr>
        <w:t>SBEs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medium-sized</w:t>
      </w:r>
      <w:r>
        <w:rPr>
          <w:spacing w:val="-12"/>
        </w:rPr>
        <w:t xml:space="preserve"> </w:t>
      </w:r>
      <w:r>
        <w:rPr>
          <w:spacing w:val="-2"/>
        </w:rPr>
        <w:t>businesses</w:t>
      </w:r>
      <w:r>
        <w:rPr>
          <w:spacing w:val="-13"/>
        </w:rPr>
        <w:t xml:space="preserve"> </w:t>
      </w:r>
      <w:r>
        <w:rPr>
          <w:spacing w:val="-2"/>
        </w:rPr>
        <w:t>('MSBs')</w:t>
      </w:r>
      <w:r>
        <w:rPr>
          <w:spacing w:val="-12"/>
        </w:rPr>
        <w:t xml:space="preserve"> </w:t>
      </w:r>
      <w:r>
        <w:rPr>
          <w:spacing w:val="-2"/>
        </w:rPr>
        <w:t xml:space="preserve">that </w:t>
      </w:r>
      <w:r>
        <w:rPr>
          <w:spacing w:val="-4"/>
        </w:rPr>
        <w:t>make</w:t>
      </w:r>
      <w:r>
        <w:rPr>
          <w:spacing w:val="-8"/>
        </w:rPr>
        <w:t xml:space="preserve"> </w:t>
      </w:r>
      <w:r>
        <w:rPr>
          <w:spacing w:val="-4"/>
        </w:rPr>
        <w:t>prepayments</w:t>
      </w:r>
      <w:r>
        <w:rPr>
          <w:spacing w:val="-8"/>
        </w:rPr>
        <w:t xml:space="preserve"> </w:t>
      </w:r>
      <w:r>
        <w:rPr>
          <w:spacing w:val="-4"/>
        </w:rPr>
        <w:t>before</w:t>
      </w:r>
      <w:r>
        <w:rPr>
          <w:spacing w:val="-8"/>
        </w:rPr>
        <w:t xml:space="preserve"> </w:t>
      </w:r>
      <w:r>
        <w:rPr>
          <w:spacing w:val="-4"/>
        </w:rPr>
        <w:t>1</w:t>
      </w:r>
      <w:r>
        <w:rPr>
          <w:spacing w:val="-8"/>
        </w:rPr>
        <w:t xml:space="preserve"> </w:t>
      </w:r>
      <w:r>
        <w:rPr>
          <w:spacing w:val="-4"/>
        </w:rPr>
        <w:t>July</w:t>
      </w:r>
      <w:r>
        <w:rPr>
          <w:spacing w:val="-8"/>
        </w:rPr>
        <w:t xml:space="preserve"> </w:t>
      </w:r>
      <w:r>
        <w:rPr>
          <w:spacing w:val="-4"/>
        </w:rPr>
        <w:t>2026</w:t>
      </w:r>
      <w:r>
        <w:rPr>
          <w:spacing w:val="-8"/>
        </w:rPr>
        <w:t xml:space="preserve"> </w:t>
      </w:r>
      <w:r>
        <w:rPr>
          <w:spacing w:val="-4"/>
        </w:rPr>
        <w:t>can</w:t>
      </w:r>
      <w:r>
        <w:rPr>
          <w:spacing w:val="-8"/>
        </w:rPr>
        <w:t xml:space="preserve"> </w:t>
      </w:r>
      <w:r>
        <w:rPr>
          <w:spacing w:val="-4"/>
        </w:rPr>
        <w:t xml:space="preserve">choose </w:t>
      </w:r>
      <w:r>
        <w:t>to claim a full deduction in the year of payment (i.e., in 2025/26), if the payment covers a period of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months</w:t>
      </w:r>
      <w:r>
        <w:rPr>
          <w:spacing w:val="-4"/>
        </w:rPr>
        <w:t xml:space="preserve"> </w:t>
      </w:r>
      <w:r>
        <w:t>(ending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 xml:space="preserve">July </w:t>
      </w:r>
      <w:r>
        <w:rPr>
          <w:spacing w:val="-2"/>
        </w:rPr>
        <w:t>2027).</w:t>
      </w:r>
    </w:p>
    <w:p w14:paraId="071440E2" w14:textId="77777777" w:rsidR="00663F6D" w:rsidRDefault="00000000">
      <w:pPr>
        <w:pStyle w:val="BodyText"/>
        <w:spacing w:before="118" w:line="249" w:lineRule="auto"/>
        <w:ind w:left="142" w:right="39" w:firstLine="0"/>
        <w:jc w:val="both"/>
      </w:pPr>
      <w:r>
        <w:t>Otherwise,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prepayment</w:t>
      </w:r>
      <w:r>
        <w:rPr>
          <w:spacing w:val="-14"/>
        </w:rPr>
        <w:t xml:space="preserve"> </w:t>
      </w:r>
      <w:r>
        <w:t>rules</w:t>
      </w:r>
      <w:r>
        <w:rPr>
          <w:spacing w:val="-14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same</w:t>
      </w:r>
      <w:r>
        <w:rPr>
          <w:spacing w:val="-15"/>
        </w:rPr>
        <w:t xml:space="preserve"> </w:t>
      </w:r>
      <w:r>
        <w:t>as for non-SBE taxpayers.</w:t>
      </w:r>
    </w:p>
    <w:p w14:paraId="2F09D866" w14:textId="77777777" w:rsidR="00663F6D" w:rsidRDefault="00000000">
      <w:pPr>
        <w:pStyle w:val="BodyText"/>
        <w:spacing w:before="76"/>
        <w:ind w:left="144" w:firstLine="0"/>
        <w:jc w:val="both"/>
      </w:pPr>
      <w:r>
        <w:rPr>
          <w:color w:val="231F20"/>
          <w:spacing w:val="-2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kinds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expenses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be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prepaid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include:</w:t>
      </w:r>
    </w:p>
    <w:p w14:paraId="27BF80AC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</w:tabs>
        <w:spacing w:before="141"/>
        <w:ind w:left="521" w:hanging="379"/>
        <w:rPr>
          <w:color w:val="231F20"/>
          <w:sz w:val="21"/>
        </w:rPr>
      </w:pPr>
      <w:r>
        <w:rPr>
          <w:b/>
          <w:color w:val="231F20"/>
          <w:sz w:val="21"/>
        </w:rPr>
        <w:t>Rent</w:t>
      </w:r>
      <w:r>
        <w:rPr>
          <w:b/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 xml:space="preserve">on business premises or </w:t>
      </w:r>
      <w:r>
        <w:rPr>
          <w:color w:val="231F20"/>
          <w:spacing w:val="-2"/>
          <w:sz w:val="21"/>
        </w:rPr>
        <w:t>equipment.</w:t>
      </w:r>
    </w:p>
    <w:p w14:paraId="78B80220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  <w:tab w:val="left" w:pos="539"/>
        </w:tabs>
        <w:spacing w:before="107" w:line="211" w:lineRule="auto"/>
        <w:ind w:right="40"/>
        <w:jc w:val="both"/>
        <w:rPr>
          <w:color w:val="231F20"/>
          <w:sz w:val="21"/>
        </w:rPr>
      </w:pPr>
      <w:r>
        <w:rPr>
          <w:b/>
          <w:color w:val="231F20"/>
          <w:sz w:val="21"/>
        </w:rPr>
        <w:t>Lease</w:t>
      </w:r>
      <w:r>
        <w:rPr>
          <w:b/>
          <w:color w:val="231F20"/>
          <w:spacing w:val="-6"/>
          <w:sz w:val="21"/>
        </w:rPr>
        <w:t xml:space="preserve"> </w:t>
      </w:r>
      <w:r>
        <w:rPr>
          <w:b/>
          <w:color w:val="231F20"/>
          <w:sz w:val="21"/>
        </w:rPr>
        <w:t>payments</w:t>
      </w:r>
      <w:r>
        <w:rPr>
          <w:b/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on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business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items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such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as cars and office equipment.</w:t>
      </w:r>
    </w:p>
    <w:p w14:paraId="463675F1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  <w:tab w:val="left" w:pos="539"/>
        </w:tabs>
        <w:spacing w:before="113" w:line="211" w:lineRule="auto"/>
        <w:ind w:right="99"/>
        <w:rPr>
          <w:color w:val="231F20"/>
          <w:sz w:val="21"/>
        </w:rPr>
      </w:pPr>
      <w:r>
        <w:rPr>
          <w:b/>
          <w:color w:val="231F20"/>
          <w:sz w:val="21"/>
        </w:rPr>
        <w:t>Interest</w:t>
      </w:r>
      <w:r>
        <w:rPr>
          <w:b/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–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check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with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your</w:t>
      </w:r>
      <w:r>
        <w:rPr>
          <w:color w:val="231F20"/>
          <w:spacing w:val="-6"/>
          <w:sz w:val="21"/>
        </w:rPr>
        <w:t xml:space="preserve"> </w:t>
      </w:r>
      <w:r>
        <w:rPr>
          <w:color w:val="231F20"/>
          <w:sz w:val="21"/>
        </w:rPr>
        <w:t>financier</w:t>
      </w:r>
      <w:r>
        <w:rPr>
          <w:color w:val="231F20"/>
          <w:spacing w:val="-7"/>
          <w:sz w:val="21"/>
        </w:rPr>
        <w:t xml:space="preserve"> </w:t>
      </w:r>
      <w:r>
        <w:rPr>
          <w:color w:val="231F20"/>
          <w:sz w:val="21"/>
        </w:rPr>
        <w:t>whether it is possible to prepay up to 12 months interest in advance.</w:t>
      </w:r>
    </w:p>
    <w:p w14:paraId="3257832E" w14:textId="77777777" w:rsidR="00663F6D" w:rsidRPr="009E57B3" w:rsidRDefault="00000000">
      <w:pPr>
        <w:pStyle w:val="Heading5"/>
        <w:numPr>
          <w:ilvl w:val="0"/>
          <w:numId w:val="2"/>
        </w:numPr>
        <w:tabs>
          <w:tab w:val="left" w:pos="521"/>
        </w:tabs>
        <w:spacing w:before="88"/>
        <w:ind w:left="521" w:hanging="379"/>
        <w:rPr>
          <w:b w:val="0"/>
          <w:color w:val="231F20"/>
        </w:rPr>
      </w:pPr>
      <w:r>
        <w:rPr>
          <w:color w:val="231F20"/>
        </w:rPr>
        <w:t>Business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trips.</w:t>
      </w:r>
    </w:p>
    <w:p w14:paraId="62505360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</w:tabs>
        <w:spacing w:before="84"/>
        <w:ind w:left="521" w:hanging="379"/>
        <w:rPr>
          <w:color w:val="231F20"/>
          <w:sz w:val="21"/>
        </w:rPr>
      </w:pPr>
      <w:r>
        <w:rPr>
          <w:b/>
          <w:color w:val="231F20"/>
          <w:spacing w:val="-2"/>
          <w:sz w:val="21"/>
        </w:rPr>
        <w:t>Training</w:t>
      </w:r>
      <w:r>
        <w:rPr>
          <w:b/>
          <w:color w:val="231F20"/>
          <w:spacing w:val="-8"/>
          <w:sz w:val="21"/>
        </w:rPr>
        <w:t xml:space="preserve"> </w:t>
      </w:r>
      <w:r>
        <w:rPr>
          <w:b/>
          <w:color w:val="231F20"/>
          <w:spacing w:val="-2"/>
          <w:sz w:val="21"/>
        </w:rPr>
        <w:t>courses</w:t>
      </w:r>
      <w:r>
        <w:rPr>
          <w:b/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that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run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from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1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July</w:t>
      </w:r>
      <w:r>
        <w:rPr>
          <w:color w:val="231F20"/>
          <w:spacing w:val="-8"/>
          <w:sz w:val="21"/>
        </w:rPr>
        <w:t xml:space="preserve"> </w:t>
      </w:r>
      <w:r>
        <w:rPr>
          <w:color w:val="231F20"/>
          <w:spacing w:val="-2"/>
          <w:sz w:val="21"/>
        </w:rPr>
        <w:t>2026.</w:t>
      </w:r>
    </w:p>
    <w:p w14:paraId="3E9B77A5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64"/>
        </w:tabs>
        <w:ind w:left="564" w:hanging="420"/>
        <w:rPr>
          <w:color w:val="231F20"/>
          <w:sz w:val="21"/>
        </w:rPr>
      </w:pPr>
      <w:r>
        <w:rPr>
          <w:b/>
          <w:color w:val="231F20"/>
          <w:sz w:val="21"/>
        </w:rPr>
        <w:t>Business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pacing w:val="-2"/>
          <w:sz w:val="21"/>
        </w:rPr>
        <w:t>subscriptions.</w:t>
      </w:r>
    </w:p>
    <w:p w14:paraId="6D49D2C0" w14:textId="77777777" w:rsidR="00663F6D" w:rsidRDefault="00000000">
      <w:pPr>
        <w:pStyle w:val="Heading4"/>
        <w:spacing w:before="93"/>
        <w:ind w:left="943"/>
      </w:pPr>
      <w:r>
        <w:rPr>
          <w:b w:val="0"/>
        </w:rPr>
        <w:br w:type="column"/>
      </w:r>
      <w:r>
        <w:rPr>
          <w:color w:val="231F20"/>
        </w:rPr>
        <w:t xml:space="preserve">Accelerating </w:t>
      </w:r>
      <w:r>
        <w:rPr>
          <w:color w:val="231F20"/>
          <w:spacing w:val="-2"/>
        </w:rPr>
        <w:t>depreciation</w:t>
      </w:r>
    </w:p>
    <w:p w14:paraId="4426F979" w14:textId="77777777" w:rsidR="00663F6D" w:rsidRDefault="00000000">
      <w:pPr>
        <w:pStyle w:val="BodyText"/>
        <w:spacing w:before="118" w:line="249" w:lineRule="auto"/>
        <w:ind w:left="143" w:right="133" w:firstLine="1"/>
        <w:jc w:val="both"/>
      </w:pPr>
      <w:r>
        <w:rPr>
          <w:color w:val="231F20"/>
        </w:rPr>
        <w:t>In addition to accelerating expenditure 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items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discussed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above),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for 2025/26, SBE taxpayers that use the simplified SBE depreciation rules may claim the following deductions in relation to </w:t>
      </w:r>
      <w:r>
        <w:rPr>
          <w:b/>
          <w:color w:val="231F20"/>
        </w:rPr>
        <w:t>depreciating assets</w:t>
      </w:r>
      <w:r>
        <w:rPr>
          <w:color w:val="231F20"/>
        </w:rPr>
        <w:t>:</w:t>
      </w:r>
    </w:p>
    <w:p w14:paraId="263D7C30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  <w:tab w:val="left" w:pos="539"/>
        </w:tabs>
        <w:spacing w:before="107" w:line="249" w:lineRule="auto"/>
        <w:ind w:right="138" w:hanging="339"/>
        <w:jc w:val="both"/>
        <w:rPr>
          <w:color w:val="231F20"/>
          <w:sz w:val="21"/>
        </w:rPr>
      </w:pPr>
      <w:r>
        <w:rPr>
          <w:color w:val="231F20"/>
          <w:sz w:val="21"/>
        </w:rPr>
        <w:t>The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instant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asset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write-off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threshold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 xml:space="preserve">SBEs has been increased from (less than) $1,000 to (less than) </w:t>
      </w:r>
      <w:r>
        <w:rPr>
          <w:b/>
          <w:color w:val="231F20"/>
          <w:sz w:val="21"/>
        </w:rPr>
        <w:t xml:space="preserve">$20,000 </w:t>
      </w:r>
      <w:r>
        <w:rPr>
          <w:color w:val="231F20"/>
          <w:sz w:val="21"/>
        </w:rPr>
        <w:t>for 2025/26.</w:t>
      </w:r>
    </w:p>
    <w:p w14:paraId="1FD20020" w14:textId="77777777" w:rsidR="00663F6D" w:rsidRDefault="00000000">
      <w:pPr>
        <w:pStyle w:val="BodyText"/>
        <w:spacing w:before="104" w:line="249" w:lineRule="auto"/>
        <w:ind w:left="539" w:right="138" w:hanging="17"/>
        <w:jc w:val="both"/>
      </w:pPr>
      <w:r>
        <w:rPr>
          <w:color w:val="231F20"/>
        </w:rPr>
        <w:t>This allows small businesses (with an aggregated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turnover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$10 million)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immediately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deduct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 eligible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depreciating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costing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less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than</w:t>
      </w:r>
    </w:p>
    <w:p w14:paraId="565B986D" w14:textId="77777777" w:rsidR="00663F6D" w:rsidRDefault="00000000">
      <w:pPr>
        <w:pStyle w:val="BodyText"/>
        <w:spacing w:before="4" w:line="249" w:lineRule="auto"/>
        <w:ind w:left="539" w:right="139" w:firstLine="0"/>
        <w:jc w:val="both"/>
      </w:pPr>
      <w:r>
        <w:rPr>
          <w:color w:val="231F20"/>
        </w:rPr>
        <w:t>$20,000 that are first used or installed ready for use on or before 30 June 2026.</w:t>
      </w:r>
    </w:p>
    <w:p w14:paraId="12F36E68" w14:textId="77777777" w:rsidR="00663F6D" w:rsidRDefault="00000000">
      <w:pPr>
        <w:pStyle w:val="ListParagraph"/>
        <w:numPr>
          <w:ilvl w:val="0"/>
          <w:numId w:val="2"/>
        </w:numPr>
        <w:tabs>
          <w:tab w:val="left" w:pos="521"/>
          <w:tab w:val="left" w:pos="539"/>
        </w:tabs>
        <w:spacing w:before="104" w:line="249" w:lineRule="auto"/>
        <w:ind w:right="138"/>
        <w:jc w:val="both"/>
        <w:rPr>
          <w:rFonts w:ascii="Wingdings" w:hAnsi="Wingdings"/>
          <w:color w:val="231F20"/>
          <w:sz w:val="21"/>
        </w:rPr>
      </w:pPr>
      <w:r>
        <w:rPr>
          <w:color w:val="231F20"/>
          <w:sz w:val="21"/>
        </w:rPr>
        <w:t>The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SBE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closing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pool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balance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(before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current year deductions), if any, will be fully claimed in the 2026 income year, if it is below the increased threshold.</w:t>
      </w:r>
    </w:p>
    <w:p w14:paraId="1FDF5956" w14:textId="77777777" w:rsidR="00663F6D" w:rsidRDefault="00000000">
      <w:pPr>
        <w:spacing w:before="105" w:line="249" w:lineRule="auto"/>
        <w:ind w:left="539" w:right="129" w:hanging="17"/>
        <w:jc w:val="both"/>
        <w:rPr>
          <w:i/>
          <w:sz w:val="21"/>
        </w:rPr>
      </w:pPr>
      <w:r>
        <w:rPr>
          <w:i/>
          <w:color w:val="231F20"/>
          <w:sz w:val="21"/>
        </w:rPr>
        <w:t>Note: Eligible SBE taxpayers using the simplified</w:t>
      </w:r>
      <w:r>
        <w:rPr>
          <w:i/>
          <w:color w:val="231F20"/>
          <w:spacing w:val="-11"/>
          <w:sz w:val="21"/>
        </w:rPr>
        <w:t xml:space="preserve"> </w:t>
      </w:r>
      <w:r>
        <w:rPr>
          <w:i/>
          <w:color w:val="231F20"/>
          <w:sz w:val="21"/>
        </w:rPr>
        <w:t>SBE</w:t>
      </w:r>
      <w:r>
        <w:rPr>
          <w:i/>
          <w:color w:val="231F20"/>
          <w:spacing w:val="-11"/>
          <w:sz w:val="21"/>
        </w:rPr>
        <w:t xml:space="preserve"> </w:t>
      </w:r>
      <w:r>
        <w:rPr>
          <w:i/>
          <w:color w:val="231F20"/>
          <w:sz w:val="21"/>
        </w:rPr>
        <w:t>depreciation</w:t>
      </w:r>
      <w:r>
        <w:rPr>
          <w:i/>
          <w:color w:val="231F20"/>
          <w:spacing w:val="-11"/>
          <w:sz w:val="21"/>
        </w:rPr>
        <w:t xml:space="preserve"> </w:t>
      </w:r>
      <w:r>
        <w:rPr>
          <w:i/>
          <w:color w:val="231F20"/>
          <w:sz w:val="21"/>
        </w:rPr>
        <w:t>rules</w:t>
      </w:r>
      <w:r>
        <w:rPr>
          <w:i/>
          <w:color w:val="231F20"/>
          <w:spacing w:val="-11"/>
          <w:sz w:val="21"/>
        </w:rPr>
        <w:t xml:space="preserve"> </w:t>
      </w:r>
      <w:r>
        <w:rPr>
          <w:b/>
          <w:i/>
          <w:color w:val="231F20"/>
          <w:sz w:val="21"/>
        </w:rPr>
        <w:t>cannot</w:t>
      </w:r>
      <w:r>
        <w:rPr>
          <w:b/>
          <w:i/>
          <w:color w:val="231F20"/>
          <w:spacing w:val="-11"/>
          <w:sz w:val="21"/>
        </w:rPr>
        <w:t xml:space="preserve"> </w:t>
      </w:r>
      <w:r>
        <w:rPr>
          <w:i/>
          <w:color w:val="231F20"/>
          <w:sz w:val="21"/>
        </w:rPr>
        <w:t>opt out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of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fully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expensing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their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SBE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z w:val="21"/>
        </w:rPr>
        <w:t>general</w:t>
      </w:r>
      <w:r>
        <w:rPr>
          <w:i/>
          <w:color w:val="231F20"/>
          <w:spacing w:val="-10"/>
          <w:sz w:val="21"/>
        </w:rPr>
        <w:t xml:space="preserve"> </w:t>
      </w:r>
      <w:r>
        <w:rPr>
          <w:i/>
          <w:color w:val="231F20"/>
          <w:spacing w:val="-2"/>
          <w:sz w:val="21"/>
        </w:rPr>
        <w:t>pool.</w:t>
      </w:r>
    </w:p>
    <w:p w14:paraId="5672EBA4" w14:textId="77777777" w:rsidR="00663F6D" w:rsidRDefault="00000000">
      <w:pPr>
        <w:pStyle w:val="BodyText"/>
        <w:spacing w:before="117" w:line="249" w:lineRule="auto"/>
        <w:ind w:left="143" w:right="140" w:firstLine="1"/>
        <w:jc w:val="both"/>
      </w:pPr>
      <w:r>
        <w:rPr>
          <w:color w:val="231F20"/>
        </w:rPr>
        <w:t>If appropriate, SBE taxpayers should consider purchasing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installing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ready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use) these items by 30 June 2026.</w:t>
      </w:r>
    </w:p>
    <w:p w14:paraId="11C6E3A6" w14:textId="77777777" w:rsidR="00663F6D" w:rsidRDefault="00000000">
      <w:pPr>
        <w:pStyle w:val="Heading3"/>
        <w:spacing w:before="174"/>
      </w:pPr>
      <w:r>
        <w:rPr>
          <w:color w:val="231F20"/>
        </w:rPr>
        <w:t xml:space="preserve">Information </w:t>
      </w:r>
      <w:r>
        <w:rPr>
          <w:color w:val="231F20"/>
          <w:spacing w:val="-2"/>
        </w:rPr>
        <w:t>Required</w:t>
      </w:r>
    </w:p>
    <w:p w14:paraId="16180E74" w14:textId="77777777" w:rsidR="00663F6D" w:rsidRDefault="00000000">
      <w:pPr>
        <w:pStyle w:val="BodyText"/>
        <w:spacing w:before="103" w:line="249" w:lineRule="auto"/>
        <w:ind w:left="143" w:right="141" w:firstLine="1"/>
        <w:jc w:val="both"/>
      </w:pPr>
      <w:r>
        <w:rPr>
          <w:color w:val="231F20"/>
        </w:rPr>
        <w:t xml:space="preserve">This is some of the information we will need you 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bring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help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us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prepare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your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income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tax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return:</w:t>
      </w:r>
    </w:p>
    <w:p w14:paraId="33EF45FE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</w:tabs>
        <w:spacing w:before="201"/>
        <w:ind w:left="521" w:hanging="379"/>
        <w:jc w:val="both"/>
        <w:rPr>
          <w:color w:val="231F20"/>
          <w:sz w:val="21"/>
        </w:rPr>
      </w:pPr>
      <w:r>
        <w:rPr>
          <w:color w:val="231F20"/>
          <w:sz w:val="21"/>
        </w:rPr>
        <w:t>Stock-take</w:t>
      </w:r>
      <w:r>
        <w:rPr>
          <w:color w:val="231F20"/>
          <w:spacing w:val="-5"/>
          <w:sz w:val="21"/>
        </w:rPr>
        <w:t xml:space="preserve"> </w:t>
      </w:r>
      <w:r>
        <w:rPr>
          <w:color w:val="231F20"/>
          <w:sz w:val="21"/>
        </w:rPr>
        <w:t>details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as</w:t>
      </w:r>
      <w:r>
        <w:rPr>
          <w:color w:val="231F20"/>
          <w:spacing w:val="-2"/>
          <w:sz w:val="21"/>
        </w:rPr>
        <w:t xml:space="preserve"> </w:t>
      </w:r>
      <w:proofErr w:type="gramStart"/>
      <w:r>
        <w:rPr>
          <w:color w:val="231F20"/>
          <w:sz w:val="21"/>
        </w:rPr>
        <w:t>at</w:t>
      </w:r>
      <w:proofErr w:type="gramEnd"/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30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June</w:t>
      </w:r>
      <w:r>
        <w:rPr>
          <w:color w:val="231F20"/>
          <w:spacing w:val="-2"/>
          <w:sz w:val="21"/>
        </w:rPr>
        <w:t xml:space="preserve"> 2026.</w:t>
      </w:r>
    </w:p>
    <w:p w14:paraId="7D5CF08B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  <w:tab w:val="left" w:pos="539"/>
        </w:tabs>
        <w:spacing w:before="192" w:line="290" w:lineRule="auto"/>
        <w:ind w:right="138"/>
        <w:jc w:val="both"/>
        <w:rPr>
          <w:color w:val="231F20"/>
          <w:sz w:val="21"/>
        </w:rPr>
      </w:pPr>
      <w:r>
        <w:rPr>
          <w:color w:val="231F20"/>
          <w:sz w:val="21"/>
        </w:rPr>
        <w:t>Debtors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listing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(including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a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list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genuine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 xml:space="preserve">bad debts written off) as </w:t>
      </w:r>
      <w:proofErr w:type="gramStart"/>
      <w:r>
        <w:rPr>
          <w:color w:val="231F20"/>
          <w:sz w:val="21"/>
        </w:rPr>
        <w:t>at</w:t>
      </w:r>
      <w:proofErr w:type="gramEnd"/>
      <w:r>
        <w:rPr>
          <w:color w:val="231F20"/>
          <w:sz w:val="21"/>
        </w:rPr>
        <w:t xml:space="preserve"> 30 June 2026.</w:t>
      </w:r>
    </w:p>
    <w:p w14:paraId="71850B70" w14:textId="77777777" w:rsidR="00663F6D" w:rsidRDefault="00000000">
      <w:pPr>
        <w:spacing w:before="73" w:line="249" w:lineRule="auto"/>
        <w:ind w:left="539" w:right="136"/>
        <w:rPr>
          <w:i/>
          <w:sz w:val="21"/>
        </w:rPr>
      </w:pPr>
      <w:r>
        <w:rPr>
          <w:i/>
          <w:color w:val="231F20"/>
          <w:sz w:val="21"/>
        </w:rPr>
        <w:t>Note: To claim a tax deduction, the debt must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z w:val="21"/>
        </w:rPr>
        <w:t>be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z w:val="21"/>
        </w:rPr>
        <w:t>written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z w:val="21"/>
        </w:rPr>
        <w:t>off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z w:val="21"/>
        </w:rPr>
        <w:t>on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z w:val="21"/>
        </w:rPr>
        <w:t>or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z w:val="21"/>
        </w:rPr>
        <w:t>before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z w:val="21"/>
        </w:rPr>
        <w:t>30</w:t>
      </w:r>
      <w:r>
        <w:rPr>
          <w:i/>
          <w:color w:val="231F20"/>
          <w:spacing w:val="-5"/>
          <w:sz w:val="21"/>
        </w:rPr>
        <w:t xml:space="preserve"> </w:t>
      </w:r>
      <w:r>
        <w:rPr>
          <w:i/>
          <w:color w:val="231F20"/>
          <w:sz w:val="21"/>
        </w:rPr>
        <w:t>June.</w:t>
      </w:r>
    </w:p>
    <w:p w14:paraId="1814CD23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</w:tabs>
        <w:spacing w:before="201"/>
        <w:ind w:left="521" w:hanging="379"/>
        <w:jc w:val="both"/>
        <w:rPr>
          <w:color w:val="231F20"/>
          <w:sz w:val="21"/>
        </w:rPr>
      </w:pPr>
      <w:r>
        <w:rPr>
          <w:color w:val="231F20"/>
          <w:sz w:val="21"/>
        </w:rPr>
        <w:t>Creditors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listing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as</w:t>
      </w:r>
      <w:r>
        <w:rPr>
          <w:color w:val="231F20"/>
          <w:spacing w:val="-1"/>
          <w:sz w:val="21"/>
        </w:rPr>
        <w:t xml:space="preserve"> </w:t>
      </w:r>
      <w:proofErr w:type="gramStart"/>
      <w:r>
        <w:rPr>
          <w:color w:val="231F20"/>
          <w:sz w:val="21"/>
        </w:rPr>
        <w:t>at</w:t>
      </w:r>
      <w:proofErr w:type="gramEnd"/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30</w:t>
      </w:r>
      <w:r>
        <w:rPr>
          <w:color w:val="231F20"/>
          <w:spacing w:val="-2"/>
          <w:sz w:val="21"/>
        </w:rPr>
        <w:t xml:space="preserve"> </w:t>
      </w:r>
      <w:r>
        <w:rPr>
          <w:color w:val="231F20"/>
          <w:sz w:val="21"/>
        </w:rPr>
        <w:t>June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pacing w:val="-2"/>
          <w:sz w:val="21"/>
        </w:rPr>
        <w:t>2026.</w:t>
      </w:r>
    </w:p>
    <w:p w14:paraId="710E7E85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  <w:tab w:val="left" w:pos="539"/>
        </w:tabs>
        <w:spacing w:before="107" w:line="290" w:lineRule="auto"/>
        <w:ind w:right="134"/>
        <w:jc w:val="both"/>
        <w:rPr>
          <w:color w:val="231F20"/>
          <w:sz w:val="21"/>
        </w:rPr>
      </w:pPr>
      <w:r>
        <w:rPr>
          <w:color w:val="231F20"/>
          <w:sz w:val="21"/>
        </w:rPr>
        <w:t>Asset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register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or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details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of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any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asset</w:t>
      </w:r>
      <w:r>
        <w:rPr>
          <w:color w:val="231F20"/>
          <w:spacing w:val="-1"/>
          <w:sz w:val="21"/>
        </w:rPr>
        <w:t xml:space="preserve"> </w:t>
      </w:r>
      <w:r>
        <w:rPr>
          <w:color w:val="231F20"/>
          <w:sz w:val="21"/>
        </w:rPr>
        <w:t>(except trading stock) bought or sold during the income year, including depreciating assets, real property and investment assets.</w:t>
      </w:r>
    </w:p>
    <w:p w14:paraId="5418A71B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  <w:tab w:val="left" w:pos="539"/>
        </w:tabs>
        <w:spacing w:before="56" w:line="290" w:lineRule="auto"/>
        <w:ind w:right="136"/>
        <w:jc w:val="both"/>
        <w:rPr>
          <w:color w:val="231F20"/>
          <w:sz w:val="21"/>
        </w:rPr>
      </w:pPr>
      <w:r>
        <w:rPr>
          <w:color w:val="231F20"/>
          <w:sz w:val="21"/>
        </w:rPr>
        <w:t xml:space="preserve">Details of any hire purchase agreements </w:t>
      </w:r>
      <w:r>
        <w:rPr>
          <w:color w:val="231F20"/>
          <w:spacing w:val="-2"/>
          <w:sz w:val="21"/>
        </w:rPr>
        <w:t>entered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2"/>
          <w:sz w:val="21"/>
        </w:rPr>
        <w:t>or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2"/>
          <w:sz w:val="21"/>
        </w:rPr>
        <w:t>terminated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2"/>
          <w:sz w:val="21"/>
        </w:rPr>
        <w:t>during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2"/>
          <w:sz w:val="21"/>
        </w:rPr>
        <w:t>the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2"/>
          <w:sz w:val="21"/>
        </w:rPr>
        <w:t>income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pacing w:val="-2"/>
          <w:sz w:val="21"/>
        </w:rPr>
        <w:t>year.</w:t>
      </w:r>
    </w:p>
    <w:p w14:paraId="50CF9B23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  <w:tab w:val="left" w:pos="539"/>
        </w:tabs>
        <w:spacing w:before="96" w:line="290" w:lineRule="auto"/>
        <w:ind w:right="138"/>
        <w:jc w:val="both"/>
        <w:rPr>
          <w:color w:val="231F20"/>
          <w:sz w:val="21"/>
        </w:rPr>
      </w:pPr>
      <w:r>
        <w:rPr>
          <w:color w:val="231F20"/>
          <w:sz w:val="21"/>
        </w:rPr>
        <w:t xml:space="preserve">Details of any loans to or from all entities </w:t>
      </w:r>
      <w:r>
        <w:rPr>
          <w:color w:val="231F20"/>
          <w:spacing w:val="-2"/>
          <w:sz w:val="21"/>
        </w:rPr>
        <w:t>(related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pacing w:val="-2"/>
          <w:sz w:val="21"/>
        </w:rPr>
        <w:t>or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pacing w:val="-2"/>
          <w:sz w:val="21"/>
        </w:rPr>
        <w:t>unrelated),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pacing w:val="-2"/>
          <w:sz w:val="21"/>
        </w:rPr>
        <w:t>including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pacing w:val="-2"/>
          <w:sz w:val="21"/>
        </w:rPr>
        <w:t xml:space="preserve">shareholders, </w:t>
      </w:r>
      <w:r>
        <w:rPr>
          <w:color w:val="231F20"/>
          <w:sz w:val="21"/>
        </w:rPr>
        <w:t>partners, beneficiaries</w:t>
      </w:r>
      <w:r w:rsidRPr="009E57B3">
        <w:rPr>
          <w:color w:val="231F20"/>
          <w:sz w:val="21"/>
        </w:rPr>
        <w:t>.</w:t>
      </w:r>
    </w:p>
    <w:p w14:paraId="477F6FDF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  <w:tab w:val="left" w:pos="539"/>
        </w:tabs>
        <w:spacing w:before="96" w:line="290" w:lineRule="auto"/>
        <w:ind w:right="137"/>
        <w:jc w:val="both"/>
        <w:rPr>
          <w:color w:val="231F20"/>
          <w:sz w:val="21"/>
        </w:rPr>
      </w:pPr>
      <w:r>
        <w:rPr>
          <w:color w:val="231F20"/>
          <w:spacing w:val="-6"/>
          <w:sz w:val="21"/>
        </w:rPr>
        <w:t xml:space="preserve">Details of any income where the payer withheld </w:t>
      </w:r>
      <w:r>
        <w:rPr>
          <w:color w:val="231F20"/>
          <w:sz w:val="21"/>
        </w:rPr>
        <w:t>tax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from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the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payment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(e.g.,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for</w:t>
      </w:r>
      <w:r>
        <w:rPr>
          <w:color w:val="231F20"/>
          <w:spacing w:val="-13"/>
          <w:sz w:val="21"/>
        </w:rPr>
        <w:t xml:space="preserve"> </w:t>
      </w:r>
      <w:r>
        <w:rPr>
          <w:color w:val="231F20"/>
          <w:sz w:val="21"/>
        </w:rPr>
        <w:t>not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>quoting</w:t>
      </w:r>
      <w:r>
        <w:rPr>
          <w:color w:val="231F20"/>
          <w:spacing w:val="-12"/>
          <w:sz w:val="21"/>
        </w:rPr>
        <w:t xml:space="preserve"> </w:t>
      </w:r>
      <w:r>
        <w:rPr>
          <w:color w:val="231F20"/>
          <w:sz w:val="21"/>
        </w:rPr>
        <w:t xml:space="preserve">an </w:t>
      </w:r>
      <w:r>
        <w:rPr>
          <w:color w:val="231F20"/>
          <w:spacing w:val="-2"/>
          <w:sz w:val="21"/>
        </w:rPr>
        <w:t>ABN).</w:t>
      </w:r>
    </w:p>
    <w:p w14:paraId="7EF395E6" w14:textId="77777777" w:rsidR="00663F6D" w:rsidRPr="009E57B3" w:rsidRDefault="00000000">
      <w:pPr>
        <w:pStyle w:val="ListParagraph"/>
        <w:numPr>
          <w:ilvl w:val="0"/>
          <w:numId w:val="2"/>
        </w:numPr>
        <w:tabs>
          <w:tab w:val="left" w:pos="521"/>
          <w:tab w:val="left" w:pos="539"/>
        </w:tabs>
        <w:spacing w:before="96" w:line="290" w:lineRule="auto"/>
        <w:ind w:right="138"/>
        <w:jc w:val="both"/>
        <w:rPr>
          <w:color w:val="231F20"/>
          <w:sz w:val="21"/>
        </w:rPr>
      </w:pPr>
      <w:r>
        <w:rPr>
          <w:color w:val="231F20"/>
          <w:sz w:val="21"/>
        </w:rPr>
        <w:t>Management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accounts,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bank</w:t>
      </w:r>
      <w:r>
        <w:rPr>
          <w:color w:val="231F20"/>
          <w:spacing w:val="-14"/>
          <w:sz w:val="21"/>
        </w:rPr>
        <w:t xml:space="preserve"> </w:t>
      </w:r>
      <w:r>
        <w:rPr>
          <w:color w:val="231F20"/>
          <w:sz w:val="21"/>
        </w:rPr>
        <w:t>statements</w:t>
      </w:r>
      <w:r>
        <w:rPr>
          <w:color w:val="231F20"/>
          <w:spacing w:val="-15"/>
          <w:sz w:val="21"/>
        </w:rPr>
        <w:t xml:space="preserve"> </w:t>
      </w:r>
      <w:r>
        <w:rPr>
          <w:color w:val="231F20"/>
          <w:sz w:val="21"/>
        </w:rPr>
        <w:t>and other financials.</w:t>
      </w:r>
    </w:p>
    <w:sectPr w:rsidR="00663F6D" w:rsidRPr="009E57B3">
      <w:type w:val="continuous"/>
      <w:pgSz w:w="11910" w:h="16840"/>
      <w:pgMar w:top="1920" w:right="992" w:bottom="420" w:left="992" w:header="0" w:footer="240" w:gutter="0"/>
      <w:cols w:num="2" w:space="720" w:equalWidth="0">
        <w:col w:w="4721" w:space="382"/>
        <w:col w:w="48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DE68E" w14:textId="77777777" w:rsidR="00AE2603" w:rsidRDefault="00AE2603">
      <w:r>
        <w:separator/>
      </w:r>
    </w:p>
  </w:endnote>
  <w:endnote w:type="continuationSeparator" w:id="0">
    <w:p w14:paraId="624E316B" w14:textId="77777777" w:rsidR="00AE2603" w:rsidRDefault="00AE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A9C86" w14:textId="77777777" w:rsidR="00663F6D" w:rsidRDefault="00000000">
    <w:pPr>
      <w:pStyle w:val="BodyText"/>
      <w:spacing w:before="0" w:line="14" w:lineRule="auto"/>
      <w:ind w:left="0" w:firstLine="0"/>
      <w:rPr>
        <w:sz w:val="16"/>
      </w:rPr>
    </w:pPr>
    <w:r>
      <w:rPr>
        <w:noProof/>
        <w:sz w:val="16"/>
      </w:rPr>
      <mc:AlternateContent>
        <mc:Choice Requires="wpg">
          <w:drawing>
            <wp:anchor distT="0" distB="0" distL="0" distR="0" simplePos="0" relativeHeight="487440384" behindDoc="1" locked="0" layoutInCell="1" allowOverlap="1" wp14:anchorId="03F0CBAF" wp14:editId="47C29ABE">
              <wp:simplePos x="0" y="0"/>
              <wp:positionH relativeFrom="page">
                <wp:posOffset>737869</wp:posOffset>
              </wp:positionH>
              <wp:positionV relativeFrom="page">
                <wp:posOffset>10388603</wp:posOffset>
              </wp:positionV>
              <wp:extent cx="6120130" cy="127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20130" cy="12700"/>
                        <a:chOff x="0" y="0"/>
                        <a:chExt cx="6120130" cy="127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3175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635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E29EE6" id="Group 1" o:spid="_x0000_s1026" style="position:absolute;margin-left:58.1pt;margin-top:818pt;width:481.9pt;height:1pt;z-index:-15876096;mso-wrap-distance-left:0;mso-wrap-distance-right:0;mso-position-horizontal-relative:page;mso-position-vertical-relative:page" coordsize="612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">
              <v:shape id="Graphic 2" o:spid="_x0000_s1027" style="position:absolute;top:31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" path="m,l6120130,e" filled="f" strokecolor="#231f20" strokeweight=".5pt">
                <v:path arrowok="t"/>
              </v:shape>
              <v:shape id="Graphic 3" o:spid="_x0000_s1028" style="position:absolute;top:63;width:61201;height:13;visibility:visible;mso-wrap-style:square;v-text-anchor:top" coordsize="6120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" path="m,l6120130,e" filled="f" strokecolor="#231f20" strokeweight="1pt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28400" w14:textId="77777777" w:rsidR="00AE2603" w:rsidRDefault="00AE2603">
      <w:r>
        <w:separator/>
      </w:r>
    </w:p>
  </w:footnote>
  <w:footnote w:type="continuationSeparator" w:id="0">
    <w:p w14:paraId="064E8829" w14:textId="77777777" w:rsidR="00AE2603" w:rsidRDefault="00AE2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0AA3"/>
    <w:multiLevelType w:val="hybridMultilevel"/>
    <w:tmpl w:val="8F5C4590"/>
    <w:lvl w:ilvl="0" w:tplc="28221C18">
      <w:numFmt w:val="bullet"/>
      <w:lvlText w:val=""/>
      <w:lvlJc w:val="left"/>
      <w:pPr>
        <w:ind w:left="538" w:hanging="3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22E2997E">
      <w:numFmt w:val="bullet"/>
      <w:lvlText w:val="•"/>
      <w:lvlJc w:val="left"/>
      <w:pPr>
        <w:ind w:left="969" w:hanging="397"/>
      </w:pPr>
      <w:rPr>
        <w:rFonts w:hint="default"/>
        <w:lang w:val="en-US" w:eastAsia="en-US" w:bidi="ar-SA"/>
      </w:rPr>
    </w:lvl>
    <w:lvl w:ilvl="2" w:tplc="0B9E24FA">
      <w:numFmt w:val="bullet"/>
      <w:lvlText w:val="•"/>
      <w:lvlJc w:val="left"/>
      <w:pPr>
        <w:ind w:left="1398" w:hanging="397"/>
      </w:pPr>
      <w:rPr>
        <w:rFonts w:hint="default"/>
        <w:lang w:val="en-US" w:eastAsia="en-US" w:bidi="ar-SA"/>
      </w:rPr>
    </w:lvl>
    <w:lvl w:ilvl="3" w:tplc="D1F67C00">
      <w:numFmt w:val="bullet"/>
      <w:lvlText w:val="•"/>
      <w:lvlJc w:val="left"/>
      <w:pPr>
        <w:ind w:left="1827" w:hanging="397"/>
      </w:pPr>
      <w:rPr>
        <w:rFonts w:hint="default"/>
        <w:lang w:val="en-US" w:eastAsia="en-US" w:bidi="ar-SA"/>
      </w:rPr>
    </w:lvl>
    <w:lvl w:ilvl="4" w:tplc="B06CBA74">
      <w:numFmt w:val="bullet"/>
      <w:lvlText w:val="•"/>
      <w:lvlJc w:val="left"/>
      <w:pPr>
        <w:ind w:left="2256" w:hanging="397"/>
      </w:pPr>
      <w:rPr>
        <w:rFonts w:hint="default"/>
        <w:lang w:val="en-US" w:eastAsia="en-US" w:bidi="ar-SA"/>
      </w:rPr>
    </w:lvl>
    <w:lvl w:ilvl="5" w:tplc="8E9A3A04">
      <w:numFmt w:val="bullet"/>
      <w:lvlText w:val="•"/>
      <w:lvlJc w:val="left"/>
      <w:pPr>
        <w:ind w:left="2685" w:hanging="397"/>
      </w:pPr>
      <w:rPr>
        <w:rFonts w:hint="default"/>
        <w:lang w:val="en-US" w:eastAsia="en-US" w:bidi="ar-SA"/>
      </w:rPr>
    </w:lvl>
    <w:lvl w:ilvl="6" w:tplc="2AAC6750">
      <w:numFmt w:val="bullet"/>
      <w:lvlText w:val="•"/>
      <w:lvlJc w:val="left"/>
      <w:pPr>
        <w:ind w:left="3115" w:hanging="397"/>
      </w:pPr>
      <w:rPr>
        <w:rFonts w:hint="default"/>
        <w:lang w:val="en-US" w:eastAsia="en-US" w:bidi="ar-SA"/>
      </w:rPr>
    </w:lvl>
    <w:lvl w:ilvl="7" w:tplc="063A3E16">
      <w:numFmt w:val="bullet"/>
      <w:lvlText w:val="•"/>
      <w:lvlJc w:val="left"/>
      <w:pPr>
        <w:ind w:left="3544" w:hanging="397"/>
      </w:pPr>
      <w:rPr>
        <w:rFonts w:hint="default"/>
        <w:lang w:val="en-US" w:eastAsia="en-US" w:bidi="ar-SA"/>
      </w:rPr>
    </w:lvl>
    <w:lvl w:ilvl="8" w:tplc="29749FC2">
      <w:numFmt w:val="bullet"/>
      <w:lvlText w:val="•"/>
      <w:lvlJc w:val="left"/>
      <w:pPr>
        <w:ind w:left="3973" w:hanging="397"/>
      </w:pPr>
      <w:rPr>
        <w:rFonts w:hint="default"/>
        <w:lang w:val="en-US" w:eastAsia="en-US" w:bidi="ar-SA"/>
      </w:rPr>
    </w:lvl>
  </w:abstractNum>
  <w:abstractNum w:abstractNumId="1" w15:restartNumberingAfterBreak="0">
    <w:nsid w:val="12877009"/>
    <w:multiLevelType w:val="hybridMultilevel"/>
    <w:tmpl w:val="A9EE9CD0"/>
    <w:lvl w:ilvl="0" w:tplc="57002174">
      <w:start w:val="1"/>
      <w:numFmt w:val="decimal"/>
      <w:lvlText w:val="%1."/>
      <w:lvlJc w:val="left"/>
      <w:pPr>
        <w:ind w:left="375" w:hanging="23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1"/>
        <w:szCs w:val="21"/>
        <w:lang w:val="en-US" w:eastAsia="en-US" w:bidi="ar-SA"/>
      </w:rPr>
    </w:lvl>
    <w:lvl w:ilvl="1" w:tplc="BC885F90">
      <w:numFmt w:val="bullet"/>
      <w:lvlText w:val=""/>
      <w:lvlJc w:val="left"/>
      <w:pPr>
        <w:ind w:left="538" w:hanging="3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 w:tplc="A6EAE358">
      <w:numFmt w:val="bullet"/>
      <w:lvlText w:val="•"/>
      <w:lvlJc w:val="left"/>
      <w:pPr>
        <w:ind w:left="1004" w:hanging="397"/>
      </w:pPr>
      <w:rPr>
        <w:rFonts w:hint="default"/>
        <w:lang w:val="en-US" w:eastAsia="en-US" w:bidi="ar-SA"/>
      </w:rPr>
    </w:lvl>
    <w:lvl w:ilvl="3" w:tplc="27E876DE">
      <w:numFmt w:val="bullet"/>
      <w:lvlText w:val="•"/>
      <w:lvlJc w:val="left"/>
      <w:pPr>
        <w:ind w:left="1468" w:hanging="397"/>
      </w:pPr>
      <w:rPr>
        <w:rFonts w:hint="default"/>
        <w:lang w:val="en-US" w:eastAsia="en-US" w:bidi="ar-SA"/>
      </w:rPr>
    </w:lvl>
    <w:lvl w:ilvl="4" w:tplc="BFFA68E0">
      <w:numFmt w:val="bullet"/>
      <w:lvlText w:val="•"/>
      <w:lvlJc w:val="left"/>
      <w:pPr>
        <w:ind w:left="1932" w:hanging="397"/>
      </w:pPr>
      <w:rPr>
        <w:rFonts w:hint="default"/>
        <w:lang w:val="en-US" w:eastAsia="en-US" w:bidi="ar-SA"/>
      </w:rPr>
    </w:lvl>
    <w:lvl w:ilvl="5" w:tplc="C228FE6A">
      <w:numFmt w:val="bullet"/>
      <w:lvlText w:val="•"/>
      <w:lvlJc w:val="left"/>
      <w:pPr>
        <w:ind w:left="2396" w:hanging="397"/>
      </w:pPr>
      <w:rPr>
        <w:rFonts w:hint="default"/>
        <w:lang w:val="en-US" w:eastAsia="en-US" w:bidi="ar-SA"/>
      </w:rPr>
    </w:lvl>
    <w:lvl w:ilvl="6" w:tplc="DE10ABE4">
      <w:numFmt w:val="bullet"/>
      <w:lvlText w:val="•"/>
      <w:lvlJc w:val="left"/>
      <w:pPr>
        <w:ind w:left="2860" w:hanging="397"/>
      </w:pPr>
      <w:rPr>
        <w:rFonts w:hint="default"/>
        <w:lang w:val="en-US" w:eastAsia="en-US" w:bidi="ar-SA"/>
      </w:rPr>
    </w:lvl>
    <w:lvl w:ilvl="7" w:tplc="F0741188">
      <w:numFmt w:val="bullet"/>
      <w:lvlText w:val="•"/>
      <w:lvlJc w:val="left"/>
      <w:pPr>
        <w:ind w:left="3324" w:hanging="397"/>
      </w:pPr>
      <w:rPr>
        <w:rFonts w:hint="default"/>
        <w:lang w:val="en-US" w:eastAsia="en-US" w:bidi="ar-SA"/>
      </w:rPr>
    </w:lvl>
    <w:lvl w:ilvl="8" w:tplc="0DAA9190">
      <w:numFmt w:val="bullet"/>
      <w:lvlText w:val="•"/>
      <w:lvlJc w:val="left"/>
      <w:pPr>
        <w:ind w:left="3788" w:hanging="397"/>
      </w:pPr>
      <w:rPr>
        <w:rFonts w:hint="default"/>
        <w:lang w:val="en-US" w:eastAsia="en-US" w:bidi="ar-SA"/>
      </w:rPr>
    </w:lvl>
  </w:abstractNum>
  <w:abstractNum w:abstractNumId="2" w15:restartNumberingAfterBreak="0">
    <w:nsid w:val="1D1E434D"/>
    <w:multiLevelType w:val="hybridMultilevel"/>
    <w:tmpl w:val="4E9AEAA6"/>
    <w:lvl w:ilvl="0" w:tplc="78E0925E">
      <w:numFmt w:val="bullet"/>
      <w:lvlText w:val=""/>
      <w:lvlJc w:val="left"/>
      <w:pPr>
        <w:ind w:left="539" w:hanging="397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B65C5C38">
      <w:numFmt w:val="bullet"/>
      <w:lvlText w:val="•"/>
      <w:lvlJc w:val="left"/>
      <w:pPr>
        <w:ind w:left="957" w:hanging="397"/>
      </w:pPr>
      <w:rPr>
        <w:rFonts w:hint="default"/>
        <w:lang w:val="en-US" w:eastAsia="en-US" w:bidi="ar-SA"/>
      </w:rPr>
    </w:lvl>
    <w:lvl w:ilvl="2" w:tplc="5D5E523E">
      <w:numFmt w:val="bullet"/>
      <w:lvlText w:val="•"/>
      <w:lvlJc w:val="left"/>
      <w:pPr>
        <w:ind w:left="1375" w:hanging="397"/>
      </w:pPr>
      <w:rPr>
        <w:rFonts w:hint="default"/>
        <w:lang w:val="en-US" w:eastAsia="en-US" w:bidi="ar-SA"/>
      </w:rPr>
    </w:lvl>
    <w:lvl w:ilvl="3" w:tplc="7FB47E7A">
      <w:numFmt w:val="bullet"/>
      <w:lvlText w:val="•"/>
      <w:lvlJc w:val="left"/>
      <w:pPr>
        <w:ind w:left="1793" w:hanging="397"/>
      </w:pPr>
      <w:rPr>
        <w:rFonts w:hint="default"/>
        <w:lang w:val="en-US" w:eastAsia="en-US" w:bidi="ar-SA"/>
      </w:rPr>
    </w:lvl>
    <w:lvl w:ilvl="4" w:tplc="84923692">
      <w:numFmt w:val="bullet"/>
      <w:lvlText w:val="•"/>
      <w:lvlJc w:val="left"/>
      <w:pPr>
        <w:ind w:left="2211" w:hanging="397"/>
      </w:pPr>
      <w:rPr>
        <w:rFonts w:hint="default"/>
        <w:lang w:val="en-US" w:eastAsia="en-US" w:bidi="ar-SA"/>
      </w:rPr>
    </w:lvl>
    <w:lvl w:ilvl="5" w:tplc="F75C45C6">
      <w:numFmt w:val="bullet"/>
      <w:lvlText w:val="•"/>
      <w:lvlJc w:val="left"/>
      <w:pPr>
        <w:ind w:left="2629" w:hanging="397"/>
      </w:pPr>
      <w:rPr>
        <w:rFonts w:hint="default"/>
        <w:lang w:val="en-US" w:eastAsia="en-US" w:bidi="ar-SA"/>
      </w:rPr>
    </w:lvl>
    <w:lvl w:ilvl="6" w:tplc="450A0A14">
      <w:numFmt w:val="bullet"/>
      <w:lvlText w:val="•"/>
      <w:lvlJc w:val="left"/>
      <w:pPr>
        <w:ind w:left="3047" w:hanging="397"/>
      </w:pPr>
      <w:rPr>
        <w:rFonts w:hint="default"/>
        <w:lang w:val="en-US" w:eastAsia="en-US" w:bidi="ar-SA"/>
      </w:rPr>
    </w:lvl>
    <w:lvl w:ilvl="7" w:tplc="DD1E8676">
      <w:numFmt w:val="bullet"/>
      <w:lvlText w:val="•"/>
      <w:lvlJc w:val="left"/>
      <w:pPr>
        <w:ind w:left="3465" w:hanging="397"/>
      </w:pPr>
      <w:rPr>
        <w:rFonts w:hint="default"/>
        <w:lang w:val="en-US" w:eastAsia="en-US" w:bidi="ar-SA"/>
      </w:rPr>
    </w:lvl>
    <w:lvl w:ilvl="8" w:tplc="C978ADC4">
      <w:numFmt w:val="bullet"/>
      <w:lvlText w:val="•"/>
      <w:lvlJc w:val="left"/>
      <w:pPr>
        <w:ind w:left="3883" w:hanging="397"/>
      </w:pPr>
      <w:rPr>
        <w:rFonts w:hint="default"/>
        <w:lang w:val="en-US" w:eastAsia="en-US" w:bidi="ar-SA"/>
      </w:rPr>
    </w:lvl>
  </w:abstractNum>
  <w:abstractNum w:abstractNumId="3" w15:restartNumberingAfterBreak="0">
    <w:nsid w:val="231A4B3D"/>
    <w:multiLevelType w:val="hybridMultilevel"/>
    <w:tmpl w:val="40D492DA"/>
    <w:lvl w:ilvl="0" w:tplc="20F0F202">
      <w:numFmt w:val="bullet"/>
      <w:lvlText w:val=""/>
      <w:lvlJc w:val="left"/>
      <w:pPr>
        <w:ind w:left="539" w:hanging="395"/>
      </w:pPr>
      <w:rPr>
        <w:rFonts w:ascii="Wingdings" w:eastAsia="Wingdings" w:hAnsi="Wingdings" w:cs="Wingdings" w:hint="default"/>
        <w:spacing w:val="0"/>
        <w:w w:val="132"/>
        <w:lang w:val="en-US" w:eastAsia="en-US" w:bidi="ar-SA"/>
      </w:rPr>
    </w:lvl>
    <w:lvl w:ilvl="1" w:tplc="F162CEFC">
      <w:numFmt w:val="bullet"/>
      <w:lvlText w:val=""/>
      <w:lvlJc w:val="left"/>
      <w:pPr>
        <w:ind w:left="936" w:hanging="398"/>
      </w:pPr>
      <w:rPr>
        <w:rFonts w:ascii="Wingdings" w:eastAsia="Wingdings" w:hAnsi="Wingdings" w:cs="Wingdings" w:hint="default"/>
        <w:b w:val="0"/>
        <w:bCs w:val="0"/>
        <w:i w:val="0"/>
        <w:iCs w:val="0"/>
        <w:color w:val="231F20"/>
        <w:spacing w:val="0"/>
        <w:w w:val="100"/>
        <w:sz w:val="21"/>
        <w:szCs w:val="21"/>
        <w:lang w:val="en-US" w:eastAsia="en-US" w:bidi="ar-SA"/>
      </w:rPr>
    </w:lvl>
    <w:lvl w:ilvl="2" w:tplc="187A8486">
      <w:numFmt w:val="bullet"/>
      <w:lvlText w:val="•"/>
      <w:lvlJc w:val="left"/>
      <w:pPr>
        <w:ind w:left="1370" w:hanging="398"/>
      </w:pPr>
      <w:rPr>
        <w:rFonts w:hint="default"/>
        <w:lang w:val="en-US" w:eastAsia="en-US" w:bidi="ar-SA"/>
      </w:rPr>
    </w:lvl>
    <w:lvl w:ilvl="3" w:tplc="954648E6">
      <w:numFmt w:val="bullet"/>
      <w:lvlText w:val="•"/>
      <w:lvlJc w:val="left"/>
      <w:pPr>
        <w:ind w:left="1801" w:hanging="398"/>
      </w:pPr>
      <w:rPr>
        <w:rFonts w:hint="default"/>
        <w:lang w:val="en-US" w:eastAsia="en-US" w:bidi="ar-SA"/>
      </w:rPr>
    </w:lvl>
    <w:lvl w:ilvl="4" w:tplc="359E7B1A">
      <w:numFmt w:val="bullet"/>
      <w:lvlText w:val="•"/>
      <w:lvlJc w:val="left"/>
      <w:pPr>
        <w:ind w:left="2232" w:hanging="398"/>
      </w:pPr>
      <w:rPr>
        <w:rFonts w:hint="default"/>
        <w:lang w:val="en-US" w:eastAsia="en-US" w:bidi="ar-SA"/>
      </w:rPr>
    </w:lvl>
    <w:lvl w:ilvl="5" w:tplc="052CD974">
      <w:numFmt w:val="bullet"/>
      <w:lvlText w:val="•"/>
      <w:lvlJc w:val="left"/>
      <w:pPr>
        <w:ind w:left="2663" w:hanging="398"/>
      </w:pPr>
      <w:rPr>
        <w:rFonts w:hint="default"/>
        <w:lang w:val="en-US" w:eastAsia="en-US" w:bidi="ar-SA"/>
      </w:rPr>
    </w:lvl>
    <w:lvl w:ilvl="6" w:tplc="EE305E1E">
      <w:numFmt w:val="bullet"/>
      <w:lvlText w:val="•"/>
      <w:lvlJc w:val="left"/>
      <w:pPr>
        <w:ind w:left="3094" w:hanging="398"/>
      </w:pPr>
      <w:rPr>
        <w:rFonts w:hint="default"/>
        <w:lang w:val="en-US" w:eastAsia="en-US" w:bidi="ar-SA"/>
      </w:rPr>
    </w:lvl>
    <w:lvl w:ilvl="7" w:tplc="3B7A0184">
      <w:numFmt w:val="bullet"/>
      <w:lvlText w:val="•"/>
      <w:lvlJc w:val="left"/>
      <w:pPr>
        <w:ind w:left="3525" w:hanging="398"/>
      </w:pPr>
      <w:rPr>
        <w:rFonts w:hint="default"/>
        <w:lang w:val="en-US" w:eastAsia="en-US" w:bidi="ar-SA"/>
      </w:rPr>
    </w:lvl>
    <w:lvl w:ilvl="8" w:tplc="88AC9A6A">
      <w:numFmt w:val="bullet"/>
      <w:lvlText w:val="•"/>
      <w:lvlJc w:val="left"/>
      <w:pPr>
        <w:ind w:left="3956" w:hanging="398"/>
      </w:pPr>
      <w:rPr>
        <w:rFonts w:hint="default"/>
        <w:lang w:val="en-US" w:eastAsia="en-US" w:bidi="ar-SA"/>
      </w:rPr>
    </w:lvl>
  </w:abstractNum>
  <w:abstractNum w:abstractNumId="4" w15:restartNumberingAfterBreak="0">
    <w:nsid w:val="5431170A"/>
    <w:multiLevelType w:val="hybridMultilevel"/>
    <w:tmpl w:val="37B0CFE8"/>
    <w:lvl w:ilvl="0" w:tplc="8976102A">
      <w:numFmt w:val="bullet"/>
      <w:lvlText w:val=""/>
      <w:lvlJc w:val="left"/>
      <w:pPr>
        <w:ind w:left="539" w:hanging="3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32"/>
        <w:sz w:val="21"/>
        <w:szCs w:val="21"/>
        <w:lang w:val="en-US" w:eastAsia="en-US" w:bidi="ar-SA"/>
      </w:rPr>
    </w:lvl>
    <w:lvl w:ilvl="1" w:tplc="89982088">
      <w:numFmt w:val="bullet"/>
      <w:lvlText w:val="•"/>
      <w:lvlJc w:val="left"/>
      <w:pPr>
        <w:ind w:left="957" w:hanging="397"/>
      </w:pPr>
      <w:rPr>
        <w:rFonts w:hint="default"/>
        <w:lang w:val="en-US" w:eastAsia="en-US" w:bidi="ar-SA"/>
      </w:rPr>
    </w:lvl>
    <w:lvl w:ilvl="2" w:tplc="601A5F0E">
      <w:numFmt w:val="bullet"/>
      <w:lvlText w:val="•"/>
      <w:lvlJc w:val="left"/>
      <w:pPr>
        <w:ind w:left="1375" w:hanging="397"/>
      </w:pPr>
      <w:rPr>
        <w:rFonts w:hint="default"/>
        <w:lang w:val="en-US" w:eastAsia="en-US" w:bidi="ar-SA"/>
      </w:rPr>
    </w:lvl>
    <w:lvl w:ilvl="3" w:tplc="006C9AAE">
      <w:numFmt w:val="bullet"/>
      <w:lvlText w:val="•"/>
      <w:lvlJc w:val="left"/>
      <w:pPr>
        <w:ind w:left="1793" w:hanging="397"/>
      </w:pPr>
      <w:rPr>
        <w:rFonts w:hint="default"/>
        <w:lang w:val="en-US" w:eastAsia="en-US" w:bidi="ar-SA"/>
      </w:rPr>
    </w:lvl>
    <w:lvl w:ilvl="4" w:tplc="9918C62C">
      <w:numFmt w:val="bullet"/>
      <w:lvlText w:val="•"/>
      <w:lvlJc w:val="left"/>
      <w:pPr>
        <w:ind w:left="2211" w:hanging="397"/>
      </w:pPr>
      <w:rPr>
        <w:rFonts w:hint="default"/>
        <w:lang w:val="en-US" w:eastAsia="en-US" w:bidi="ar-SA"/>
      </w:rPr>
    </w:lvl>
    <w:lvl w:ilvl="5" w:tplc="3780A524">
      <w:numFmt w:val="bullet"/>
      <w:lvlText w:val="•"/>
      <w:lvlJc w:val="left"/>
      <w:pPr>
        <w:ind w:left="2629" w:hanging="397"/>
      </w:pPr>
      <w:rPr>
        <w:rFonts w:hint="default"/>
        <w:lang w:val="en-US" w:eastAsia="en-US" w:bidi="ar-SA"/>
      </w:rPr>
    </w:lvl>
    <w:lvl w:ilvl="6" w:tplc="EC1A5D76">
      <w:numFmt w:val="bullet"/>
      <w:lvlText w:val="•"/>
      <w:lvlJc w:val="left"/>
      <w:pPr>
        <w:ind w:left="3047" w:hanging="397"/>
      </w:pPr>
      <w:rPr>
        <w:rFonts w:hint="default"/>
        <w:lang w:val="en-US" w:eastAsia="en-US" w:bidi="ar-SA"/>
      </w:rPr>
    </w:lvl>
    <w:lvl w:ilvl="7" w:tplc="13FE3978">
      <w:numFmt w:val="bullet"/>
      <w:lvlText w:val="•"/>
      <w:lvlJc w:val="left"/>
      <w:pPr>
        <w:ind w:left="3465" w:hanging="397"/>
      </w:pPr>
      <w:rPr>
        <w:rFonts w:hint="default"/>
        <w:lang w:val="en-US" w:eastAsia="en-US" w:bidi="ar-SA"/>
      </w:rPr>
    </w:lvl>
    <w:lvl w:ilvl="8" w:tplc="124410CA">
      <w:numFmt w:val="bullet"/>
      <w:lvlText w:val="•"/>
      <w:lvlJc w:val="left"/>
      <w:pPr>
        <w:ind w:left="3883" w:hanging="397"/>
      </w:pPr>
      <w:rPr>
        <w:rFonts w:hint="default"/>
        <w:lang w:val="en-US" w:eastAsia="en-US" w:bidi="ar-SA"/>
      </w:rPr>
    </w:lvl>
  </w:abstractNum>
  <w:num w:numId="1" w16cid:durableId="397897055">
    <w:abstractNumId w:val="3"/>
  </w:num>
  <w:num w:numId="2" w16cid:durableId="310213737">
    <w:abstractNumId w:val="2"/>
  </w:num>
  <w:num w:numId="3" w16cid:durableId="476261849">
    <w:abstractNumId w:val="4"/>
  </w:num>
  <w:num w:numId="4" w16cid:durableId="849488302">
    <w:abstractNumId w:val="0"/>
  </w:num>
  <w:num w:numId="5" w16cid:durableId="1886522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6D"/>
    <w:rsid w:val="00117491"/>
    <w:rsid w:val="00176D9F"/>
    <w:rsid w:val="00330F2A"/>
    <w:rsid w:val="005C4BC4"/>
    <w:rsid w:val="00663F6D"/>
    <w:rsid w:val="009E57B3"/>
    <w:rsid w:val="00A71324"/>
    <w:rsid w:val="00A96F99"/>
    <w:rsid w:val="00AE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86038"/>
  <w15:docId w15:val="{85D59188-D9FE-794B-8722-55D27C0D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37"/>
      <w:ind w:left="1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479" w:right="20" w:hanging="79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096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95"/>
      <w:jc w:val="both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93"/>
      <w:ind w:left="142" w:hanging="233"/>
      <w:outlineLvl w:val="4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4"/>
      <w:ind w:left="538" w:hanging="397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124"/>
      <w:ind w:left="539" w:hanging="39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997</Words>
  <Characters>5429</Characters>
  <Application>Microsoft Office Word</Application>
  <DocSecurity>0</DocSecurity>
  <Lines>187</Lines>
  <Paragraphs>98</Paragraphs>
  <ScaleCrop>false</ScaleCrop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Andrew Shipard</cp:lastModifiedBy>
  <cp:revision>3</cp:revision>
  <dcterms:created xsi:type="dcterms:W3CDTF">2026-07-01T23:20:00Z</dcterms:created>
  <dcterms:modified xsi:type="dcterms:W3CDTF">2026-07-01T23:21:00Z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Creator">
    <vt:lpwstr>Adobe InDesign 21.0 (Macintosh)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18.0</vt:lpwstr>
  </property>
</Properties>
</file>