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9721" w14:textId="417DB88F" w:rsidR="00745283" w:rsidRDefault="001C05EC" w:rsidP="001C05EC">
      <w:pPr>
        <w:pStyle w:val="BodyText"/>
        <w:ind w:left="0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ABBEB37" wp14:editId="065A65B4">
            <wp:extent cx="2568690" cy="1813560"/>
            <wp:effectExtent l="0" t="0" r="3175" b="0"/>
            <wp:docPr id="453978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78989" name="Picture 4539789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06" cy="183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912D" w14:textId="77777777" w:rsidR="00745283" w:rsidRDefault="00000000">
      <w:pPr>
        <w:pStyle w:val="BodyText"/>
        <w:ind w:left="14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AE79A8" wp14:editId="0E7DEF10">
                <wp:extent cx="6043930" cy="1155700"/>
                <wp:effectExtent l="38100" t="38100" r="33020" b="4445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3930" cy="11557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76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0A3C7B" w14:textId="77777777" w:rsidR="00745283" w:rsidRDefault="00000000">
                            <w:pPr>
                              <w:spacing w:before="84" w:line="249" w:lineRule="auto"/>
                              <w:ind w:left="2881" w:right="109" w:hanging="2030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2024/25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Year-end</w:t>
                            </w:r>
                            <w:r>
                              <w:rPr>
                                <w:b/>
                                <w:color w:val="FFFFFF"/>
                                <w:spacing w:val="-3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Checklist for Business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E79A8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475.9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" fillcolor="#231f20" strokecolor="#231f20" strokeweight="6pt">
                <v:path arrowok="t"/>
                <v:textbox inset="0,0,0,0">
                  <w:txbxContent>
                    <w:p w14:paraId="5C0A3C7B" w14:textId="77777777" w:rsidR="00745283" w:rsidRDefault="00000000">
                      <w:pPr>
                        <w:spacing w:before="84" w:line="249" w:lineRule="auto"/>
                        <w:ind w:left="2881" w:right="109" w:hanging="2030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>2024/25</w:t>
                      </w:r>
                      <w:r>
                        <w:rPr>
                          <w:b/>
                          <w:color w:val="FFFFFF"/>
                          <w:spacing w:val="-42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0"/>
                        </w:rPr>
                        <w:t>Year-end</w:t>
                      </w:r>
                      <w:r>
                        <w:rPr>
                          <w:b/>
                          <w:color w:val="FFFFFF"/>
                          <w:spacing w:val="-38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60"/>
                        </w:rPr>
                        <w:t>Checklist for Business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5E2A10" w14:textId="77777777" w:rsidR="00745283" w:rsidRDefault="00000000">
      <w:pPr>
        <w:spacing w:before="30" w:line="249" w:lineRule="auto"/>
        <w:ind w:left="142" w:right="139" w:firstLine="1"/>
        <w:jc w:val="both"/>
        <w:rPr>
          <w:i/>
          <w:sz w:val="21"/>
        </w:rPr>
      </w:pPr>
      <w:r>
        <w:rPr>
          <w:i/>
          <w:color w:val="231F20"/>
          <w:sz w:val="21"/>
        </w:rPr>
        <w:t>Many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business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clients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like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review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their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tax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position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before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end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income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year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and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evaluate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any strategies that may be available to legitimately reduce their tax.</w:t>
      </w:r>
      <w:r>
        <w:rPr>
          <w:i/>
          <w:color w:val="231F20"/>
          <w:spacing w:val="40"/>
          <w:sz w:val="21"/>
        </w:rPr>
        <w:t xml:space="preserve"> </w:t>
      </w:r>
      <w:r>
        <w:rPr>
          <w:i/>
          <w:color w:val="231F20"/>
          <w:sz w:val="21"/>
        </w:rPr>
        <w:t>Traditionally, year-end tax planning for profitable small businesses is based around accelerating deductions and deferring income.</w:t>
      </w:r>
    </w:p>
    <w:p w14:paraId="558082ED" w14:textId="77777777" w:rsidR="00745283" w:rsidRDefault="00000000">
      <w:pPr>
        <w:spacing w:before="118" w:line="249" w:lineRule="auto"/>
        <w:ind w:left="142" w:right="134" w:firstLine="1"/>
        <w:jc w:val="both"/>
        <w:rPr>
          <w:i/>
          <w:sz w:val="21"/>
        </w:rPr>
      </w:pPr>
      <w:r>
        <w:rPr>
          <w:i/>
          <w:color w:val="231F20"/>
          <w:sz w:val="21"/>
        </w:rPr>
        <w:t>Small Business Entities ('SBEs') – i.e., those with an aggregated turnover of less than $10 million – often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have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greater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tax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planning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opportunities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compared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other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businesses,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due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certain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concessions generally only applying to them.</w:t>
      </w:r>
      <w:r>
        <w:rPr>
          <w:i/>
          <w:color w:val="231F20"/>
          <w:spacing w:val="40"/>
          <w:sz w:val="21"/>
        </w:rPr>
        <w:t xml:space="preserve"> </w:t>
      </w:r>
      <w:r>
        <w:rPr>
          <w:i/>
          <w:color w:val="231F20"/>
          <w:sz w:val="21"/>
        </w:rPr>
        <w:t xml:space="preserve">SBEs usually also have the flexibility to pick concessions that suit their </w:t>
      </w:r>
      <w:r>
        <w:rPr>
          <w:i/>
          <w:color w:val="231F20"/>
          <w:spacing w:val="-4"/>
          <w:sz w:val="21"/>
        </w:rPr>
        <w:t>circumstances.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For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2024/25,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many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of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these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concessions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may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also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be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available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to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>medium-sized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4"/>
          <w:sz w:val="21"/>
        </w:rPr>
        <w:t xml:space="preserve">businesses </w:t>
      </w:r>
      <w:r>
        <w:rPr>
          <w:i/>
          <w:color w:val="231F20"/>
          <w:sz w:val="21"/>
        </w:rPr>
        <w:t>('MSBs'), i.e., businesses with an aggregated turnover of less than $50 million.</w:t>
      </w:r>
    </w:p>
    <w:p w14:paraId="3E2B9324" w14:textId="77777777" w:rsidR="00745283" w:rsidRDefault="00000000">
      <w:pPr>
        <w:pStyle w:val="BodyText"/>
        <w:spacing w:before="119"/>
        <w:ind w:left="143" w:firstLine="0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2"/>
        </w:rPr>
        <w:t xml:space="preserve"> taxpayers.</w:t>
      </w:r>
    </w:p>
    <w:p w14:paraId="28B8AC23" w14:textId="77777777" w:rsidR="00745283" w:rsidRDefault="00745283">
      <w:pPr>
        <w:pStyle w:val="BodyText"/>
        <w:spacing w:before="2"/>
        <w:ind w:left="0" w:firstLine="0"/>
        <w:rPr>
          <w:sz w:val="10"/>
        </w:rPr>
      </w:pPr>
    </w:p>
    <w:p w14:paraId="4FB08F4F" w14:textId="77777777" w:rsidR="00745283" w:rsidRDefault="00745283">
      <w:pPr>
        <w:pStyle w:val="BodyText"/>
        <w:rPr>
          <w:sz w:val="10"/>
        </w:rPr>
        <w:sectPr w:rsidR="00745283" w:rsidSect="001C05EC">
          <w:footerReference w:type="default" r:id="rId8"/>
          <w:pgSz w:w="11910" w:h="16840"/>
          <w:pgMar w:top="426" w:right="992" w:bottom="460" w:left="992" w:header="0" w:footer="240" w:gutter="0"/>
          <w:cols w:space="720"/>
        </w:sectPr>
      </w:pPr>
    </w:p>
    <w:p w14:paraId="4376A650" w14:textId="77777777" w:rsidR="00745283" w:rsidRDefault="00000000">
      <w:pPr>
        <w:pStyle w:val="Heading1"/>
        <w:spacing w:before="92" w:line="249" w:lineRule="auto"/>
        <w:ind w:left="617" w:right="521" w:firstLine="1"/>
        <w:jc w:val="center"/>
      </w:pPr>
      <w:proofErr w:type="spellStart"/>
      <w:r>
        <w:rPr>
          <w:color w:val="231F20"/>
        </w:rPr>
        <w:t>Maximising</w:t>
      </w:r>
      <w:proofErr w:type="spellEnd"/>
      <w:r>
        <w:rPr>
          <w:color w:val="231F20"/>
        </w:rPr>
        <w:t xml:space="preserve"> deductions for non-SBE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taxpayers</w:t>
      </w:r>
    </w:p>
    <w:p w14:paraId="39D71205" w14:textId="77777777" w:rsidR="00745283" w:rsidRDefault="00000000">
      <w:pPr>
        <w:spacing w:before="103" w:line="249" w:lineRule="auto"/>
        <w:ind w:left="142" w:right="38"/>
        <w:jc w:val="both"/>
        <w:rPr>
          <w:sz w:val="21"/>
        </w:rPr>
      </w:pPr>
      <w:r>
        <w:rPr>
          <w:sz w:val="21"/>
        </w:rPr>
        <w:t xml:space="preserve">Deductions can be </w:t>
      </w:r>
      <w:proofErr w:type="spellStart"/>
      <w:r>
        <w:rPr>
          <w:sz w:val="21"/>
        </w:rPr>
        <w:t>maximised</w:t>
      </w:r>
      <w:proofErr w:type="spellEnd"/>
      <w:r>
        <w:rPr>
          <w:sz w:val="21"/>
        </w:rPr>
        <w:t xml:space="preserve"> for non-SBE business taxpayers by </w:t>
      </w:r>
      <w:r>
        <w:rPr>
          <w:b/>
          <w:sz w:val="21"/>
        </w:rPr>
        <w:t>prepaying expenses</w:t>
      </w:r>
      <w:r>
        <w:rPr>
          <w:sz w:val="21"/>
        </w:rPr>
        <w:t xml:space="preserve">, </w:t>
      </w:r>
      <w:r>
        <w:rPr>
          <w:b/>
          <w:sz w:val="21"/>
        </w:rPr>
        <w:t xml:space="preserve">accelerating expenditure </w:t>
      </w:r>
      <w:r>
        <w:rPr>
          <w:sz w:val="21"/>
        </w:rPr>
        <w:t xml:space="preserve">and/or </w:t>
      </w:r>
      <w:r>
        <w:rPr>
          <w:b/>
          <w:sz w:val="21"/>
        </w:rPr>
        <w:t xml:space="preserve">accruing expenses </w:t>
      </w:r>
      <w:r>
        <w:rPr>
          <w:sz w:val="21"/>
        </w:rPr>
        <w:t>that have been incurred.</w:t>
      </w:r>
    </w:p>
    <w:p w14:paraId="0ADB242F" w14:textId="77777777" w:rsidR="00745283" w:rsidRDefault="00000000">
      <w:pPr>
        <w:pStyle w:val="Heading2"/>
        <w:spacing w:before="206"/>
      </w:pPr>
      <w:r>
        <w:rPr>
          <w:color w:val="231F20"/>
        </w:rPr>
        <w:t xml:space="preserve">Prepayment </w:t>
      </w:r>
      <w:r>
        <w:rPr>
          <w:color w:val="231F20"/>
          <w:spacing w:val="-2"/>
        </w:rPr>
        <w:t>strategies</w:t>
      </w:r>
    </w:p>
    <w:p w14:paraId="1407D4CD" w14:textId="77777777" w:rsidR="00745283" w:rsidRDefault="00000000">
      <w:pPr>
        <w:pStyle w:val="BodyText"/>
        <w:spacing w:before="119" w:line="249" w:lineRule="auto"/>
        <w:ind w:left="142" w:right="45" w:firstLine="1"/>
        <w:jc w:val="center"/>
      </w:pPr>
      <w:r>
        <w:t>Any part of an expense prepayment relating to the period up to 30 June is generally deductible.</w:t>
      </w:r>
    </w:p>
    <w:p w14:paraId="0B7B7905" w14:textId="77777777" w:rsidR="00745283" w:rsidRDefault="00000000">
      <w:pPr>
        <w:pStyle w:val="BodyText"/>
        <w:spacing w:before="128" w:line="249" w:lineRule="auto"/>
        <w:ind w:left="142" w:right="46" w:firstLine="1"/>
        <w:jc w:val="both"/>
      </w:pPr>
      <w:r>
        <w:t>In addition, non-SBE taxpayers may generally claim prepayments in full for expenditure that is:</w:t>
      </w:r>
    </w:p>
    <w:p w14:paraId="1ADE5F4E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32"/>
        <w:ind w:left="538" w:hanging="396"/>
        <w:rPr>
          <w:rFonts w:ascii="Wingdings" w:hAnsi="Wingdings"/>
          <w:sz w:val="24"/>
        </w:rPr>
      </w:pPr>
      <w:r>
        <w:rPr>
          <w:color w:val="231F20"/>
          <w:sz w:val="21"/>
        </w:rPr>
        <w:t xml:space="preserve">under </w:t>
      </w:r>
      <w:proofErr w:type="gramStart"/>
      <w:r>
        <w:rPr>
          <w:color w:val="231F20"/>
          <w:spacing w:val="-2"/>
          <w:sz w:val="21"/>
        </w:rPr>
        <w:t>$1,000;</w:t>
      </w:r>
      <w:proofErr w:type="gramEnd"/>
    </w:p>
    <w:p w14:paraId="5FFAE66F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92" w:line="244" w:lineRule="auto"/>
        <w:ind w:left="538" w:right="44" w:hanging="397"/>
        <w:rPr>
          <w:rFonts w:ascii="Wingdings" w:hAnsi="Wingdings"/>
          <w:sz w:val="24"/>
        </w:rPr>
      </w:pPr>
      <w:r>
        <w:rPr>
          <w:color w:val="231F20"/>
          <w:sz w:val="21"/>
        </w:rPr>
        <w:t>made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under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'contract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service'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(e.g.,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salary and wages); or</w:t>
      </w:r>
    </w:p>
    <w:p w14:paraId="37672BE2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92"/>
        <w:ind w:left="538" w:hanging="396"/>
        <w:rPr>
          <w:rFonts w:ascii="Wingdings" w:hAnsi="Wingdings"/>
          <w:sz w:val="24"/>
        </w:rPr>
      </w:pPr>
      <w:r>
        <w:rPr>
          <w:color w:val="231F20"/>
          <w:sz w:val="21"/>
        </w:rPr>
        <w:t>required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incurred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under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4"/>
          <w:sz w:val="21"/>
        </w:rPr>
        <w:t>law.</w:t>
      </w:r>
    </w:p>
    <w:p w14:paraId="0C0B44BD" w14:textId="77777777" w:rsidR="00745283" w:rsidRDefault="00000000">
      <w:pPr>
        <w:spacing w:before="175" w:line="249" w:lineRule="auto"/>
        <w:ind w:left="142" w:right="46" w:firstLine="1"/>
        <w:jc w:val="both"/>
        <w:rPr>
          <w:i/>
          <w:sz w:val="21"/>
        </w:rPr>
      </w:pPr>
      <w:r>
        <w:rPr>
          <w:i/>
          <w:color w:val="231F20"/>
          <w:sz w:val="21"/>
        </w:rPr>
        <w:t>Note: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z w:val="21"/>
        </w:rPr>
        <w:t>Medium-sized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z w:val="21"/>
        </w:rPr>
        <w:t>businesses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z w:val="21"/>
        </w:rPr>
        <w:t>('MSBs')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z w:val="21"/>
        </w:rPr>
        <w:t>may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z w:val="21"/>
        </w:rPr>
        <w:t>be able to fully deduct certain prepayments made before 1 July 2025 (refer below).</w:t>
      </w:r>
    </w:p>
    <w:p w14:paraId="2758ACA7" w14:textId="77777777" w:rsidR="00745283" w:rsidRDefault="00000000">
      <w:pPr>
        <w:pStyle w:val="Heading2"/>
        <w:spacing w:before="125" w:line="271" w:lineRule="auto"/>
        <w:ind w:right="4"/>
      </w:pPr>
      <w:r>
        <w:rPr>
          <w:color w:val="231F20"/>
          <w:spacing w:val="-8"/>
        </w:rPr>
        <w:t>Accelerating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expenditure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 xml:space="preserve">(including </w:t>
      </w:r>
      <w:r>
        <w:rPr>
          <w:color w:val="231F20"/>
        </w:rPr>
        <w:t>depreciation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deductions)</w:t>
      </w:r>
    </w:p>
    <w:p w14:paraId="0FE439AB" w14:textId="77777777" w:rsidR="00745283" w:rsidRDefault="00000000">
      <w:pPr>
        <w:pStyle w:val="BodyText"/>
        <w:spacing w:before="83" w:line="249" w:lineRule="auto"/>
        <w:ind w:left="142" w:right="45" w:firstLine="1"/>
        <w:jc w:val="center"/>
      </w:pPr>
      <w:r>
        <w:rPr>
          <w:color w:val="231F20"/>
          <w:spacing w:val="-2"/>
        </w:rPr>
        <w:t>Accelerating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expenditure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involves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bringing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forward expenditure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regular,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on-going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deductible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items.</w:t>
      </w:r>
    </w:p>
    <w:p w14:paraId="41851509" w14:textId="77777777" w:rsidR="00745283" w:rsidRDefault="00000000">
      <w:pPr>
        <w:pStyle w:val="BodyText"/>
        <w:spacing w:before="102" w:line="249" w:lineRule="auto"/>
        <w:ind w:left="142" w:right="140" w:firstLine="1"/>
        <w:jc w:val="both"/>
      </w:pPr>
      <w:r>
        <w:br w:type="column"/>
      </w:r>
      <w:r>
        <w:rPr>
          <w:color w:val="231F20"/>
        </w:rPr>
        <w:t xml:space="preserve">In fact, this is a useful strategy for any business </w:t>
      </w:r>
      <w:r>
        <w:rPr>
          <w:color w:val="231F20"/>
          <w:spacing w:val="-6"/>
        </w:rPr>
        <w:t>taxpayer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(i.e.,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including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SBEs)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 xml:space="preserve">businesses </w:t>
      </w:r>
      <w:r>
        <w:rPr>
          <w:color w:val="231F20"/>
        </w:rPr>
        <w:t>can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expenses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they </w:t>
      </w:r>
      <w:r>
        <w:rPr>
          <w:color w:val="231F20"/>
          <w:spacing w:val="-6"/>
        </w:rPr>
        <w:t>'incurred'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during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2024/25,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even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expenses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have </w:t>
      </w:r>
      <w:r>
        <w:rPr>
          <w:color w:val="231F20"/>
        </w:rPr>
        <w:t>not actually been paid by 30 June 2025.</w:t>
      </w:r>
    </w:p>
    <w:p w14:paraId="2984D1CA" w14:textId="77777777" w:rsidR="00745283" w:rsidRDefault="00000000">
      <w:pPr>
        <w:pStyle w:val="BodyText"/>
        <w:spacing w:before="89" w:line="249" w:lineRule="auto"/>
        <w:ind w:left="142" w:right="141" w:firstLine="1"/>
        <w:jc w:val="both"/>
      </w:pPr>
      <w:r>
        <w:rPr>
          <w:color w:val="231F20"/>
        </w:rPr>
        <w:t>Examples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accelerated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4"/>
        </w:rPr>
        <w:t>incurred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claimed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tax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deduction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2024/25 </w:t>
      </w:r>
      <w:r>
        <w:rPr>
          <w:color w:val="231F20"/>
        </w:rPr>
        <w:t>by a business taxpayer include the following:</w:t>
      </w:r>
    </w:p>
    <w:p w14:paraId="6770EBDA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before="95"/>
        <w:ind w:left="537" w:hanging="394"/>
        <w:jc w:val="both"/>
        <w:rPr>
          <w:rFonts w:ascii="Wingdings" w:hAnsi="Wingdings"/>
          <w:sz w:val="24"/>
        </w:rPr>
      </w:pPr>
      <w:r>
        <w:rPr>
          <w:b/>
          <w:color w:val="231F20"/>
          <w:spacing w:val="-2"/>
          <w:sz w:val="21"/>
        </w:rPr>
        <w:t>Repairs.</w:t>
      </w:r>
    </w:p>
    <w:p w14:paraId="7214F03F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before="181"/>
        <w:ind w:left="537" w:hanging="394"/>
        <w:rPr>
          <w:rFonts w:ascii="Wingdings" w:hAnsi="Wingdings"/>
          <w:sz w:val="24"/>
        </w:rPr>
      </w:pPr>
      <w:r>
        <w:rPr>
          <w:b/>
          <w:color w:val="231F20"/>
          <w:spacing w:val="-2"/>
          <w:sz w:val="21"/>
        </w:rPr>
        <w:t>Maintenance.</w:t>
      </w:r>
    </w:p>
    <w:p w14:paraId="285189DD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before="108"/>
        <w:ind w:left="537" w:hanging="394"/>
        <w:rPr>
          <w:rFonts w:ascii="Wingdings" w:hAnsi="Wingdings"/>
          <w:sz w:val="24"/>
        </w:rPr>
      </w:pPr>
      <w:r>
        <w:rPr>
          <w:b/>
          <w:color w:val="231F20"/>
          <w:spacing w:val="-2"/>
          <w:sz w:val="21"/>
        </w:rPr>
        <w:t>Consumables/spare</w:t>
      </w:r>
      <w:r>
        <w:rPr>
          <w:b/>
          <w:color w:val="231F20"/>
          <w:spacing w:val="18"/>
          <w:sz w:val="21"/>
        </w:rPr>
        <w:t xml:space="preserve"> </w:t>
      </w:r>
      <w:r>
        <w:rPr>
          <w:b/>
          <w:color w:val="231F20"/>
          <w:spacing w:val="-2"/>
          <w:sz w:val="21"/>
        </w:rPr>
        <w:t>parts.</w:t>
      </w:r>
    </w:p>
    <w:p w14:paraId="5B22A931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0"/>
        </w:tabs>
        <w:spacing w:before="107"/>
        <w:ind w:left="520" w:hanging="377"/>
        <w:rPr>
          <w:rFonts w:ascii="Wingdings" w:hAnsi="Wingdings"/>
          <w:sz w:val="24"/>
        </w:rPr>
      </w:pPr>
      <w:r>
        <w:rPr>
          <w:b/>
          <w:color w:val="231F20"/>
          <w:spacing w:val="-2"/>
          <w:sz w:val="21"/>
        </w:rPr>
        <w:t>Advertising.</w:t>
      </w:r>
    </w:p>
    <w:p w14:paraId="5BC1A8B2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08" w:line="247" w:lineRule="auto"/>
        <w:ind w:left="538" w:right="140" w:hanging="395"/>
        <w:jc w:val="both"/>
        <w:rPr>
          <w:rFonts w:ascii="Wingdings" w:hAnsi="Wingdings"/>
          <w:sz w:val="24"/>
        </w:rPr>
      </w:pPr>
      <w:r>
        <w:rPr>
          <w:b/>
          <w:color w:val="231F20"/>
          <w:spacing w:val="-2"/>
          <w:sz w:val="21"/>
        </w:rPr>
        <w:t>Fringe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pacing w:val="-2"/>
          <w:sz w:val="21"/>
        </w:rPr>
        <w:t>benefits.</w:t>
      </w:r>
      <w:r>
        <w:rPr>
          <w:b/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Any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employee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benefits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be </w:t>
      </w:r>
      <w:r>
        <w:rPr>
          <w:color w:val="231F20"/>
          <w:sz w:val="21"/>
        </w:rPr>
        <w:t>provided,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property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benefits,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could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be purchased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provided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prior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July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2025.</w:t>
      </w:r>
    </w:p>
    <w:p w14:paraId="2F71A415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2"/>
        </w:tabs>
        <w:spacing w:before="106" w:line="247" w:lineRule="auto"/>
        <w:ind w:left="522" w:right="142" w:hanging="380"/>
        <w:jc w:val="both"/>
        <w:rPr>
          <w:rFonts w:ascii="Wingdings" w:hAnsi="Wingdings"/>
          <w:sz w:val="24"/>
        </w:rPr>
      </w:pPr>
      <w:r>
        <w:rPr>
          <w:b/>
          <w:color w:val="231F20"/>
          <w:sz w:val="21"/>
        </w:rPr>
        <w:t>Superannuation</w:t>
      </w:r>
      <w:r>
        <w:rPr>
          <w:b/>
          <w:color w:val="231F20"/>
          <w:spacing w:val="40"/>
          <w:sz w:val="21"/>
        </w:rPr>
        <w:t xml:space="preserve"> </w:t>
      </w:r>
      <w:r>
        <w:rPr>
          <w:b/>
          <w:color w:val="231F20"/>
          <w:sz w:val="21"/>
        </w:rPr>
        <w:t xml:space="preserve">contributions </w:t>
      </w:r>
      <w:r>
        <w:rPr>
          <w:color w:val="231F20"/>
          <w:sz w:val="21"/>
        </w:rPr>
        <w:t xml:space="preserve">made to a </w:t>
      </w:r>
      <w:r>
        <w:rPr>
          <w:color w:val="231F20"/>
          <w:spacing w:val="-2"/>
          <w:sz w:val="21"/>
        </w:rPr>
        <w:t>complying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fund,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extent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the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contributions </w:t>
      </w:r>
      <w:r>
        <w:rPr>
          <w:color w:val="231F20"/>
          <w:spacing w:val="-4"/>
          <w:sz w:val="21"/>
        </w:rPr>
        <w:t>are</w:t>
      </w:r>
      <w:r>
        <w:rPr>
          <w:color w:val="231F20"/>
          <w:spacing w:val="-11"/>
          <w:sz w:val="21"/>
        </w:rPr>
        <w:t xml:space="preserve"> </w:t>
      </w:r>
      <w:proofErr w:type="gramStart"/>
      <w:r>
        <w:rPr>
          <w:color w:val="231F20"/>
          <w:spacing w:val="-4"/>
          <w:sz w:val="21"/>
        </w:rPr>
        <w:t>actually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made</w:t>
      </w:r>
      <w:proofErr w:type="gramEnd"/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(i.e.,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they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cannot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be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accrued </w:t>
      </w:r>
      <w:r>
        <w:rPr>
          <w:color w:val="231F20"/>
          <w:sz w:val="21"/>
        </w:rPr>
        <w:t xml:space="preserve">but must be </w:t>
      </w:r>
      <w:r>
        <w:rPr>
          <w:i/>
          <w:color w:val="231F20"/>
          <w:sz w:val="21"/>
        </w:rPr>
        <w:t xml:space="preserve">paid </w:t>
      </w:r>
      <w:r>
        <w:rPr>
          <w:color w:val="231F20"/>
          <w:sz w:val="21"/>
        </w:rPr>
        <w:t>by 30 June 2025).</w:t>
      </w:r>
    </w:p>
    <w:p w14:paraId="35B0974A" w14:textId="77777777" w:rsidR="00745283" w:rsidRDefault="00000000">
      <w:pPr>
        <w:pStyle w:val="BodyText"/>
        <w:spacing w:before="121" w:line="249" w:lineRule="auto"/>
        <w:ind w:left="142" w:right="138" w:firstLine="1"/>
        <w:jc w:val="both"/>
      </w:pP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addition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accelerating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expenditure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business </w:t>
      </w:r>
      <w:r>
        <w:rPr>
          <w:color w:val="231F20"/>
        </w:rPr>
        <w:t>items such as those listed above, for 2024/25, non-SBE businesses may claim the following depreciation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depreciating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 xml:space="preserve">assets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by </w:t>
      </w:r>
      <w:r>
        <w:rPr>
          <w:b/>
          <w:color w:val="231F20"/>
        </w:rPr>
        <w:t>30 June 2025</w:t>
      </w:r>
      <w:r>
        <w:rPr>
          <w:color w:val="231F20"/>
        </w:rPr>
        <w:t>:</w:t>
      </w:r>
    </w:p>
    <w:p w14:paraId="52A8CDAB" w14:textId="77777777" w:rsidR="00745283" w:rsidRDefault="00745283">
      <w:pPr>
        <w:pStyle w:val="BodyText"/>
        <w:spacing w:line="249" w:lineRule="auto"/>
        <w:jc w:val="both"/>
        <w:sectPr w:rsidR="00745283">
          <w:type w:val="continuous"/>
          <w:pgSz w:w="11910" w:h="16840"/>
          <w:pgMar w:top="1920" w:right="992" w:bottom="420" w:left="992" w:header="0" w:footer="240" w:gutter="0"/>
          <w:cols w:num="2" w:space="720" w:equalWidth="0">
            <w:col w:w="4725" w:space="378"/>
            <w:col w:w="4823"/>
          </w:cols>
        </w:sectPr>
      </w:pPr>
    </w:p>
    <w:p w14:paraId="3DDCE37C" w14:textId="77777777" w:rsidR="00745283" w:rsidRDefault="00745283">
      <w:pPr>
        <w:pStyle w:val="BodyText"/>
        <w:spacing w:before="4"/>
        <w:ind w:left="0" w:firstLine="0"/>
        <w:rPr>
          <w:b/>
          <w:i/>
          <w:sz w:val="10"/>
        </w:rPr>
      </w:pPr>
    </w:p>
    <w:p w14:paraId="5E0FEF53" w14:textId="77777777" w:rsidR="00745283" w:rsidRDefault="00745283">
      <w:pPr>
        <w:pStyle w:val="BodyText"/>
        <w:rPr>
          <w:b/>
          <w:i/>
          <w:sz w:val="10"/>
        </w:rPr>
        <w:sectPr w:rsidR="00745283">
          <w:pgSz w:w="11910" w:h="16840"/>
          <w:pgMar w:top="460" w:right="992" w:bottom="420" w:left="992" w:header="0" w:footer="240" w:gutter="0"/>
          <w:cols w:space="720"/>
        </w:sectPr>
      </w:pPr>
    </w:p>
    <w:p w14:paraId="245D36D8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00" w:line="247" w:lineRule="auto"/>
        <w:ind w:right="43"/>
        <w:jc w:val="both"/>
        <w:rPr>
          <w:rFonts w:ascii="Wingdings" w:hAnsi="Wingdings"/>
          <w:sz w:val="24"/>
        </w:rPr>
      </w:pPr>
      <w:r>
        <w:rPr>
          <w:color w:val="231F20"/>
          <w:sz w:val="21"/>
        </w:rPr>
        <w:t>Depreciating assets costing $100 or less (including any GST) can be written off in the year of purchase.</w:t>
      </w:r>
    </w:p>
    <w:p w14:paraId="270DC154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62" w:line="247" w:lineRule="auto"/>
        <w:ind w:right="43"/>
        <w:jc w:val="both"/>
        <w:rPr>
          <w:rFonts w:ascii="Wingdings" w:hAnsi="Wingdings"/>
          <w:sz w:val="24"/>
        </w:rPr>
      </w:pPr>
      <w:r>
        <w:rPr>
          <w:color w:val="231F20"/>
          <w:sz w:val="21"/>
        </w:rPr>
        <w:t xml:space="preserve">Assets costing less than $1,000 may be </w:t>
      </w:r>
      <w:r>
        <w:rPr>
          <w:color w:val="231F20"/>
          <w:spacing w:val="-4"/>
          <w:sz w:val="21"/>
        </w:rPr>
        <w:t>allocated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Low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Value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Pool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>and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4"/>
          <w:sz w:val="21"/>
        </w:rPr>
        <w:t xml:space="preserve">depreciated </w:t>
      </w:r>
      <w:r>
        <w:rPr>
          <w:color w:val="231F20"/>
          <w:sz w:val="21"/>
        </w:rPr>
        <w:t xml:space="preserve">at a rate of 18.75% (in 2025) and 37.5% </w:t>
      </w:r>
      <w:r>
        <w:rPr>
          <w:color w:val="231F20"/>
          <w:spacing w:val="-2"/>
          <w:sz w:val="21"/>
        </w:rPr>
        <w:t>thereafter.</w:t>
      </w:r>
    </w:p>
    <w:p w14:paraId="55BE8A95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65" w:line="247" w:lineRule="auto"/>
        <w:ind w:right="38"/>
        <w:jc w:val="both"/>
        <w:rPr>
          <w:rFonts w:ascii="Wingdings" w:hAnsi="Wingdings"/>
          <w:sz w:val="24"/>
        </w:rPr>
      </w:pPr>
      <w:r>
        <w:rPr>
          <w:color w:val="231F20"/>
          <w:sz w:val="21"/>
        </w:rPr>
        <w:t xml:space="preserve">In most other cases, the asset's cost is </w:t>
      </w:r>
      <w:r>
        <w:rPr>
          <w:color w:val="231F20"/>
          <w:spacing w:val="-8"/>
          <w:sz w:val="21"/>
        </w:rPr>
        <w:t>depreciated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over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its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effective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life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>(as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8"/>
          <w:sz w:val="21"/>
        </w:rPr>
        <w:t xml:space="preserve">determined </w:t>
      </w:r>
      <w:r>
        <w:rPr>
          <w:color w:val="231F20"/>
          <w:sz w:val="21"/>
        </w:rPr>
        <w:t>by the taxpayer or the ATO).</w:t>
      </w:r>
    </w:p>
    <w:p w14:paraId="09D75285" w14:textId="77777777" w:rsidR="00745283" w:rsidRDefault="00000000">
      <w:pPr>
        <w:spacing w:before="146"/>
        <w:ind w:left="144"/>
        <w:jc w:val="both"/>
        <w:rPr>
          <w:i/>
          <w:sz w:val="21"/>
        </w:rPr>
      </w:pPr>
      <w:r>
        <w:rPr>
          <w:i/>
          <w:color w:val="231F20"/>
          <w:spacing w:val="-2"/>
          <w:sz w:val="21"/>
        </w:rPr>
        <w:t>Note:</w:t>
      </w:r>
      <w:r>
        <w:rPr>
          <w:i/>
          <w:color w:val="231F20"/>
          <w:spacing w:val="-7"/>
          <w:sz w:val="21"/>
        </w:rPr>
        <w:t xml:space="preserve"> </w:t>
      </w:r>
      <w:r>
        <w:rPr>
          <w:i/>
          <w:color w:val="231F20"/>
          <w:spacing w:val="-2"/>
          <w:sz w:val="21"/>
        </w:rPr>
        <w:t>While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the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instant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pacing w:val="-2"/>
          <w:sz w:val="21"/>
        </w:rPr>
        <w:t>asset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write-off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threshold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pacing w:val="-5"/>
          <w:sz w:val="21"/>
        </w:rPr>
        <w:t>of</w:t>
      </w:r>
    </w:p>
    <w:p w14:paraId="24856A5F" w14:textId="77777777" w:rsidR="00745283" w:rsidRDefault="00000000">
      <w:pPr>
        <w:spacing w:before="10" w:line="249" w:lineRule="auto"/>
        <w:ind w:left="143" w:right="44"/>
        <w:jc w:val="both"/>
        <w:rPr>
          <w:i/>
          <w:sz w:val="21"/>
        </w:rPr>
      </w:pPr>
      <w:r>
        <w:rPr>
          <w:i/>
          <w:color w:val="231F20"/>
          <w:sz w:val="21"/>
        </w:rPr>
        <w:t>$20,000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for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SBEs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has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been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retained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for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 xml:space="preserve">2024/25, it has </w:t>
      </w:r>
      <w:r>
        <w:rPr>
          <w:b/>
          <w:i/>
          <w:color w:val="231F20"/>
          <w:sz w:val="21"/>
        </w:rPr>
        <w:t xml:space="preserve">not </w:t>
      </w:r>
      <w:r>
        <w:rPr>
          <w:i/>
          <w:color w:val="231F20"/>
          <w:sz w:val="21"/>
        </w:rPr>
        <w:t>been extended to non-SBEs with an aggregated</w:t>
      </w:r>
      <w:r>
        <w:rPr>
          <w:i/>
          <w:color w:val="231F20"/>
          <w:spacing w:val="8"/>
          <w:sz w:val="21"/>
        </w:rPr>
        <w:t xml:space="preserve"> </w:t>
      </w:r>
      <w:r>
        <w:rPr>
          <w:i/>
          <w:color w:val="231F20"/>
          <w:sz w:val="21"/>
        </w:rPr>
        <w:t>turnover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between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$10</w:t>
      </w:r>
      <w:r>
        <w:rPr>
          <w:i/>
          <w:color w:val="231F20"/>
          <w:spacing w:val="10"/>
          <w:sz w:val="21"/>
        </w:rPr>
        <w:t xml:space="preserve"> </w:t>
      </w:r>
      <w:r>
        <w:rPr>
          <w:i/>
          <w:color w:val="231F20"/>
          <w:sz w:val="21"/>
        </w:rPr>
        <w:t>million</w:t>
      </w:r>
      <w:r>
        <w:rPr>
          <w:i/>
          <w:color w:val="231F20"/>
          <w:spacing w:val="11"/>
          <w:sz w:val="21"/>
        </w:rPr>
        <w:t xml:space="preserve"> </w:t>
      </w:r>
      <w:r>
        <w:rPr>
          <w:i/>
          <w:color w:val="231F20"/>
          <w:spacing w:val="-5"/>
          <w:sz w:val="21"/>
        </w:rPr>
        <w:t>and</w:t>
      </w:r>
    </w:p>
    <w:p w14:paraId="2D4E7EE0" w14:textId="77777777" w:rsidR="00745283" w:rsidRDefault="00000000">
      <w:pPr>
        <w:spacing w:before="3"/>
        <w:ind w:left="143"/>
        <w:jc w:val="both"/>
        <w:rPr>
          <w:i/>
          <w:sz w:val="21"/>
        </w:rPr>
      </w:pPr>
      <w:r>
        <w:rPr>
          <w:i/>
          <w:color w:val="231F20"/>
          <w:sz w:val="21"/>
        </w:rPr>
        <w:t>$50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>million, as</w:t>
      </w:r>
      <w:r>
        <w:rPr>
          <w:i/>
          <w:color w:val="231F20"/>
          <w:spacing w:val="-1"/>
          <w:sz w:val="21"/>
        </w:rPr>
        <w:t xml:space="preserve"> </w:t>
      </w:r>
      <w:r>
        <w:rPr>
          <w:i/>
          <w:color w:val="231F20"/>
          <w:sz w:val="21"/>
        </w:rPr>
        <w:t xml:space="preserve">was previously </w:t>
      </w:r>
      <w:r>
        <w:rPr>
          <w:i/>
          <w:color w:val="231F20"/>
          <w:spacing w:val="-2"/>
          <w:sz w:val="21"/>
        </w:rPr>
        <w:t>proposed.</w:t>
      </w:r>
    </w:p>
    <w:p w14:paraId="37663257" w14:textId="77777777" w:rsidR="00745283" w:rsidRDefault="00000000">
      <w:pPr>
        <w:pStyle w:val="Heading2"/>
        <w:ind w:left="1289"/>
        <w:jc w:val="both"/>
      </w:pPr>
      <w:r>
        <w:rPr>
          <w:color w:val="231F20"/>
        </w:rPr>
        <w:t xml:space="preserve">Accrued </w:t>
      </w:r>
      <w:r>
        <w:rPr>
          <w:color w:val="231F20"/>
          <w:spacing w:val="-2"/>
        </w:rPr>
        <w:t>expenditure</w:t>
      </w:r>
    </w:p>
    <w:p w14:paraId="66A5FAB6" w14:textId="77777777" w:rsidR="00745283" w:rsidRDefault="00000000">
      <w:pPr>
        <w:pStyle w:val="BodyText"/>
        <w:spacing w:before="118" w:line="249" w:lineRule="auto"/>
        <w:ind w:left="142" w:right="43" w:firstLine="0"/>
        <w:jc w:val="both"/>
      </w:pPr>
      <w:r>
        <w:rPr>
          <w:color w:val="231F20"/>
        </w:rPr>
        <w:t>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taxpayers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SBEs)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entitled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deduction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expenses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incurred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2"/>
        </w:rPr>
        <w:t>at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June </w:t>
      </w:r>
      <w:r>
        <w:rPr>
          <w:color w:val="231F20"/>
        </w:rPr>
        <w:t>2025, even if they have not yet been paid.</w:t>
      </w:r>
    </w:p>
    <w:p w14:paraId="0890006C" w14:textId="77777777" w:rsidR="00745283" w:rsidRDefault="00000000">
      <w:pPr>
        <w:pStyle w:val="BodyText"/>
        <w:spacing w:before="172" w:line="249" w:lineRule="auto"/>
        <w:ind w:left="142" w:right="42" w:firstLine="0"/>
        <w:jc w:val="both"/>
      </w:pPr>
      <w:r>
        <w:rPr>
          <w:color w:val="231F20"/>
        </w:rPr>
        <w:t>Examples of expenses that may be accrued and claimed as a tax deduction in 2024/25 include:</w:t>
      </w:r>
    </w:p>
    <w:p w14:paraId="176CDCB8" w14:textId="77777777" w:rsidR="00745283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9"/>
        </w:tabs>
        <w:spacing w:before="208" w:line="249" w:lineRule="auto"/>
        <w:ind w:right="42" w:hanging="397"/>
        <w:jc w:val="both"/>
        <w:rPr>
          <w:rFonts w:ascii="Wingdings" w:hAnsi="Wingdings"/>
          <w:sz w:val="21"/>
        </w:rPr>
      </w:pPr>
      <w:r>
        <w:rPr>
          <w:b/>
          <w:color w:val="231F20"/>
          <w:spacing w:val="-6"/>
          <w:sz w:val="21"/>
        </w:rPr>
        <w:t>salary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6"/>
          <w:sz w:val="21"/>
        </w:rPr>
        <w:t>or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6"/>
          <w:sz w:val="21"/>
        </w:rPr>
        <w:t>wages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6"/>
          <w:sz w:val="21"/>
        </w:rPr>
        <w:t>and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6"/>
          <w:sz w:val="21"/>
        </w:rPr>
        <w:t>bonuses</w:t>
      </w:r>
      <w:r>
        <w:rPr>
          <w:b/>
          <w:color w:val="231F20"/>
          <w:spacing w:val="-9"/>
          <w:sz w:val="21"/>
        </w:rPr>
        <w:t xml:space="preserve"> </w:t>
      </w:r>
      <w:r>
        <w:rPr>
          <w:color w:val="231F20"/>
          <w:spacing w:val="-6"/>
          <w:sz w:val="21"/>
        </w:rPr>
        <w:t>accrued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6"/>
          <w:sz w:val="21"/>
        </w:rPr>
        <w:t>for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6"/>
          <w:sz w:val="21"/>
        </w:rPr>
        <w:t xml:space="preserve">the </w:t>
      </w:r>
      <w:r>
        <w:rPr>
          <w:color w:val="231F20"/>
          <w:sz w:val="21"/>
        </w:rPr>
        <w:t>number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days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employees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have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 xml:space="preserve">worked but have not been paid as </w:t>
      </w:r>
      <w:proofErr w:type="gramStart"/>
      <w:r>
        <w:rPr>
          <w:color w:val="231F20"/>
          <w:sz w:val="21"/>
        </w:rPr>
        <w:t>at</w:t>
      </w:r>
      <w:proofErr w:type="gramEnd"/>
      <w:r>
        <w:rPr>
          <w:color w:val="231F20"/>
          <w:sz w:val="21"/>
        </w:rPr>
        <w:t xml:space="preserve"> 30 June </w:t>
      </w:r>
      <w:proofErr w:type="gramStart"/>
      <w:r>
        <w:rPr>
          <w:color w:val="231F20"/>
          <w:sz w:val="21"/>
        </w:rPr>
        <w:t>2025;</w:t>
      </w:r>
      <w:proofErr w:type="gramEnd"/>
    </w:p>
    <w:p w14:paraId="465C3C23" w14:textId="77777777" w:rsidR="00745283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9"/>
        </w:tabs>
        <w:spacing w:before="220" w:line="249" w:lineRule="auto"/>
        <w:ind w:right="43" w:hanging="397"/>
        <w:jc w:val="both"/>
        <w:rPr>
          <w:rFonts w:ascii="Wingdings" w:hAnsi="Wingdings"/>
          <w:sz w:val="21"/>
        </w:rPr>
      </w:pPr>
      <w:r>
        <w:rPr>
          <w:color w:val="231F20"/>
          <w:sz w:val="21"/>
        </w:rPr>
        <w:t xml:space="preserve">accrued </w:t>
      </w:r>
      <w:r>
        <w:rPr>
          <w:b/>
          <w:color w:val="231F20"/>
          <w:sz w:val="21"/>
        </w:rPr>
        <w:t xml:space="preserve">interest </w:t>
      </w:r>
      <w:r>
        <w:rPr>
          <w:color w:val="231F20"/>
          <w:sz w:val="21"/>
        </w:rPr>
        <w:t xml:space="preserve">outstanding on a business loan that has not been </w:t>
      </w:r>
      <w:proofErr w:type="gramStart"/>
      <w:r>
        <w:rPr>
          <w:color w:val="231F20"/>
          <w:sz w:val="21"/>
        </w:rPr>
        <w:t>paid;</w:t>
      </w:r>
      <w:proofErr w:type="gramEnd"/>
    </w:p>
    <w:p w14:paraId="5B7BD485" w14:textId="77777777" w:rsidR="00745283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9"/>
        </w:tabs>
        <w:spacing w:before="127" w:line="249" w:lineRule="auto"/>
        <w:ind w:right="43" w:hanging="397"/>
        <w:jc w:val="both"/>
        <w:rPr>
          <w:rFonts w:ascii="Wingdings" w:hAnsi="Wingdings"/>
          <w:sz w:val="21"/>
        </w:rPr>
      </w:pPr>
      <w:r>
        <w:rPr>
          <w:b/>
          <w:color w:val="231F20"/>
          <w:sz w:val="21"/>
        </w:rPr>
        <w:t>commission</w:t>
      </w:r>
      <w:r>
        <w:rPr>
          <w:b/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payments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owing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 xml:space="preserve">employees or other external </w:t>
      </w:r>
      <w:proofErr w:type="gramStart"/>
      <w:r>
        <w:rPr>
          <w:color w:val="231F20"/>
          <w:sz w:val="21"/>
        </w:rPr>
        <w:t>parties;</w:t>
      </w:r>
      <w:proofErr w:type="gramEnd"/>
    </w:p>
    <w:p w14:paraId="3894C8EF" w14:textId="77777777" w:rsidR="00745283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9"/>
        </w:tabs>
        <w:spacing w:before="132" w:line="247" w:lineRule="auto"/>
        <w:ind w:right="43" w:hanging="397"/>
        <w:jc w:val="both"/>
        <w:rPr>
          <w:rFonts w:ascii="Wingdings" w:hAnsi="Wingdings"/>
          <w:sz w:val="24"/>
        </w:rPr>
      </w:pPr>
      <w:r>
        <w:rPr>
          <w:color w:val="231F20"/>
          <w:sz w:val="21"/>
        </w:rPr>
        <w:t xml:space="preserve">the </w:t>
      </w:r>
      <w:r>
        <w:rPr>
          <w:b/>
          <w:color w:val="231F20"/>
          <w:sz w:val="21"/>
        </w:rPr>
        <w:t xml:space="preserve">fringe benefits tax ('FBT') instalment </w:t>
      </w:r>
      <w:r>
        <w:rPr>
          <w:color w:val="231F20"/>
          <w:sz w:val="21"/>
        </w:rPr>
        <w:t>for the June 2025 quarter, if it is due but not payable until July 2025; and</w:t>
      </w:r>
    </w:p>
    <w:p w14:paraId="3EED51C4" w14:textId="77777777" w:rsidR="00745283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9"/>
        </w:tabs>
        <w:spacing w:before="181" w:line="249" w:lineRule="auto"/>
        <w:ind w:right="43" w:hanging="397"/>
        <w:jc w:val="both"/>
        <w:rPr>
          <w:rFonts w:ascii="Wingdings" w:hAnsi="Wingdings"/>
          <w:sz w:val="21"/>
        </w:rPr>
      </w:pPr>
      <w:r>
        <w:rPr>
          <w:b/>
          <w:color w:val="231F20"/>
          <w:sz w:val="21"/>
        </w:rPr>
        <w:t>directors’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fees</w:t>
      </w:r>
      <w:r>
        <w:rPr>
          <w:b/>
          <w:color w:val="231F20"/>
          <w:spacing w:val="-11"/>
          <w:sz w:val="21"/>
        </w:rPr>
        <w:t xml:space="preserve"> </w:t>
      </w:r>
      <w:r>
        <w:rPr>
          <w:b/>
          <w:color w:val="231F20"/>
          <w:sz w:val="21"/>
        </w:rPr>
        <w:t>payable</w:t>
      </w:r>
      <w:r>
        <w:rPr>
          <w:b/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8"/>
          <w:sz w:val="21"/>
        </w:rPr>
        <w:t xml:space="preserve"> </w:t>
      </w:r>
      <w:proofErr w:type="gramStart"/>
      <w:r>
        <w:rPr>
          <w:color w:val="231F20"/>
          <w:sz w:val="21"/>
        </w:rPr>
        <w:t>at</w:t>
      </w:r>
      <w:proofErr w:type="gramEnd"/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30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June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2025, where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company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definitively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committed to the payment.</w:t>
      </w:r>
    </w:p>
    <w:p w14:paraId="316696FC" w14:textId="77777777" w:rsidR="00745283" w:rsidRDefault="00000000">
      <w:pPr>
        <w:pStyle w:val="Heading1"/>
        <w:spacing w:before="219" w:line="249" w:lineRule="auto"/>
        <w:ind w:left="535" w:right="435"/>
        <w:jc w:val="center"/>
      </w:pPr>
      <w:proofErr w:type="spellStart"/>
      <w:r>
        <w:rPr>
          <w:color w:val="231F20"/>
        </w:rPr>
        <w:t>Maximising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 SBE taxpayers</w:t>
      </w:r>
    </w:p>
    <w:p w14:paraId="47BAFFAA" w14:textId="77777777" w:rsidR="00745283" w:rsidRDefault="00000000">
      <w:pPr>
        <w:spacing w:before="131" w:line="249" w:lineRule="auto"/>
        <w:ind w:left="143" w:right="40" w:firstLine="1"/>
        <w:jc w:val="both"/>
        <w:rPr>
          <w:sz w:val="21"/>
        </w:rPr>
      </w:pPr>
      <w:r>
        <w:rPr>
          <w:color w:val="231F20"/>
          <w:sz w:val="21"/>
        </w:rPr>
        <w:t>Deductions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can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4"/>
          <w:sz w:val="21"/>
        </w:rPr>
        <w:t xml:space="preserve"> </w:t>
      </w:r>
      <w:proofErr w:type="spellStart"/>
      <w:r>
        <w:rPr>
          <w:color w:val="231F20"/>
          <w:sz w:val="21"/>
        </w:rPr>
        <w:t>maximised</w:t>
      </w:r>
      <w:proofErr w:type="spellEnd"/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SBE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 xml:space="preserve">taxpayers by </w:t>
      </w:r>
      <w:r>
        <w:rPr>
          <w:b/>
          <w:color w:val="231F20"/>
          <w:sz w:val="21"/>
        </w:rPr>
        <w:t xml:space="preserve">accelerating expenditure </w:t>
      </w:r>
      <w:r>
        <w:rPr>
          <w:color w:val="231F20"/>
          <w:sz w:val="21"/>
        </w:rPr>
        <w:t xml:space="preserve">and/or </w:t>
      </w:r>
      <w:r>
        <w:rPr>
          <w:b/>
          <w:color w:val="231F20"/>
          <w:sz w:val="21"/>
        </w:rPr>
        <w:t xml:space="preserve">prepaying </w:t>
      </w:r>
      <w:r>
        <w:rPr>
          <w:color w:val="231F20"/>
          <w:sz w:val="21"/>
        </w:rPr>
        <w:t>deductible business expenses (</w:t>
      </w:r>
      <w:proofErr w:type="gramStart"/>
      <w:r>
        <w:rPr>
          <w:color w:val="231F20"/>
          <w:sz w:val="21"/>
        </w:rPr>
        <w:t>and also</w:t>
      </w:r>
      <w:proofErr w:type="gramEnd"/>
      <w:r>
        <w:rPr>
          <w:color w:val="231F20"/>
          <w:sz w:val="21"/>
        </w:rPr>
        <w:t xml:space="preserve"> by </w:t>
      </w:r>
      <w:r>
        <w:rPr>
          <w:b/>
          <w:color w:val="231F20"/>
          <w:sz w:val="21"/>
        </w:rPr>
        <w:t xml:space="preserve">accruing expenditure </w:t>
      </w:r>
      <w:r>
        <w:rPr>
          <w:color w:val="231F20"/>
          <w:sz w:val="21"/>
        </w:rPr>
        <w:t>– as discussed above).</w:t>
      </w:r>
    </w:p>
    <w:p w14:paraId="6BEEE67C" w14:textId="77777777" w:rsidR="00745283" w:rsidRDefault="00745283">
      <w:pPr>
        <w:pStyle w:val="BodyText"/>
        <w:spacing w:before="115"/>
        <w:ind w:left="0" w:firstLine="0"/>
      </w:pPr>
    </w:p>
    <w:p w14:paraId="470D190F" w14:textId="77777777" w:rsidR="00745283" w:rsidRDefault="00000000">
      <w:pPr>
        <w:pStyle w:val="Heading1"/>
        <w:spacing w:line="249" w:lineRule="auto"/>
        <w:ind w:left="126" w:right="24"/>
        <w:jc w:val="center"/>
      </w:pPr>
      <w:r>
        <w:rPr>
          <w:color w:val="231F20"/>
        </w:rPr>
        <w:t>Accelerating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depreciation </w:t>
      </w:r>
      <w:r>
        <w:rPr>
          <w:color w:val="231F20"/>
          <w:spacing w:val="-2"/>
        </w:rPr>
        <w:t>expenditure</w:t>
      </w:r>
    </w:p>
    <w:p w14:paraId="5C873195" w14:textId="77777777" w:rsidR="00745283" w:rsidRDefault="00000000">
      <w:pPr>
        <w:pStyle w:val="BodyText"/>
        <w:spacing w:before="103" w:line="249" w:lineRule="auto"/>
        <w:ind w:left="143" w:right="38" w:firstLine="1"/>
        <w:jc w:val="both"/>
      </w:pPr>
      <w:r>
        <w:rPr>
          <w:color w:val="231F20"/>
        </w:rPr>
        <w:t>In addition to accelerating expenditure 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for 2024/25, SBE taxpayers that use the simplified SBE depreciation rules may claim the following deductions in relation to </w:t>
      </w:r>
      <w:r>
        <w:rPr>
          <w:b/>
          <w:color w:val="231F20"/>
        </w:rPr>
        <w:t>depreciating assets</w:t>
      </w:r>
      <w:r>
        <w:rPr>
          <w:color w:val="231F20"/>
        </w:rPr>
        <w:t>:</w:t>
      </w:r>
    </w:p>
    <w:p w14:paraId="498618DD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39"/>
        </w:tabs>
        <w:spacing w:before="96" w:line="249" w:lineRule="auto"/>
        <w:ind w:right="138" w:hanging="339"/>
        <w:jc w:val="both"/>
        <w:rPr>
          <w:rFonts w:ascii="Wingdings" w:hAnsi="Wingdings"/>
          <w:color w:val="231F20"/>
          <w:sz w:val="21"/>
        </w:rPr>
      </w:pPr>
      <w:r>
        <w:br w:type="column"/>
      </w: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instant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asset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write-off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threshold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 xml:space="preserve">SBEs </w:t>
      </w:r>
      <w:r>
        <w:rPr>
          <w:color w:val="231F20"/>
          <w:spacing w:val="-2"/>
          <w:sz w:val="21"/>
        </w:rPr>
        <w:t>has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been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increased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from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(less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than)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$1,000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to </w:t>
      </w:r>
      <w:r>
        <w:rPr>
          <w:color w:val="231F20"/>
          <w:sz w:val="21"/>
        </w:rPr>
        <w:t>(less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than)</w:t>
      </w:r>
      <w:r>
        <w:rPr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$20,000</w:t>
      </w:r>
      <w:r>
        <w:rPr>
          <w:b/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1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July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2023.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This was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recently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extended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12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months</w:t>
      </w:r>
      <w:r>
        <w:rPr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until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30 June 2025</w:t>
      </w:r>
      <w:r>
        <w:rPr>
          <w:color w:val="231F20"/>
          <w:sz w:val="21"/>
        </w:rPr>
        <w:t>.</w:t>
      </w:r>
    </w:p>
    <w:p w14:paraId="3874BA2A" w14:textId="77777777" w:rsidR="00745283" w:rsidRDefault="00000000">
      <w:pPr>
        <w:pStyle w:val="BodyText"/>
        <w:spacing w:before="117" w:line="249" w:lineRule="auto"/>
        <w:ind w:right="138" w:hanging="17"/>
        <w:jc w:val="both"/>
      </w:pPr>
      <w:r>
        <w:rPr>
          <w:color w:val="231F20"/>
        </w:rPr>
        <w:t>This allows small businesses (with an aggregated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turnover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$10 million)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deduct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eligible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depreciating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than</w:t>
      </w:r>
    </w:p>
    <w:p w14:paraId="7116BBF7" w14:textId="77777777" w:rsidR="00745283" w:rsidRDefault="00000000">
      <w:pPr>
        <w:pStyle w:val="BodyText"/>
        <w:spacing w:before="4" w:line="249" w:lineRule="auto"/>
        <w:ind w:right="139" w:firstLine="0"/>
        <w:jc w:val="both"/>
      </w:pPr>
      <w:r>
        <w:rPr>
          <w:color w:val="231F20"/>
        </w:rPr>
        <w:t>$20,000 that are first used or installed ready for use on or before 30 June 2025.</w:t>
      </w:r>
    </w:p>
    <w:p w14:paraId="1035E35A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39"/>
        </w:tabs>
        <w:spacing w:before="115" w:line="249" w:lineRule="auto"/>
        <w:ind w:right="138"/>
        <w:jc w:val="both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SBE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closing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pool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balance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(before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current year deductions), if any, will be fully claimed in the 2025 income year, if it is below the increased threshold.</w:t>
      </w:r>
    </w:p>
    <w:p w14:paraId="7E5FA778" w14:textId="77777777" w:rsidR="00745283" w:rsidRDefault="00000000">
      <w:pPr>
        <w:spacing w:before="117" w:line="249" w:lineRule="auto"/>
        <w:ind w:left="539" w:right="129" w:hanging="17"/>
        <w:jc w:val="both"/>
        <w:rPr>
          <w:i/>
          <w:sz w:val="21"/>
        </w:rPr>
      </w:pPr>
      <w:r>
        <w:rPr>
          <w:i/>
          <w:color w:val="231F20"/>
          <w:sz w:val="21"/>
        </w:rPr>
        <w:t>Note: Eligible SBE taxpayers using the simplified</w:t>
      </w:r>
      <w:r>
        <w:rPr>
          <w:i/>
          <w:color w:val="231F20"/>
          <w:spacing w:val="-11"/>
          <w:sz w:val="21"/>
        </w:rPr>
        <w:t xml:space="preserve"> </w:t>
      </w:r>
      <w:r>
        <w:rPr>
          <w:i/>
          <w:color w:val="231F20"/>
          <w:sz w:val="21"/>
        </w:rPr>
        <w:t>SBE</w:t>
      </w:r>
      <w:r>
        <w:rPr>
          <w:i/>
          <w:color w:val="231F20"/>
          <w:spacing w:val="-11"/>
          <w:sz w:val="21"/>
        </w:rPr>
        <w:t xml:space="preserve"> </w:t>
      </w:r>
      <w:r>
        <w:rPr>
          <w:i/>
          <w:color w:val="231F20"/>
          <w:sz w:val="21"/>
        </w:rPr>
        <w:t>depreciation</w:t>
      </w:r>
      <w:r>
        <w:rPr>
          <w:i/>
          <w:color w:val="231F20"/>
          <w:spacing w:val="-11"/>
          <w:sz w:val="21"/>
        </w:rPr>
        <w:t xml:space="preserve"> </w:t>
      </w:r>
      <w:r>
        <w:rPr>
          <w:i/>
          <w:color w:val="231F20"/>
          <w:sz w:val="21"/>
        </w:rPr>
        <w:t>rules</w:t>
      </w:r>
      <w:r>
        <w:rPr>
          <w:i/>
          <w:color w:val="231F20"/>
          <w:spacing w:val="-11"/>
          <w:sz w:val="21"/>
        </w:rPr>
        <w:t xml:space="preserve"> </w:t>
      </w:r>
      <w:r>
        <w:rPr>
          <w:b/>
          <w:i/>
          <w:color w:val="231F20"/>
          <w:sz w:val="21"/>
        </w:rPr>
        <w:t>cannot</w:t>
      </w:r>
      <w:r>
        <w:rPr>
          <w:b/>
          <w:i/>
          <w:color w:val="231F20"/>
          <w:spacing w:val="-11"/>
          <w:sz w:val="21"/>
        </w:rPr>
        <w:t xml:space="preserve"> </w:t>
      </w:r>
      <w:r>
        <w:rPr>
          <w:i/>
          <w:color w:val="231F20"/>
          <w:sz w:val="21"/>
        </w:rPr>
        <w:t>opt out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fully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expensing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their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SBE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general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pacing w:val="-2"/>
          <w:sz w:val="21"/>
        </w:rPr>
        <w:t>pool.</w:t>
      </w:r>
    </w:p>
    <w:p w14:paraId="36A89424" w14:textId="77777777" w:rsidR="00745283" w:rsidRDefault="00000000">
      <w:pPr>
        <w:pStyle w:val="BodyText"/>
        <w:spacing w:before="173" w:line="249" w:lineRule="auto"/>
        <w:ind w:left="143" w:right="140" w:firstLine="1"/>
        <w:jc w:val="both"/>
      </w:pPr>
      <w:r>
        <w:rPr>
          <w:color w:val="231F20"/>
        </w:rPr>
        <w:t>If appropriate, SBE taxpayers should consider purchasing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installing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use) these items by 30 June 2025.</w:t>
      </w:r>
    </w:p>
    <w:p w14:paraId="7C47F1FB" w14:textId="77777777" w:rsidR="00745283" w:rsidRDefault="00000000">
      <w:pPr>
        <w:spacing w:before="148" w:line="271" w:lineRule="auto"/>
        <w:ind w:left="142" w:right="138" w:firstLine="56"/>
        <w:jc w:val="both"/>
        <w:rPr>
          <w:sz w:val="21"/>
        </w:rPr>
      </w:pPr>
      <w:r>
        <w:rPr>
          <w:b/>
          <w:color w:val="231F20"/>
          <w:spacing w:val="-4"/>
          <w:sz w:val="24"/>
        </w:rPr>
        <w:t>Prepayment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4"/>
          <w:sz w:val="24"/>
        </w:rPr>
        <w:t>strategies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4"/>
          <w:sz w:val="24"/>
        </w:rPr>
        <w:t>(SBEs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4"/>
          <w:sz w:val="24"/>
        </w:rPr>
        <w:t>and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4"/>
          <w:sz w:val="24"/>
        </w:rPr>
        <w:t xml:space="preserve">MSBs) </w:t>
      </w:r>
      <w:r>
        <w:rPr>
          <w:spacing w:val="-2"/>
          <w:sz w:val="21"/>
        </w:rPr>
        <w:t>SBEs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medium-sized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businesses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('MSBs')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that make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prepayments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before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1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July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2025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can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choose</w:t>
      </w:r>
    </w:p>
    <w:p w14:paraId="6F1B2045" w14:textId="77777777" w:rsidR="00745283" w:rsidRDefault="00000000">
      <w:pPr>
        <w:pStyle w:val="BodyText"/>
        <w:spacing w:line="225" w:lineRule="exact"/>
        <w:ind w:left="142" w:firstLine="0"/>
        <w:jc w:val="both"/>
      </w:pPr>
      <w:r>
        <w:t>to</w:t>
      </w:r>
      <w:r>
        <w:rPr>
          <w:spacing w:val="20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full</w:t>
      </w:r>
      <w:r>
        <w:rPr>
          <w:spacing w:val="20"/>
        </w:rPr>
        <w:t xml:space="preserve"> </w:t>
      </w:r>
      <w:r>
        <w:t>deduction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year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payment</w:t>
      </w:r>
    </w:p>
    <w:p w14:paraId="7EB1DB18" w14:textId="77777777" w:rsidR="00745283" w:rsidRDefault="00000000">
      <w:pPr>
        <w:pStyle w:val="BodyText"/>
        <w:spacing w:before="11" w:line="249" w:lineRule="auto"/>
        <w:ind w:left="142" w:right="138" w:firstLine="0"/>
        <w:jc w:val="both"/>
      </w:pPr>
      <w:r>
        <w:t>(i.e., in 2024/25), if the payment covers a period of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(ending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July </w:t>
      </w:r>
      <w:r>
        <w:rPr>
          <w:spacing w:val="-2"/>
        </w:rPr>
        <w:t>2026).</w:t>
      </w:r>
    </w:p>
    <w:p w14:paraId="082F1472" w14:textId="77777777" w:rsidR="00745283" w:rsidRDefault="00000000">
      <w:pPr>
        <w:pStyle w:val="BodyText"/>
        <w:spacing w:before="116" w:line="249" w:lineRule="auto"/>
        <w:ind w:left="142" w:right="138" w:firstLine="0"/>
        <w:jc w:val="both"/>
      </w:pPr>
      <w:r>
        <w:t>Otherwise,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prepayment</w:t>
      </w:r>
      <w:r>
        <w:rPr>
          <w:spacing w:val="-13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as for non-SBE taxpayers.</w:t>
      </w:r>
    </w:p>
    <w:p w14:paraId="112FFC1C" w14:textId="77777777" w:rsidR="00745283" w:rsidRDefault="00000000">
      <w:pPr>
        <w:pStyle w:val="BodyText"/>
        <w:spacing w:before="76"/>
        <w:ind w:left="144" w:firstLine="0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kinds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expenses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prepaid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include:</w:t>
      </w:r>
    </w:p>
    <w:p w14:paraId="78E77577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140"/>
        <w:ind w:left="521" w:hanging="379"/>
        <w:rPr>
          <w:rFonts w:ascii="Wingdings" w:hAnsi="Wingdings"/>
          <w:color w:val="231F20"/>
          <w:sz w:val="21"/>
        </w:rPr>
      </w:pPr>
      <w:r>
        <w:rPr>
          <w:b/>
          <w:color w:val="231F20"/>
          <w:sz w:val="21"/>
        </w:rPr>
        <w:t>Rent</w:t>
      </w:r>
      <w:r>
        <w:rPr>
          <w:b/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 xml:space="preserve">on business premises or </w:t>
      </w:r>
      <w:r>
        <w:rPr>
          <w:color w:val="231F20"/>
          <w:spacing w:val="-2"/>
          <w:sz w:val="21"/>
        </w:rPr>
        <w:t>equipment.</w:t>
      </w:r>
    </w:p>
    <w:p w14:paraId="62925861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39"/>
        </w:tabs>
        <w:spacing w:before="108" w:line="211" w:lineRule="auto"/>
        <w:ind w:right="138"/>
        <w:jc w:val="both"/>
        <w:rPr>
          <w:rFonts w:ascii="Wingdings" w:hAnsi="Wingdings"/>
          <w:color w:val="231F20"/>
          <w:sz w:val="21"/>
        </w:rPr>
      </w:pPr>
      <w:r>
        <w:rPr>
          <w:b/>
          <w:color w:val="231F20"/>
          <w:sz w:val="21"/>
        </w:rPr>
        <w:t>Lease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payments</w:t>
      </w:r>
      <w:r>
        <w:rPr>
          <w:b/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business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items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as cars and office equipment.</w:t>
      </w:r>
    </w:p>
    <w:p w14:paraId="23556EB6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39"/>
        </w:tabs>
        <w:spacing w:before="112" w:line="211" w:lineRule="auto"/>
        <w:ind w:right="197"/>
        <w:rPr>
          <w:rFonts w:ascii="Wingdings" w:hAnsi="Wingdings"/>
          <w:color w:val="231F20"/>
          <w:sz w:val="21"/>
        </w:rPr>
      </w:pPr>
      <w:r>
        <w:rPr>
          <w:b/>
          <w:color w:val="231F20"/>
          <w:sz w:val="21"/>
        </w:rPr>
        <w:t>Interest</w:t>
      </w:r>
      <w:r>
        <w:rPr>
          <w:b/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check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your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financier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whether it is possible to prepay up to 12 months interest in advance.</w:t>
      </w:r>
    </w:p>
    <w:p w14:paraId="1F84FE0E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89"/>
        <w:ind w:left="521" w:hanging="379"/>
        <w:rPr>
          <w:rFonts w:ascii="Wingdings" w:hAnsi="Wingdings"/>
          <w:color w:val="231F20"/>
          <w:sz w:val="21"/>
        </w:rPr>
      </w:pPr>
      <w:r>
        <w:rPr>
          <w:b/>
          <w:color w:val="231F20"/>
          <w:sz w:val="21"/>
        </w:rPr>
        <w:t>Business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2"/>
          <w:sz w:val="21"/>
        </w:rPr>
        <w:t>trips.</w:t>
      </w:r>
    </w:p>
    <w:p w14:paraId="4C1332EE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83"/>
        <w:ind w:left="521" w:hanging="379"/>
        <w:rPr>
          <w:rFonts w:ascii="Wingdings" w:hAnsi="Wingdings"/>
          <w:color w:val="231F20"/>
          <w:sz w:val="21"/>
        </w:rPr>
      </w:pPr>
      <w:r>
        <w:rPr>
          <w:b/>
          <w:color w:val="231F20"/>
          <w:spacing w:val="-2"/>
          <w:sz w:val="21"/>
        </w:rPr>
        <w:t>Training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2"/>
          <w:sz w:val="21"/>
        </w:rPr>
        <w:t>courses</w:t>
      </w:r>
      <w:r>
        <w:rPr>
          <w:b/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that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run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from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1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July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2025.</w:t>
      </w:r>
    </w:p>
    <w:p w14:paraId="1795B81E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84"/>
        <w:ind w:left="521" w:hanging="379"/>
        <w:rPr>
          <w:rFonts w:ascii="Wingdings" w:hAnsi="Wingdings"/>
          <w:color w:val="231F20"/>
          <w:sz w:val="21"/>
        </w:rPr>
      </w:pPr>
      <w:r>
        <w:rPr>
          <w:b/>
          <w:color w:val="231F20"/>
          <w:sz w:val="21"/>
        </w:rPr>
        <w:t>Business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2"/>
          <w:sz w:val="21"/>
        </w:rPr>
        <w:t>subscriptions.</w:t>
      </w:r>
    </w:p>
    <w:p w14:paraId="65C520B3" w14:textId="77777777" w:rsidR="00745283" w:rsidRDefault="00745283">
      <w:pPr>
        <w:pStyle w:val="BodyText"/>
        <w:spacing w:before="10"/>
        <w:ind w:left="0" w:firstLine="0"/>
        <w:rPr>
          <w:b/>
        </w:rPr>
      </w:pPr>
    </w:p>
    <w:p w14:paraId="56847002" w14:textId="77777777" w:rsidR="00745283" w:rsidRDefault="00000000">
      <w:pPr>
        <w:pStyle w:val="Heading1"/>
      </w:pPr>
      <w:r>
        <w:rPr>
          <w:color w:val="231F20"/>
        </w:rPr>
        <w:t xml:space="preserve">Information </w:t>
      </w:r>
      <w:r>
        <w:rPr>
          <w:color w:val="231F20"/>
          <w:spacing w:val="-2"/>
        </w:rPr>
        <w:t>Required</w:t>
      </w:r>
    </w:p>
    <w:p w14:paraId="31C9D5AB" w14:textId="77777777" w:rsidR="00745283" w:rsidRDefault="00000000">
      <w:pPr>
        <w:pStyle w:val="BodyText"/>
        <w:spacing w:before="115" w:line="249" w:lineRule="auto"/>
        <w:ind w:left="143" w:right="141" w:firstLine="1"/>
        <w:jc w:val="both"/>
      </w:pPr>
      <w:r>
        <w:rPr>
          <w:color w:val="231F20"/>
        </w:rPr>
        <w:t xml:space="preserve">This is some of the information we will need you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help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prepare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income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return:</w:t>
      </w:r>
    </w:p>
    <w:p w14:paraId="2716CBE7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155"/>
        <w:ind w:left="521" w:hanging="379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Stock-take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details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2"/>
          <w:sz w:val="21"/>
        </w:rPr>
        <w:t xml:space="preserve"> </w:t>
      </w:r>
      <w:proofErr w:type="gramStart"/>
      <w:r>
        <w:rPr>
          <w:color w:val="231F20"/>
          <w:sz w:val="21"/>
        </w:rPr>
        <w:t>at</w:t>
      </w:r>
      <w:proofErr w:type="gramEnd"/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30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June</w:t>
      </w:r>
      <w:r>
        <w:rPr>
          <w:color w:val="231F20"/>
          <w:spacing w:val="-2"/>
          <w:sz w:val="21"/>
        </w:rPr>
        <w:t xml:space="preserve"> 2025.</w:t>
      </w:r>
    </w:p>
    <w:p w14:paraId="30991B09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39"/>
        </w:tabs>
        <w:spacing w:before="135" w:line="290" w:lineRule="auto"/>
        <w:ind w:right="138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 xml:space="preserve">Debtors listing (including a list of bad debts written off) as </w:t>
      </w:r>
      <w:proofErr w:type="gramStart"/>
      <w:r>
        <w:rPr>
          <w:color w:val="231F20"/>
          <w:sz w:val="21"/>
        </w:rPr>
        <w:t>at</w:t>
      </w:r>
      <w:proofErr w:type="gramEnd"/>
      <w:r>
        <w:rPr>
          <w:color w:val="231F20"/>
          <w:sz w:val="21"/>
        </w:rPr>
        <w:t xml:space="preserve"> 30 June 2025.</w:t>
      </w:r>
    </w:p>
    <w:p w14:paraId="7CAEF1FF" w14:textId="77777777" w:rsidR="00745283" w:rsidRDefault="00000000">
      <w:pPr>
        <w:spacing w:before="73" w:line="249" w:lineRule="auto"/>
        <w:ind w:left="539" w:right="136"/>
        <w:rPr>
          <w:i/>
          <w:sz w:val="21"/>
        </w:rPr>
      </w:pPr>
      <w:r>
        <w:rPr>
          <w:i/>
          <w:color w:val="231F20"/>
          <w:sz w:val="21"/>
        </w:rPr>
        <w:t>Note: To claim a tax deduction, the debt must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be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written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off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on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or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before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30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z w:val="21"/>
        </w:rPr>
        <w:t>June.</w:t>
      </w:r>
    </w:p>
    <w:p w14:paraId="5E86B9A6" w14:textId="77777777" w:rsidR="00745283" w:rsidRDefault="00000000">
      <w:pPr>
        <w:pStyle w:val="ListParagraph"/>
        <w:numPr>
          <w:ilvl w:val="0"/>
          <w:numId w:val="2"/>
        </w:numPr>
        <w:tabs>
          <w:tab w:val="left" w:pos="521"/>
        </w:tabs>
        <w:spacing w:before="155"/>
        <w:ind w:left="521" w:hanging="379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Creditors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listing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1"/>
          <w:sz w:val="21"/>
        </w:rPr>
        <w:t xml:space="preserve"> </w:t>
      </w:r>
      <w:proofErr w:type="gramStart"/>
      <w:r>
        <w:rPr>
          <w:color w:val="231F20"/>
          <w:sz w:val="21"/>
        </w:rPr>
        <w:t>at</w:t>
      </w:r>
      <w:proofErr w:type="gramEnd"/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30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June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2025.</w:t>
      </w:r>
    </w:p>
    <w:sectPr w:rsidR="00745283">
      <w:type w:val="continuous"/>
      <w:pgSz w:w="11910" w:h="16840"/>
      <w:pgMar w:top="1920" w:right="992" w:bottom="420" w:left="992" w:header="0" w:footer="240" w:gutter="0"/>
      <w:cols w:num="2" w:space="720" w:equalWidth="0">
        <w:col w:w="4723" w:space="380"/>
        <w:col w:w="48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4878" w14:textId="77777777" w:rsidR="00796290" w:rsidRDefault="00796290">
      <w:r>
        <w:separator/>
      </w:r>
    </w:p>
  </w:endnote>
  <w:endnote w:type="continuationSeparator" w:id="0">
    <w:p w14:paraId="5058F438" w14:textId="77777777" w:rsidR="00796290" w:rsidRDefault="0079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5FA1" w14:textId="0EE7AFFE" w:rsidR="00745283" w:rsidRDefault="00745283">
    <w:pPr>
      <w:pStyle w:val="BodyText"/>
      <w:spacing w:line="14" w:lineRule="auto"/>
      <w:ind w:left="0"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7173" w14:textId="77777777" w:rsidR="00796290" w:rsidRDefault="00796290">
      <w:r>
        <w:separator/>
      </w:r>
    </w:p>
  </w:footnote>
  <w:footnote w:type="continuationSeparator" w:id="0">
    <w:p w14:paraId="73E08C48" w14:textId="77777777" w:rsidR="00796290" w:rsidRDefault="0079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643"/>
    <w:multiLevelType w:val="hybridMultilevel"/>
    <w:tmpl w:val="A906F9B6"/>
    <w:lvl w:ilvl="0" w:tplc="8062A308">
      <w:numFmt w:val="bullet"/>
      <w:lvlText w:val=""/>
      <w:lvlJc w:val="left"/>
      <w:pPr>
        <w:ind w:left="539" w:hanging="39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5DE0B10">
      <w:numFmt w:val="bullet"/>
      <w:lvlText w:val="•"/>
      <w:lvlJc w:val="left"/>
      <w:pPr>
        <w:ind w:left="957" w:hanging="397"/>
      </w:pPr>
      <w:rPr>
        <w:rFonts w:hint="default"/>
        <w:lang w:val="en-US" w:eastAsia="en-US" w:bidi="ar-SA"/>
      </w:rPr>
    </w:lvl>
    <w:lvl w:ilvl="2" w:tplc="C70EE3FC">
      <w:numFmt w:val="bullet"/>
      <w:lvlText w:val="•"/>
      <w:lvlJc w:val="left"/>
      <w:pPr>
        <w:ind w:left="1375" w:hanging="397"/>
      </w:pPr>
      <w:rPr>
        <w:rFonts w:hint="default"/>
        <w:lang w:val="en-US" w:eastAsia="en-US" w:bidi="ar-SA"/>
      </w:rPr>
    </w:lvl>
    <w:lvl w:ilvl="3" w:tplc="E9CA8136">
      <w:numFmt w:val="bullet"/>
      <w:lvlText w:val="•"/>
      <w:lvlJc w:val="left"/>
      <w:pPr>
        <w:ind w:left="1793" w:hanging="397"/>
      </w:pPr>
      <w:rPr>
        <w:rFonts w:hint="default"/>
        <w:lang w:val="en-US" w:eastAsia="en-US" w:bidi="ar-SA"/>
      </w:rPr>
    </w:lvl>
    <w:lvl w:ilvl="4" w:tplc="9668B4B6">
      <w:numFmt w:val="bullet"/>
      <w:lvlText w:val="•"/>
      <w:lvlJc w:val="left"/>
      <w:pPr>
        <w:ind w:left="2211" w:hanging="397"/>
      </w:pPr>
      <w:rPr>
        <w:rFonts w:hint="default"/>
        <w:lang w:val="en-US" w:eastAsia="en-US" w:bidi="ar-SA"/>
      </w:rPr>
    </w:lvl>
    <w:lvl w:ilvl="5" w:tplc="47087A34">
      <w:numFmt w:val="bullet"/>
      <w:lvlText w:val="•"/>
      <w:lvlJc w:val="left"/>
      <w:pPr>
        <w:ind w:left="2629" w:hanging="397"/>
      </w:pPr>
      <w:rPr>
        <w:rFonts w:hint="default"/>
        <w:lang w:val="en-US" w:eastAsia="en-US" w:bidi="ar-SA"/>
      </w:rPr>
    </w:lvl>
    <w:lvl w:ilvl="6" w:tplc="9ABE187C">
      <w:numFmt w:val="bullet"/>
      <w:lvlText w:val="•"/>
      <w:lvlJc w:val="left"/>
      <w:pPr>
        <w:ind w:left="3047" w:hanging="397"/>
      </w:pPr>
      <w:rPr>
        <w:rFonts w:hint="default"/>
        <w:lang w:val="en-US" w:eastAsia="en-US" w:bidi="ar-SA"/>
      </w:rPr>
    </w:lvl>
    <w:lvl w:ilvl="7" w:tplc="8DA44F0A">
      <w:numFmt w:val="bullet"/>
      <w:lvlText w:val="•"/>
      <w:lvlJc w:val="left"/>
      <w:pPr>
        <w:ind w:left="3465" w:hanging="397"/>
      </w:pPr>
      <w:rPr>
        <w:rFonts w:hint="default"/>
        <w:lang w:val="en-US" w:eastAsia="en-US" w:bidi="ar-SA"/>
      </w:rPr>
    </w:lvl>
    <w:lvl w:ilvl="8" w:tplc="8624A516">
      <w:numFmt w:val="bullet"/>
      <w:lvlText w:val="•"/>
      <w:lvlJc w:val="left"/>
      <w:pPr>
        <w:ind w:left="3883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178D3662"/>
    <w:multiLevelType w:val="hybridMultilevel"/>
    <w:tmpl w:val="F4340E8E"/>
    <w:lvl w:ilvl="0" w:tplc="CAB2861A">
      <w:numFmt w:val="bullet"/>
      <w:lvlText w:val=""/>
      <w:lvlJc w:val="left"/>
      <w:pPr>
        <w:ind w:left="539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32"/>
        <w:sz w:val="21"/>
        <w:szCs w:val="21"/>
        <w:lang w:val="en-US" w:eastAsia="en-US" w:bidi="ar-SA"/>
      </w:rPr>
    </w:lvl>
    <w:lvl w:ilvl="1" w:tplc="FC2CE804">
      <w:numFmt w:val="bullet"/>
      <w:lvlText w:val="•"/>
      <w:lvlJc w:val="left"/>
      <w:pPr>
        <w:ind w:left="957" w:hanging="397"/>
      </w:pPr>
      <w:rPr>
        <w:rFonts w:hint="default"/>
        <w:lang w:val="en-US" w:eastAsia="en-US" w:bidi="ar-SA"/>
      </w:rPr>
    </w:lvl>
    <w:lvl w:ilvl="2" w:tplc="6200EF42">
      <w:numFmt w:val="bullet"/>
      <w:lvlText w:val="•"/>
      <w:lvlJc w:val="left"/>
      <w:pPr>
        <w:ind w:left="1375" w:hanging="397"/>
      </w:pPr>
      <w:rPr>
        <w:rFonts w:hint="default"/>
        <w:lang w:val="en-US" w:eastAsia="en-US" w:bidi="ar-SA"/>
      </w:rPr>
    </w:lvl>
    <w:lvl w:ilvl="3" w:tplc="6BE0DF54">
      <w:numFmt w:val="bullet"/>
      <w:lvlText w:val="•"/>
      <w:lvlJc w:val="left"/>
      <w:pPr>
        <w:ind w:left="1793" w:hanging="397"/>
      </w:pPr>
      <w:rPr>
        <w:rFonts w:hint="default"/>
        <w:lang w:val="en-US" w:eastAsia="en-US" w:bidi="ar-SA"/>
      </w:rPr>
    </w:lvl>
    <w:lvl w:ilvl="4" w:tplc="33BAB324">
      <w:numFmt w:val="bullet"/>
      <w:lvlText w:val="•"/>
      <w:lvlJc w:val="left"/>
      <w:pPr>
        <w:ind w:left="2211" w:hanging="397"/>
      </w:pPr>
      <w:rPr>
        <w:rFonts w:hint="default"/>
        <w:lang w:val="en-US" w:eastAsia="en-US" w:bidi="ar-SA"/>
      </w:rPr>
    </w:lvl>
    <w:lvl w:ilvl="5" w:tplc="E1BA1D24">
      <w:numFmt w:val="bullet"/>
      <w:lvlText w:val="•"/>
      <w:lvlJc w:val="left"/>
      <w:pPr>
        <w:ind w:left="2629" w:hanging="397"/>
      </w:pPr>
      <w:rPr>
        <w:rFonts w:hint="default"/>
        <w:lang w:val="en-US" w:eastAsia="en-US" w:bidi="ar-SA"/>
      </w:rPr>
    </w:lvl>
    <w:lvl w:ilvl="6" w:tplc="7602B40E">
      <w:numFmt w:val="bullet"/>
      <w:lvlText w:val="•"/>
      <w:lvlJc w:val="left"/>
      <w:pPr>
        <w:ind w:left="3047" w:hanging="397"/>
      </w:pPr>
      <w:rPr>
        <w:rFonts w:hint="default"/>
        <w:lang w:val="en-US" w:eastAsia="en-US" w:bidi="ar-SA"/>
      </w:rPr>
    </w:lvl>
    <w:lvl w:ilvl="7" w:tplc="32F8A3E8">
      <w:numFmt w:val="bullet"/>
      <w:lvlText w:val="•"/>
      <w:lvlJc w:val="left"/>
      <w:pPr>
        <w:ind w:left="3465" w:hanging="397"/>
      </w:pPr>
      <w:rPr>
        <w:rFonts w:hint="default"/>
        <w:lang w:val="en-US" w:eastAsia="en-US" w:bidi="ar-SA"/>
      </w:rPr>
    </w:lvl>
    <w:lvl w:ilvl="8" w:tplc="9D2AEF0E">
      <w:numFmt w:val="bullet"/>
      <w:lvlText w:val="•"/>
      <w:lvlJc w:val="left"/>
      <w:pPr>
        <w:ind w:left="3883" w:hanging="397"/>
      </w:pPr>
      <w:rPr>
        <w:rFonts w:hint="default"/>
        <w:lang w:val="en-US" w:eastAsia="en-US" w:bidi="ar-SA"/>
      </w:rPr>
    </w:lvl>
  </w:abstractNum>
  <w:abstractNum w:abstractNumId="2" w15:restartNumberingAfterBreak="0">
    <w:nsid w:val="1B135E94"/>
    <w:multiLevelType w:val="hybridMultilevel"/>
    <w:tmpl w:val="4972F2EE"/>
    <w:lvl w:ilvl="0" w:tplc="28CA3BC6">
      <w:numFmt w:val="bullet"/>
      <w:lvlText w:val=""/>
      <w:lvlJc w:val="left"/>
      <w:pPr>
        <w:ind w:left="539" w:hanging="395"/>
      </w:pPr>
      <w:rPr>
        <w:rFonts w:ascii="Wingdings" w:eastAsia="Wingdings" w:hAnsi="Wingdings" w:cs="Wingdings" w:hint="default"/>
        <w:spacing w:val="0"/>
        <w:w w:val="132"/>
        <w:lang w:val="en-US" w:eastAsia="en-US" w:bidi="ar-SA"/>
      </w:rPr>
    </w:lvl>
    <w:lvl w:ilvl="1" w:tplc="9D22AC30">
      <w:numFmt w:val="bullet"/>
      <w:lvlText w:val=""/>
      <w:lvlJc w:val="left"/>
      <w:pPr>
        <w:ind w:left="936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2" w:tplc="4FCE03F0">
      <w:numFmt w:val="bullet"/>
      <w:lvlText w:val="•"/>
      <w:lvlJc w:val="left"/>
      <w:pPr>
        <w:ind w:left="1370" w:hanging="398"/>
      </w:pPr>
      <w:rPr>
        <w:rFonts w:hint="default"/>
        <w:lang w:val="en-US" w:eastAsia="en-US" w:bidi="ar-SA"/>
      </w:rPr>
    </w:lvl>
    <w:lvl w:ilvl="3" w:tplc="8146E4AC">
      <w:numFmt w:val="bullet"/>
      <w:lvlText w:val="•"/>
      <w:lvlJc w:val="left"/>
      <w:pPr>
        <w:ind w:left="1801" w:hanging="398"/>
      </w:pPr>
      <w:rPr>
        <w:rFonts w:hint="default"/>
        <w:lang w:val="en-US" w:eastAsia="en-US" w:bidi="ar-SA"/>
      </w:rPr>
    </w:lvl>
    <w:lvl w:ilvl="4" w:tplc="54F6E496">
      <w:numFmt w:val="bullet"/>
      <w:lvlText w:val="•"/>
      <w:lvlJc w:val="left"/>
      <w:pPr>
        <w:ind w:left="2232" w:hanging="398"/>
      </w:pPr>
      <w:rPr>
        <w:rFonts w:hint="default"/>
        <w:lang w:val="en-US" w:eastAsia="en-US" w:bidi="ar-SA"/>
      </w:rPr>
    </w:lvl>
    <w:lvl w:ilvl="5" w:tplc="DA06B902">
      <w:numFmt w:val="bullet"/>
      <w:lvlText w:val="•"/>
      <w:lvlJc w:val="left"/>
      <w:pPr>
        <w:ind w:left="2663" w:hanging="398"/>
      </w:pPr>
      <w:rPr>
        <w:rFonts w:hint="default"/>
        <w:lang w:val="en-US" w:eastAsia="en-US" w:bidi="ar-SA"/>
      </w:rPr>
    </w:lvl>
    <w:lvl w:ilvl="6" w:tplc="0A8ABA6E">
      <w:numFmt w:val="bullet"/>
      <w:lvlText w:val="•"/>
      <w:lvlJc w:val="left"/>
      <w:pPr>
        <w:ind w:left="3094" w:hanging="398"/>
      </w:pPr>
      <w:rPr>
        <w:rFonts w:hint="default"/>
        <w:lang w:val="en-US" w:eastAsia="en-US" w:bidi="ar-SA"/>
      </w:rPr>
    </w:lvl>
    <w:lvl w:ilvl="7" w:tplc="BCFA63CA">
      <w:numFmt w:val="bullet"/>
      <w:lvlText w:val="•"/>
      <w:lvlJc w:val="left"/>
      <w:pPr>
        <w:ind w:left="3525" w:hanging="398"/>
      </w:pPr>
      <w:rPr>
        <w:rFonts w:hint="default"/>
        <w:lang w:val="en-US" w:eastAsia="en-US" w:bidi="ar-SA"/>
      </w:rPr>
    </w:lvl>
    <w:lvl w:ilvl="8" w:tplc="BD9A723E">
      <w:numFmt w:val="bullet"/>
      <w:lvlText w:val="•"/>
      <w:lvlJc w:val="left"/>
      <w:pPr>
        <w:ind w:left="3956" w:hanging="398"/>
      </w:pPr>
      <w:rPr>
        <w:rFonts w:hint="default"/>
        <w:lang w:val="en-US" w:eastAsia="en-US" w:bidi="ar-SA"/>
      </w:rPr>
    </w:lvl>
  </w:abstractNum>
  <w:abstractNum w:abstractNumId="3" w15:restartNumberingAfterBreak="0">
    <w:nsid w:val="305E388C"/>
    <w:multiLevelType w:val="hybridMultilevel"/>
    <w:tmpl w:val="491ABDBC"/>
    <w:lvl w:ilvl="0" w:tplc="4D46FE08">
      <w:numFmt w:val="bullet"/>
      <w:lvlText w:val=""/>
      <w:lvlJc w:val="left"/>
      <w:pPr>
        <w:ind w:left="538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07A8D88">
      <w:numFmt w:val="bullet"/>
      <w:lvlText w:val="•"/>
      <w:lvlJc w:val="left"/>
      <w:pPr>
        <w:ind w:left="969" w:hanging="397"/>
      </w:pPr>
      <w:rPr>
        <w:rFonts w:hint="default"/>
        <w:lang w:val="en-US" w:eastAsia="en-US" w:bidi="ar-SA"/>
      </w:rPr>
    </w:lvl>
    <w:lvl w:ilvl="2" w:tplc="2E0246FC">
      <w:numFmt w:val="bullet"/>
      <w:lvlText w:val="•"/>
      <w:lvlJc w:val="left"/>
      <w:pPr>
        <w:ind w:left="1398" w:hanging="397"/>
      </w:pPr>
      <w:rPr>
        <w:rFonts w:hint="default"/>
        <w:lang w:val="en-US" w:eastAsia="en-US" w:bidi="ar-SA"/>
      </w:rPr>
    </w:lvl>
    <w:lvl w:ilvl="3" w:tplc="B568CEDC">
      <w:numFmt w:val="bullet"/>
      <w:lvlText w:val="•"/>
      <w:lvlJc w:val="left"/>
      <w:pPr>
        <w:ind w:left="1827" w:hanging="397"/>
      </w:pPr>
      <w:rPr>
        <w:rFonts w:hint="default"/>
        <w:lang w:val="en-US" w:eastAsia="en-US" w:bidi="ar-SA"/>
      </w:rPr>
    </w:lvl>
    <w:lvl w:ilvl="4" w:tplc="71207872">
      <w:numFmt w:val="bullet"/>
      <w:lvlText w:val="•"/>
      <w:lvlJc w:val="left"/>
      <w:pPr>
        <w:ind w:left="2256" w:hanging="397"/>
      </w:pPr>
      <w:rPr>
        <w:rFonts w:hint="default"/>
        <w:lang w:val="en-US" w:eastAsia="en-US" w:bidi="ar-SA"/>
      </w:rPr>
    </w:lvl>
    <w:lvl w:ilvl="5" w:tplc="1066707E">
      <w:numFmt w:val="bullet"/>
      <w:lvlText w:val="•"/>
      <w:lvlJc w:val="left"/>
      <w:pPr>
        <w:ind w:left="2685" w:hanging="397"/>
      </w:pPr>
      <w:rPr>
        <w:rFonts w:hint="default"/>
        <w:lang w:val="en-US" w:eastAsia="en-US" w:bidi="ar-SA"/>
      </w:rPr>
    </w:lvl>
    <w:lvl w:ilvl="6" w:tplc="F956FBE6">
      <w:numFmt w:val="bullet"/>
      <w:lvlText w:val="•"/>
      <w:lvlJc w:val="left"/>
      <w:pPr>
        <w:ind w:left="3115" w:hanging="397"/>
      </w:pPr>
      <w:rPr>
        <w:rFonts w:hint="default"/>
        <w:lang w:val="en-US" w:eastAsia="en-US" w:bidi="ar-SA"/>
      </w:rPr>
    </w:lvl>
    <w:lvl w:ilvl="7" w:tplc="3C52651C">
      <w:numFmt w:val="bullet"/>
      <w:lvlText w:val="•"/>
      <w:lvlJc w:val="left"/>
      <w:pPr>
        <w:ind w:left="3544" w:hanging="397"/>
      </w:pPr>
      <w:rPr>
        <w:rFonts w:hint="default"/>
        <w:lang w:val="en-US" w:eastAsia="en-US" w:bidi="ar-SA"/>
      </w:rPr>
    </w:lvl>
    <w:lvl w:ilvl="8" w:tplc="77E026AC">
      <w:numFmt w:val="bullet"/>
      <w:lvlText w:val="•"/>
      <w:lvlJc w:val="left"/>
      <w:pPr>
        <w:ind w:left="3973" w:hanging="397"/>
      </w:pPr>
      <w:rPr>
        <w:rFonts w:hint="default"/>
        <w:lang w:val="en-US" w:eastAsia="en-US" w:bidi="ar-SA"/>
      </w:rPr>
    </w:lvl>
  </w:abstractNum>
  <w:abstractNum w:abstractNumId="4" w15:restartNumberingAfterBreak="0">
    <w:nsid w:val="64F135AE"/>
    <w:multiLevelType w:val="hybridMultilevel"/>
    <w:tmpl w:val="2E2E1DD8"/>
    <w:lvl w:ilvl="0" w:tplc="6ACC9BA8">
      <w:start w:val="1"/>
      <w:numFmt w:val="decimal"/>
      <w:lvlText w:val="%1."/>
      <w:lvlJc w:val="left"/>
      <w:pPr>
        <w:ind w:left="375" w:hanging="234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20C0DED6">
      <w:numFmt w:val="bullet"/>
      <w:lvlText w:val=""/>
      <w:lvlJc w:val="left"/>
      <w:pPr>
        <w:ind w:left="538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699AC6E0">
      <w:numFmt w:val="bullet"/>
      <w:lvlText w:val="•"/>
      <w:lvlJc w:val="left"/>
      <w:pPr>
        <w:ind w:left="1004" w:hanging="397"/>
      </w:pPr>
      <w:rPr>
        <w:rFonts w:hint="default"/>
        <w:lang w:val="en-US" w:eastAsia="en-US" w:bidi="ar-SA"/>
      </w:rPr>
    </w:lvl>
    <w:lvl w:ilvl="3" w:tplc="3D485C8A">
      <w:numFmt w:val="bullet"/>
      <w:lvlText w:val="•"/>
      <w:lvlJc w:val="left"/>
      <w:pPr>
        <w:ind w:left="1468" w:hanging="397"/>
      </w:pPr>
      <w:rPr>
        <w:rFonts w:hint="default"/>
        <w:lang w:val="en-US" w:eastAsia="en-US" w:bidi="ar-SA"/>
      </w:rPr>
    </w:lvl>
    <w:lvl w:ilvl="4" w:tplc="9206824E">
      <w:numFmt w:val="bullet"/>
      <w:lvlText w:val="•"/>
      <w:lvlJc w:val="left"/>
      <w:pPr>
        <w:ind w:left="1932" w:hanging="397"/>
      </w:pPr>
      <w:rPr>
        <w:rFonts w:hint="default"/>
        <w:lang w:val="en-US" w:eastAsia="en-US" w:bidi="ar-SA"/>
      </w:rPr>
    </w:lvl>
    <w:lvl w:ilvl="5" w:tplc="71D8CA6E">
      <w:numFmt w:val="bullet"/>
      <w:lvlText w:val="•"/>
      <w:lvlJc w:val="left"/>
      <w:pPr>
        <w:ind w:left="2396" w:hanging="397"/>
      </w:pPr>
      <w:rPr>
        <w:rFonts w:hint="default"/>
        <w:lang w:val="en-US" w:eastAsia="en-US" w:bidi="ar-SA"/>
      </w:rPr>
    </w:lvl>
    <w:lvl w:ilvl="6" w:tplc="9648B61A">
      <w:numFmt w:val="bullet"/>
      <w:lvlText w:val="•"/>
      <w:lvlJc w:val="left"/>
      <w:pPr>
        <w:ind w:left="2860" w:hanging="397"/>
      </w:pPr>
      <w:rPr>
        <w:rFonts w:hint="default"/>
        <w:lang w:val="en-US" w:eastAsia="en-US" w:bidi="ar-SA"/>
      </w:rPr>
    </w:lvl>
    <w:lvl w:ilvl="7" w:tplc="8D4AD7A4">
      <w:numFmt w:val="bullet"/>
      <w:lvlText w:val="•"/>
      <w:lvlJc w:val="left"/>
      <w:pPr>
        <w:ind w:left="3324" w:hanging="397"/>
      </w:pPr>
      <w:rPr>
        <w:rFonts w:hint="default"/>
        <w:lang w:val="en-US" w:eastAsia="en-US" w:bidi="ar-SA"/>
      </w:rPr>
    </w:lvl>
    <w:lvl w:ilvl="8" w:tplc="4148E458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</w:abstractNum>
  <w:num w:numId="1" w16cid:durableId="1588228039">
    <w:abstractNumId w:val="2"/>
  </w:num>
  <w:num w:numId="2" w16cid:durableId="759562314">
    <w:abstractNumId w:val="0"/>
  </w:num>
  <w:num w:numId="3" w16cid:durableId="1751275331">
    <w:abstractNumId w:val="1"/>
  </w:num>
  <w:num w:numId="4" w16cid:durableId="1275290501">
    <w:abstractNumId w:val="3"/>
  </w:num>
  <w:num w:numId="5" w16cid:durableId="144541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83"/>
    <w:rsid w:val="000773C0"/>
    <w:rsid w:val="000C6555"/>
    <w:rsid w:val="001C05EC"/>
    <w:rsid w:val="00533A97"/>
    <w:rsid w:val="00574983"/>
    <w:rsid w:val="005F0B5E"/>
    <w:rsid w:val="006D438E"/>
    <w:rsid w:val="00745283"/>
    <w:rsid w:val="00792F15"/>
    <w:rsid w:val="00796290"/>
    <w:rsid w:val="007B47B6"/>
    <w:rsid w:val="00A02C33"/>
    <w:rsid w:val="00AD5516"/>
    <w:rsid w:val="00F2109B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87B5"/>
  <w15:docId w15:val="{8EA885FD-99AC-7047-B3ED-57F368D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9" w:hanging="39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60"/>
      <w:ind w:left="539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7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Lawrence</cp:lastModifiedBy>
  <cp:revision>2</cp:revision>
  <dcterms:created xsi:type="dcterms:W3CDTF">2025-06-10T10:34:00Z</dcterms:created>
  <dcterms:modified xsi:type="dcterms:W3CDTF">2025-06-10T10:34:00Z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2025-06-01T00:00:00Z</vt:filetime>
  </property>
  <property fmtid="{D5CDD505-2E9C-101B-9397-08002B2CF9AE}" pid="5" name="Producer">
    <vt:lpwstr>Adobe PDF Library 17.0</vt:lpwstr>
  </property>
</Properties>
</file>