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459F" w14:textId="258DC6EF" w:rsidR="00BA6790" w:rsidRPr="009873BF" w:rsidRDefault="003D0226">
      <w:pPr>
        <w:spacing w:after="80"/>
        <w:jc w:val="center"/>
        <w:rPr>
          <w:rFonts w:ascii="Avenir Next LT Pro" w:hAnsi="Avenir Next LT Pro"/>
        </w:rPr>
      </w:pPr>
      <w:r w:rsidRPr="009873BF">
        <w:rPr>
          <w:rFonts w:ascii="Avenir Next LT Pro" w:hAnsi="Avenir Next LT Pro"/>
          <w:noProof/>
        </w:rPr>
        <w:drawing>
          <wp:inline distT="0" distB="0" distL="0" distR="0" wp14:anchorId="0B2DD51C" wp14:editId="78553A5B">
            <wp:extent cx="2476500" cy="1181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476500" cy="1181100"/>
                    </a:xfrm>
                    <a:prstGeom prst="rect">
                      <a:avLst/>
                    </a:prstGeom>
                  </pic:spPr>
                </pic:pic>
              </a:graphicData>
            </a:graphic>
          </wp:inline>
        </w:drawing>
      </w:r>
    </w:p>
    <w:p w14:paraId="1E4BAB59" w14:textId="77777777" w:rsidR="00BA6790" w:rsidRPr="009873BF" w:rsidRDefault="003D0226">
      <w:pPr>
        <w:spacing w:after="40"/>
        <w:jc w:val="center"/>
        <w:rPr>
          <w:rFonts w:ascii="Avenir Next LT Pro" w:hAnsi="Avenir Next LT Pro"/>
        </w:rPr>
      </w:pPr>
      <w:r w:rsidRPr="009873BF">
        <w:rPr>
          <w:rFonts w:ascii="Avenir Next LT Pro" w:hAnsi="Avenir Next LT Pro"/>
          <w:b/>
          <w:bCs/>
          <w:color w:val="8AB84B"/>
          <w:sz w:val="14"/>
          <w:szCs w:val="14"/>
        </w:rPr>
        <w:t>EDITION</w:t>
      </w:r>
      <w:r w:rsidRPr="009873BF">
        <w:rPr>
          <w:rFonts w:ascii="Avenir Next LT Pro" w:hAnsi="Avenir Next LT Pro"/>
          <w:color w:val="6B7280"/>
          <w:sz w:val="14"/>
          <w:szCs w:val="14"/>
        </w:rPr>
        <w:t xml:space="preserve">   |   </w:t>
      </w:r>
      <w:r w:rsidRPr="009873BF">
        <w:rPr>
          <w:rFonts w:ascii="Avenir Next LT Pro" w:hAnsi="Avenir Next LT Pro"/>
          <w:b/>
          <w:bCs/>
          <w:color w:val="1A2050"/>
        </w:rPr>
        <w:t>WEEK 19 · 2026</w:t>
      </w:r>
      <w:r w:rsidRPr="009873BF">
        <w:rPr>
          <w:rFonts w:ascii="Avenir Next LT Pro" w:hAnsi="Avenir Next LT Pro"/>
          <w:color w:val="6B7280"/>
          <w:sz w:val="14"/>
          <w:szCs w:val="14"/>
        </w:rPr>
        <w:t xml:space="preserve">   |   5 – 9 MAY 2026</w:t>
      </w:r>
    </w:p>
    <w:p w14:paraId="57F92CDA" w14:textId="77777777" w:rsidR="00BA6790" w:rsidRPr="009873BF" w:rsidRDefault="00BA6790">
      <w:pPr>
        <w:pBdr>
          <w:bottom w:val="single" w:sz="24" w:space="1" w:color="8AB84B"/>
        </w:pBdr>
        <w:spacing w:before="40" w:after="80"/>
        <w:rPr>
          <w:rFonts w:ascii="Avenir Next LT Pro" w:hAnsi="Avenir Next LT Pr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A6790" w:rsidRPr="009873BF" w14:paraId="3EA2AA98" w14:textId="77777777">
        <w:tc>
          <w:tcPr>
            <w:tcW w:w="0" w:type="auto"/>
            <w:tcBorders>
              <w:top w:val="none" w:sz="0" w:space="0" w:color="FFFFFF"/>
              <w:left w:val="none" w:sz="0" w:space="0" w:color="FFFFFF"/>
              <w:bottom w:val="none" w:sz="0" w:space="0" w:color="FFFFFF"/>
              <w:right w:val="none" w:sz="0" w:space="0" w:color="FFFFFF"/>
            </w:tcBorders>
            <w:shd w:val="clear" w:color="auto" w:fill="1A2050"/>
            <w:tcMar>
              <w:top w:w="160" w:type="dxa"/>
              <w:left w:w="240" w:type="dxa"/>
              <w:bottom w:w="160" w:type="dxa"/>
              <w:right w:w="240" w:type="dxa"/>
            </w:tcMar>
          </w:tcPr>
          <w:p w14:paraId="0D3A97E4" w14:textId="77777777" w:rsidR="00BA6790" w:rsidRPr="0002328C" w:rsidRDefault="003D0226">
            <w:pPr>
              <w:spacing w:after="40"/>
              <w:jc w:val="center"/>
              <w:rPr>
                <w:rFonts w:ascii="Avenir Next LT Pro" w:hAnsi="Avenir Next LT Pro"/>
                <w:lang w:val="en-US"/>
              </w:rPr>
            </w:pPr>
            <w:r w:rsidRPr="0002328C">
              <w:rPr>
                <w:rFonts w:ascii="Avenir Next LT Pro" w:eastAsia="Georgia" w:hAnsi="Avenir Next LT Pro" w:cs="Georgia"/>
                <w:i/>
                <w:iCs/>
                <w:color w:val="FFFFFF"/>
                <w:sz w:val="26"/>
                <w:szCs w:val="26"/>
                <w:lang w:val="en-US"/>
              </w:rPr>
              <w:t>European Logistics &amp; Cost Developments — Weekly Overview</w:t>
            </w:r>
          </w:p>
          <w:p w14:paraId="1BE1C080" w14:textId="77777777" w:rsidR="00BA6790" w:rsidRPr="009873BF" w:rsidRDefault="003D0226">
            <w:pPr>
              <w:jc w:val="center"/>
              <w:rPr>
                <w:rFonts w:ascii="Avenir Next LT Pro" w:hAnsi="Avenir Next LT Pro"/>
              </w:rPr>
            </w:pPr>
            <w:proofErr w:type="gramStart"/>
            <w:r w:rsidRPr="009873BF">
              <w:rPr>
                <w:rFonts w:ascii="Cambria Math" w:hAnsi="Cambria Math" w:cs="Cambria Math"/>
                <w:b/>
                <w:bCs/>
                <w:color w:val="8AB84B"/>
                <w:sz w:val="16"/>
                <w:szCs w:val="16"/>
              </w:rPr>
              <w:t>▶</w:t>
            </w:r>
            <w:r w:rsidRPr="009873BF">
              <w:rPr>
                <w:rFonts w:ascii="Avenir Next LT Pro" w:hAnsi="Avenir Next LT Pro"/>
                <w:b/>
                <w:bCs/>
                <w:color w:val="8AB84B"/>
                <w:sz w:val="16"/>
                <w:szCs w:val="16"/>
              </w:rPr>
              <w:t xml:space="preserve">  NIEUWS</w:t>
            </w:r>
            <w:proofErr w:type="gramEnd"/>
            <w:r w:rsidRPr="009873BF">
              <w:rPr>
                <w:rFonts w:ascii="Avenir Next LT Pro" w:hAnsi="Avenir Next LT Pro"/>
                <w:b/>
                <w:bCs/>
                <w:color w:val="8AB84B"/>
                <w:sz w:val="16"/>
                <w:szCs w:val="16"/>
              </w:rPr>
              <w:t xml:space="preserve"> WEEK </w:t>
            </w:r>
            <w:proofErr w:type="gramStart"/>
            <w:r w:rsidRPr="009873BF">
              <w:rPr>
                <w:rFonts w:ascii="Avenir Next LT Pro" w:hAnsi="Avenir Next LT Pro"/>
                <w:b/>
                <w:bCs/>
                <w:color w:val="8AB84B"/>
                <w:sz w:val="16"/>
                <w:szCs w:val="16"/>
              </w:rPr>
              <w:t>18  |</w:t>
            </w:r>
            <w:proofErr w:type="gramEnd"/>
            <w:r w:rsidRPr="009873BF">
              <w:rPr>
                <w:rFonts w:ascii="Avenir Next LT Pro" w:hAnsi="Avenir Next LT Pro"/>
                <w:b/>
                <w:bCs/>
                <w:color w:val="8AB84B"/>
                <w:sz w:val="16"/>
                <w:szCs w:val="16"/>
              </w:rPr>
              <w:t xml:space="preserve">  28 april </w:t>
            </w:r>
            <w:r w:rsidRPr="009873BF">
              <w:rPr>
                <w:rFonts w:ascii="Avenir Next LT Pro" w:hAnsi="Avenir Next LT Pro" w:cs="Avenir Next LT Pro"/>
                <w:b/>
                <w:bCs/>
                <w:color w:val="8AB84B"/>
                <w:sz w:val="16"/>
                <w:szCs w:val="16"/>
              </w:rPr>
              <w:t>–</w:t>
            </w:r>
            <w:r w:rsidRPr="009873BF">
              <w:rPr>
                <w:rFonts w:ascii="Avenir Next LT Pro" w:hAnsi="Avenir Next LT Pro"/>
                <w:b/>
                <w:bCs/>
                <w:color w:val="8AB84B"/>
                <w:sz w:val="16"/>
                <w:szCs w:val="16"/>
              </w:rPr>
              <w:t xml:space="preserve"> 2 mei 2026</w:t>
            </w:r>
          </w:p>
        </w:tc>
      </w:tr>
    </w:tbl>
    <w:p w14:paraId="017756A0" w14:textId="77777777" w:rsidR="00BA6790" w:rsidRPr="009873BF" w:rsidRDefault="00BA6790">
      <w:pPr>
        <w:spacing w:after="120"/>
        <w:rPr>
          <w:rFonts w:ascii="Avenir Next LT Pro" w:hAnsi="Avenir Next LT Pro"/>
        </w:rPr>
      </w:pPr>
    </w:p>
    <w:p w14:paraId="5A42DD96" w14:textId="77777777" w:rsidR="00BA6790" w:rsidRPr="00187131" w:rsidRDefault="003D0226">
      <w:pPr>
        <w:spacing w:after="100"/>
        <w:rPr>
          <w:rFonts w:ascii="Avenir Next LT Pro" w:hAnsi="Avenir Next LT Pro"/>
          <w:sz w:val="22"/>
          <w:szCs w:val="22"/>
        </w:rPr>
      </w:pPr>
      <w:r w:rsidRPr="0002328C">
        <w:rPr>
          <w:rFonts w:ascii="Avenir Next LT Pro" w:hAnsi="Avenir Next LT Pro"/>
          <w:color w:val="444444"/>
          <w:sz w:val="22"/>
          <w:szCs w:val="22"/>
          <w:lang w:val="en-US"/>
        </w:rPr>
        <w:t xml:space="preserve">Welcome to the </w:t>
      </w:r>
      <w:proofErr w:type="spellStart"/>
      <w:r w:rsidRPr="0002328C">
        <w:rPr>
          <w:rFonts w:ascii="Avenir Next LT Pro" w:hAnsi="Avenir Next LT Pro"/>
          <w:b/>
          <w:bCs/>
          <w:color w:val="1A2050"/>
          <w:sz w:val="22"/>
          <w:szCs w:val="22"/>
          <w:lang w:val="en-US"/>
        </w:rPr>
        <w:t>Logexma</w:t>
      </w:r>
      <w:proofErr w:type="spellEnd"/>
      <w:r w:rsidRPr="0002328C">
        <w:rPr>
          <w:rFonts w:ascii="Avenir Next LT Pro" w:hAnsi="Avenir Next LT Pro"/>
          <w:b/>
          <w:bCs/>
          <w:color w:val="1A2050"/>
          <w:sz w:val="22"/>
          <w:szCs w:val="22"/>
          <w:lang w:val="en-US"/>
        </w:rPr>
        <w:t xml:space="preserve"> Consulting</w:t>
      </w:r>
      <w:r w:rsidRPr="0002328C">
        <w:rPr>
          <w:rFonts w:ascii="Avenir Next LT Pro" w:hAnsi="Avenir Next LT Pro"/>
          <w:color w:val="444444"/>
          <w:sz w:val="22"/>
          <w:szCs w:val="22"/>
          <w:lang w:val="en-US"/>
        </w:rPr>
        <w:t xml:space="preserve"> newsletter. Every week we bring you the most relevant European developments in the field of logistics, customs and regulations — translated into the concrete impact on your international B2B goods flows. </w:t>
      </w:r>
      <w:proofErr w:type="spellStart"/>
      <w:r w:rsidRPr="00187131">
        <w:rPr>
          <w:rFonts w:ascii="Avenir Next LT Pro" w:hAnsi="Avenir Next LT Pro"/>
          <w:color w:val="444444"/>
          <w:sz w:val="22"/>
          <w:szCs w:val="22"/>
        </w:rPr>
        <w:t>This</w:t>
      </w:r>
      <w:proofErr w:type="spellEnd"/>
      <w:r w:rsidRPr="00187131">
        <w:rPr>
          <w:rFonts w:ascii="Avenir Next LT Pro" w:hAnsi="Avenir Next LT Pro"/>
          <w:color w:val="444444"/>
          <w:sz w:val="22"/>
          <w:szCs w:val="22"/>
        </w:rPr>
        <w:t xml:space="preserve"> </w:t>
      </w:r>
      <w:proofErr w:type="spellStart"/>
      <w:r w:rsidRPr="00187131">
        <w:rPr>
          <w:rFonts w:ascii="Avenir Next LT Pro" w:hAnsi="Avenir Next LT Pro"/>
          <w:color w:val="444444"/>
          <w:sz w:val="22"/>
          <w:szCs w:val="22"/>
        </w:rPr>
        <w:t>edition</w:t>
      </w:r>
      <w:proofErr w:type="spellEnd"/>
      <w:r w:rsidRPr="00187131">
        <w:rPr>
          <w:rFonts w:ascii="Avenir Next LT Pro" w:hAnsi="Avenir Next LT Pro"/>
          <w:color w:val="444444"/>
          <w:sz w:val="22"/>
          <w:szCs w:val="22"/>
        </w:rPr>
        <w:t xml:space="preserve"> </w:t>
      </w:r>
      <w:proofErr w:type="spellStart"/>
      <w:r w:rsidRPr="00187131">
        <w:rPr>
          <w:rFonts w:ascii="Avenir Next LT Pro" w:hAnsi="Avenir Next LT Pro"/>
          <w:color w:val="444444"/>
          <w:sz w:val="22"/>
          <w:szCs w:val="22"/>
        </w:rPr>
        <w:t>highlights</w:t>
      </w:r>
      <w:proofErr w:type="spellEnd"/>
      <w:r w:rsidRPr="00187131">
        <w:rPr>
          <w:rFonts w:ascii="Avenir Next LT Pro" w:hAnsi="Avenir Next LT Pro"/>
          <w:color w:val="444444"/>
          <w:sz w:val="22"/>
          <w:szCs w:val="22"/>
        </w:rPr>
        <w:t xml:space="preserve"> </w:t>
      </w:r>
      <w:proofErr w:type="spellStart"/>
      <w:r w:rsidRPr="00187131">
        <w:rPr>
          <w:rFonts w:ascii="Avenir Next LT Pro" w:hAnsi="Avenir Next LT Pro"/>
          <w:color w:val="444444"/>
          <w:sz w:val="22"/>
          <w:szCs w:val="22"/>
        </w:rPr>
        <w:t>the</w:t>
      </w:r>
      <w:proofErr w:type="spellEnd"/>
      <w:r w:rsidRPr="00187131">
        <w:rPr>
          <w:rFonts w:ascii="Avenir Next LT Pro" w:hAnsi="Avenir Next LT Pro"/>
          <w:color w:val="444444"/>
          <w:sz w:val="22"/>
          <w:szCs w:val="22"/>
        </w:rPr>
        <w:t xml:space="preserve"> news of </w:t>
      </w:r>
      <w:r w:rsidRPr="00187131">
        <w:rPr>
          <w:rFonts w:ascii="Avenir Next LT Pro" w:hAnsi="Avenir Next LT Pro"/>
          <w:b/>
          <w:bCs/>
          <w:color w:val="444444"/>
          <w:sz w:val="22"/>
          <w:szCs w:val="22"/>
        </w:rPr>
        <w:t>week 18 (28 April – 2 May 2026).</w:t>
      </w:r>
    </w:p>
    <w:p w14:paraId="523BBCCD" w14:textId="77777777" w:rsidR="00BA6790" w:rsidRPr="009873BF" w:rsidRDefault="00BA6790">
      <w:pPr>
        <w:pBdr>
          <w:bottom w:val="single" w:sz="4" w:space="1" w:color="DDDDDD"/>
        </w:pBdr>
        <w:spacing w:before="60" w:after="60"/>
        <w:rPr>
          <w:rFonts w:ascii="Avenir Next LT Pro" w:hAnsi="Avenir Next LT Pro"/>
        </w:rPr>
      </w:pPr>
    </w:p>
    <w:p w14:paraId="58C6ECB2" w14:textId="77777777" w:rsidR="00BA6790" w:rsidRPr="009873BF" w:rsidRDefault="00BA6790">
      <w:pPr>
        <w:spacing w:after="60"/>
        <w:rPr>
          <w:rFonts w:ascii="Avenir Next LT Pro" w:hAnsi="Avenir Next LT Pr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8826"/>
      </w:tblGrid>
      <w:tr w:rsidR="00BA6790" w:rsidRPr="009873BF" w14:paraId="64EA3A18" w14:textId="77777777">
        <w:tc>
          <w:tcPr>
            <w:tcW w:w="200" w:type="dxa"/>
            <w:tcBorders>
              <w:top w:val="none" w:sz="0" w:space="0" w:color="FFFFFF"/>
              <w:left w:val="none" w:sz="0" w:space="0" w:color="FFFFFF"/>
              <w:bottom w:val="none" w:sz="0" w:space="0" w:color="FFFFFF"/>
              <w:right w:val="none" w:sz="0" w:space="0" w:color="FFFFFF"/>
            </w:tcBorders>
            <w:shd w:val="clear" w:color="auto" w:fill="8AB84B"/>
            <w:tcMar>
              <w:top w:w="60" w:type="dxa"/>
              <w:left w:w="80" w:type="dxa"/>
              <w:bottom w:w="60" w:type="dxa"/>
              <w:right w:w="80" w:type="dxa"/>
            </w:tcMar>
            <w:vAlign w:val="center"/>
          </w:tcPr>
          <w:p w14:paraId="62735BE7" w14:textId="77777777" w:rsidR="00BA6790" w:rsidRPr="009873BF" w:rsidRDefault="00BA6790">
            <w:pPr>
              <w:rPr>
                <w:rFonts w:ascii="Avenir Next LT Pro" w:hAnsi="Avenir Next LT Pro"/>
              </w:rPr>
            </w:pPr>
          </w:p>
        </w:tc>
        <w:tc>
          <w:tcPr>
            <w:tcW w:w="8826" w:type="dxa"/>
            <w:tcBorders>
              <w:top w:val="none" w:sz="0" w:space="0" w:color="FFFFFF"/>
              <w:left w:val="none" w:sz="0" w:space="0" w:color="FFFFFF"/>
              <w:bottom w:val="none" w:sz="0" w:space="0" w:color="FFFFFF"/>
              <w:right w:val="none" w:sz="0" w:space="0" w:color="FFFFFF"/>
            </w:tcBorders>
            <w:shd w:val="clear" w:color="auto" w:fill="F0F6E8"/>
            <w:tcMar>
              <w:top w:w="80" w:type="dxa"/>
              <w:left w:w="160" w:type="dxa"/>
              <w:bottom w:w="80" w:type="dxa"/>
              <w:right w:w="80" w:type="dxa"/>
            </w:tcMar>
          </w:tcPr>
          <w:p w14:paraId="7E9994B1" w14:textId="77777777" w:rsidR="00BA6790" w:rsidRPr="009873BF" w:rsidRDefault="003D0226">
            <w:pPr>
              <w:rPr>
                <w:rFonts w:ascii="Avenir Next LT Pro" w:hAnsi="Avenir Next LT Pro"/>
              </w:rPr>
            </w:pPr>
            <w:r w:rsidRPr="00187131">
              <w:rPr>
                <w:rFonts w:ascii="Avenir Next LT Pro" w:hAnsi="Avenir Next LT Pro"/>
                <w:b/>
                <w:bCs/>
                <w:color w:val="1A2050"/>
              </w:rPr>
              <w:t>CUSTOMS &amp; REGULATIONS</w:t>
            </w:r>
          </w:p>
        </w:tc>
      </w:tr>
    </w:tbl>
    <w:p w14:paraId="08C384DC" w14:textId="77777777" w:rsidR="00BA6790" w:rsidRPr="009873BF" w:rsidRDefault="00BA6790">
      <w:pPr>
        <w:spacing w:after="60"/>
        <w:rPr>
          <w:rFonts w:ascii="Avenir Next LT Pro" w:hAnsi="Avenir Next LT Pro"/>
        </w:rPr>
      </w:pPr>
    </w:p>
    <w:p w14:paraId="4FCCB31A" w14:textId="77777777" w:rsidR="00BA6790" w:rsidRPr="00E85C4C" w:rsidRDefault="003D0226">
      <w:pPr>
        <w:spacing w:before="120" w:after="40"/>
        <w:rPr>
          <w:rFonts w:ascii="Avenir Next LT Pro" w:hAnsi="Avenir Next LT Pro"/>
          <w:sz w:val="28"/>
          <w:szCs w:val="28"/>
        </w:rPr>
      </w:pPr>
      <w:r w:rsidRPr="00E85C4C">
        <w:rPr>
          <w:rFonts w:ascii="Avenir Next LT Pro" w:hAnsi="Avenir Next LT Pro"/>
          <w:b/>
          <w:bCs/>
          <w:color w:val="FFFFFF"/>
          <w:shd w:val="clear" w:color="auto" w:fill="8AB84B"/>
        </w:rPr>
        <w:t xml:space="preserve">  CUSTOMS  </w:t>
      </w:r>
    </w:p>
    <w:p w14:paraId="7AFFDBB6" w14:textId="77777777" w:rsidR="00BA6790" w:rsidRPr="00187131" w:rsidRDefault="003D0226">
      <w:pPr>
        <w:pBdr>
          <w:bottom w:val="single" w:sz="4" w:space="0" w:color="DDE8C4"/>
        </w:pBdr>
        <w:spacing w:before="160" w:after="80"/>
        <w:rPr>
          <w:rFonts w:ascii="Avenir Next LT Pro" w:hAnsi="Avenir Next LT Pro"/>
          <w:sz w:val="22"/>
          <w:szCs w:val="22"/>
          <w:lang w:val="en-US"/>
        </w:rPr>
      </w:pPr>
      <w:r w:rsidRPr="0002328C">
        <w:rPr>
          <w:rFonts w:ascii="Avenir Next LT Pro" w:eastAsia="Georgia" w:hAnsi="Avenir Next LT Pro" w:cs="Georgia"/>
          <w:b/>
          <w:bCs/>
          <w:color w:val="1A2050"/>
          <w:sz w:val="28"/>
          <w:szCs w:val="28"/>
          <w:lang w:val="en-US"/>
        </w:rPr>
        <w:t xml:space="preserve">EU customs reform: </w:t>
      </w:r>
      <w:proofErr w:type="spellStart"/>
      <w:r w:rsidRPr="0002328C">
        <w:rPr>
          <w:rFonts w:ascii="Avenir Next LT Pro" w:eastAsia="Georgia" w:hAnsi="Avenir Next LT Pro" w:cs="Georgia"/>
          <w:b/>
          <w:bCs/>
          <w:color w:val="1A2050"/>
          <w:sz w:val="28"/>
          <w:szCs w:val="28"/>
          <w:lang w:val="en-US"/>
        </w:rPr>
        <w:t>nUCC</w:t>
      </w:r>
      <w:proofErr w:type="spellEnd"/>
      <w:r w:rsidRPr="0002328C">
        <w:rPr>
          <w:rFonts w:ascii="Avenir Next LT Pro" w:eastAsia="Georgia" w:hAnsi="Avenir Next LT Pro" w:cs="Georgia"/>
          <w:b/>
          <w:bCs/>
          <w:color w:val="1A2050"/>
          <w:sz w:val="28"/>
          <w:szCs w:val="28"/>
          <w:lang w:val="en-US"/>
        </w:rPr>
        <w:t xml:space="preserve"> published, </w:t>
      </w:r>
      <w:proofErr w:type="spellStart"/>
      <w:r w:rsidRPr="0002328C">
        <w:rPr>
          <w:rFonts w:ascii="Avenir Next LT Pro" w:eastAsia="Georgia" w:hAnsi="Avenir Next LT Pro" w:cs="Georgia"/>
          <w:b/>
          <w:bCs/>
          <w:color w:val="1A2050"/>
          <w:sz w:val="28"/>
          <w:szCs w:val="28"/>
          <w:lang w:val="en-US"/>
        </w:rPr>
        <w:t>Centralised</w:t>
      </w:r>
      <w:proofErr w:type="spellEnd"/>
      <w:r w:rsidRPr="0002328C">
        <w:rPr>
          <w:rFonts w:ascii="Avenir Next LT Pro" w:eastAsia="Georgia" w:hAnsi="Avenir Next LT Pro" w:cs="Georgia"/>
          <w:b/>
          <w:bCs/>
          <w:color w:val="1A2050"/>
          <w:sz w:val="28"/>
          <w:szCs w:val="28"/>
          <w:lang w:val="en-US"/>
        </w:rPr>
        <w:t xml:space="preserve"> Clearance nears</w:t>
      </w:r>
    </w:p>
    <w:p w14:paraId="449CCB34" w14:textId="77777777" w:rsidR="00BA6790" w:rsidRPr="0002328C" w:rsidRDefault="003D0226">
      <w:pPr>
        <w:spacing w:after="80"/>
        <w:rPr>
          <w:rFonts w:ascii="Avenir Next LT Pro" w:hAnsi="Avenir Next LT Pro"/>
          <w:sz w:val="22"/>
          <w:szCs w:val="22"/>
          <w:lang w:val="en-US"/>
        </w:rPr>
      </w:pPr>
      <w:r w:rsidRPr="0002328C">
        <w:rPr>
          <w:rFonts w:ascii="Avenir Next LT Pro" w:hAnsi="Avenir Next LT Pro"/>
          <w:color w:val="333333"/>
          <w:sz w:val="22"/>
          <w:szCs w:val="22"/>
          <w:lang w:val="en-US"/>
        </w:rPr>
        <w:t>After months of negotiations, an agreement has been reached between the European Commission, the Council and the European Parliament on the new Union Customs Code (UCC). This is the most far-reaching reform of the European customs system since 1968. The publication is scheduled for mid-2026, after which the regulation will enter into force within two weeks.</w:t>
      </w:r>
    </w:p>
    <w:p w14:paraId="4E2C6DEB" w14:textId="77777777" w:rsidR="00BA6790" w:rsidRPr="0002328C" w:rsidRDefault="003D0226">
      <w:pPr>
        <w:spacing w:after="80"/>
        <w:rPr>
          <w:rFonts w:ascii="Avenir Next LT Pro" w:hAnsi="Avenir Next LT Pro"/>
          <w:sz w:val="22"/>
          <w:szCs w:val="22"/>
          <w:lang w:val="en-US"/>
        </w:rPr>
      </w:pPr>
      <w:r w:rsidRPr="0002328C">
        <w:rPr>
          <w:rFonts w:ascii="Avenir Next LT Pro" w:hAnsi="Avenir Next LT Pro"/>
          <w:color w:val="333333"/>
          <w:sz w:val="22"/>
          <w:szCs w:val="22"/>
          <w:lang w:val="en-US"/>
        </w:rPr>
        <w:t xml:space="preserve">Crucial for international B2B flows is the introduction of </w:t>
      </w:r>
      <w:proofErr w:type="spellStart"/>
      <w:r w:rsidRPr="0002328C">
        <w:rPr>
          <w:rFonts w:ascii="Avenir Next LT Pro" w:hAnsi="Avenir Next LT Pro"/>
          <w:color w:val="333333"/>
          <w:sz w:val="22"/>
          <w:szCs w:val="22"/>
          <w:lang w:val="en-US"/>
        </w:rPr>
        <w:t>Centralised</w:t>
      </w:r>
      <w:proofErr w:type="spellEnd"/>
      <w:r w:rsidRPr="0002328C">
        <w:rPr>
          <w:rFonts w:ascii="Avenir Next LT Pro" w:hAnsi="Avenir Next LT Pro"/>
          <w:color w:val="333333"/>
          <w:sz w:val="22"/>
          <w:szCs w:val="22"/>
          <w:lang w:val="en-US"/>
        </w:rPr>
        <w:t xml:space="preserve"> Clearance: companies can now submit their customs declarations in one EU member state, even if the goods are physically located elsewhere in the EU. At the same time, the Dutch DMS system is being expanded to make this possible. The CERTEX system links customs systems to European data sources and checks for eleven additional obligations — errors in declarations now lead to direct refusal.</w:t>
      </w:r>
    </w:p>
    <w:p w14:paraId="1981BD05" w14:textId="77777777" w:rsidR="00BA6790" w:rsidRPr="0002328C" w:rsidRDefault="00BA6790">
      <w:pPr>
        <w:spacing w:after="60"/>
        <w:rPr>
          <w:rFonts w:ascii="Avenir Next LT Pro" w:hAnsi="Avenir Next LT Pro"/>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8906"/>
      </w:tblGrid>
      <w:tr w:rsidR="00BA6790" w:rsidRPr="0002328C" w14:paraId="101F2868" w14:textId="77777777">
        <w:tc>
          <w:tcPr>
            <w:tcW w:w="120" w:type="dxa"/>
            <w:tcBorders>
              <w:top w:val="none" w:sz="0" w:space="0" w:color="FFFFFF"/>
              <w:left w:val="none" w:sz="0" w:space="0" w:color="FFFFFF"/>
              <w:bottom w:val="none" w:sz="0" w:space="0" w:color="FFFFFF"/>
              <w:right w:val="none" w:sz="0" w:space="0" w:color="FFFFFF"/>
            </w:tcBorders>
            <w:shd w:val="clear" w:color="auto" w:fill="8AB84B"/>
          </w:tcPr>
          <w:p w14:paraId="213D2AD5" w14:textId="77777777" w:rsidR="00BA6790" w:rsidRPr="0002328C" w:rsidRDefault="00BA6790">
            <w:pPr>
              <w:rPr>
                <w:rFonts w:ascii="Avenir Next LT Pro" w:hAnsi="Avenir Next LT Pro"/>
                <w:lang w:val="en-US"/>
              </w:rPr>
            </w:pPr>
          </w:p>
        </w:tc>
        <w:tc>
          <w:tcPr>
            <w:tcW w:w="8906" w:type="dxa"/>
            <w:tcBorders>
              <w:top w:val="none" w:sz="0" w:space="0" w:color="FFFFFF"/>
              <w:left w:val="none" w:sz="0" w:space="0" w:color="FFFFFF"/>
              <w:bottom w:val="none" w:sz="0" w:space="0" w:color="FFFFFF"/>
              <w:right w:val="none" w:sz="0" w:space="0" w:color="FFFFFF"/>
            </w:tcBorders>
            <w:shd w:val="clear" w:color="auto" w:fill="F0F6E8"/>
            <w:tcMar>
              <w:top w:w="100" w:type="dxa"/>
              <w:left w:w="160" w:type="dxa"/>
              <w:bottom w:w="100" w:type="dxa"/>
              <w:right w:w="160" w:type="dxa"/>
            </w:tcMar>
          </w:tcPr>
          <w:p w14:paraId="42A0E1D4" w14:textId="77777777" w:rsidR="00BA6790" w:rsidRPr="0002328C" w:rsidRDefault="003D0226">
            <w:pPr>
              <w:spacing w:after="40"/>
              <w:rPr>
                <w:rFonts w:ascii="Avenir Next LT Pro" w:hAnsi="Avenir Next LT Pro"/>
                <w:lang w:val="en-US"/>
              </w:rPr>
            </w:pPr>
            <w:r w:rsidRPr="0002328C">
              <w:rPr>
                <w:rFonts w:ascii="Avenir Next LT Pro" w:hAnsi="Avenir Next LT Pro"/>
                <w:b/>
                <w:bCs/>
                <w:color w:val="8AB84B"/>
                <w:sz w:val="14"/>
                <w:szCs w:val="14"/>
                <w:lang w:val="en-US"/>
              </w:rPr>
              <w:t>WHAT DOES THIS MEAN FOR YOU?</w:t>
            </w:r>
          </w:p>
          <w:p w14:paraId="3104618D" w14:textId="77777777" w:rsidR="00BA6790" w:rsidRPr="0002328C" w:rsidRDefault="003D0226">
            <w:pPr>
              <w:rPr>
                <w:rFonts w:ascii="Avenir Next LT Pro" w:hAnsi="Avenir Next LT Pro"/>
                <w:lang w:val="en-US"/>
              </w:rPr>
            </w:pPr>
            <w:r w:rsidRPr="0002328C">
              <w:rPr>
                <w:rFonts w:ascii="Avenir Next LT Pro" w:hAnsi="Avenir Next LT Pro"/>
                <w:color w:val="1A2050"/>
                <w:sz w:val="18"/>
                <w:szCs w:val="18"/>
                <w:lang w:val="en-US"/>
              </w:rPr>
              <w:t xml:space="preserve">Companies with cross-border flows of goods must adapt their declaration processes and internal capacity in a timely manner. Preparation for </w:t>
            </w:r>
            <w:proofErr w:type="spellStart"/>
            <w:r w:rsidRPr="0002328C">
              <w:rPr>
                <w:rFonts w:ascii="Avenir Next LT Pro" w:hAnsi="Avenir Next LT Pro"/>
                <w:color w:val="1A2050"/>
                <w:sz w:val="18"/>
                <w:szCs w:val="18"/>
                <w:lang w:val="en-US"/>
              </w:rPr>
              <w:t>Centralised</w:t>
            </w:r>
            <w:proofErr w:type="spellEnd"/>
            <w:r w:rsidRPr="0002328C">
              <w:rPr>
                <w:rFonts w:ascii="Avenir Next LT Pro" w:hAnsi="Avenir Next LT Pro"/>
                <w:color w:val="1A2050"/>
                <w:sz w:val="18"/>
                <w:szCs w:val="18"/>
                <w:lang w:val="en-US"/>
              </w:rPr>
              <w:t xml:space="preserve"> Clearance requires coordination with several Member States and careful consideration of capacity with the </w:t>
            </w:r>
            <w:proofErr w:type="spellStart"/>
            <w:r w:rsidRPr="0002328C">
              <w:rPr>
                <w:rFonts w:ascii="Avenir Next LT Pro" w:hAnsi="Avenir Next LT Pro"/>
                <w:color w:val="1A2050"/>
                <w:sz w:val="18"/>
                <w:szCs w:val="18"/>
                <w:lang w:val="en-US"/>
              </w:rPr>
              <w:t>nDWU</w:t>
            </w:r>
            <w:proofErr w:type="spellEnd"/>
            <w:r w:rsidRPr="0002328C">
              <w:rPr>
                <w:rFonts w:ascii="Avenir Next LT Pro" w:hAnsi="Avenir Next LT Pro"/>
                <w:color w:val="1A2050"/>
                <w:sz w:val="18"/>
                <w:szCs w:val="18"/>
                <w:lang w:val="en-US"/>
              </w:rPr>
              <w:t xml:space="preserve"> implementation.</w:t>
            </w:r>
          </w:p>
        </w:tc>
      </w:tr>
    </w:tbl>
    <w:p w14:paraId="165DCA84" w14:textId="77777777" w:rsidR="00BA6790" w:rsidRPr="0002328C" w:rsidRDefault="00BA6790">
      <w:pPr>
        <w:spacing w:after="80"/>
        <w:rPr>
          <w:rFonts w:ascii="Avenir Next LT Pro" w:hAnsi="Avenir Next LT Pro"/>
          <w:lang w:val="en-US"/>
        </w:rPr>
      </w:pPr>
    </w:p>
    <w:p w14:paraId="272EEE4A" w14:textId="77777777" w:rsidR="00BA6790" w:rsidRPr="0002328C" w:rsidRDefault="003D0226">
      <w:pPr>
        <w:spacing w:before="120" w:after="40"/>
        <w:rPr>
          <w:rFonts w:ascii="Avenir Next LT Pro" w:hAnsi="Avenir Next LT Pro"/>
          <w:sz w:val="28"/>
          <w:szCs w:val="28"/>
          <w:lang w:val="en-US"/>
        </w:rPr>
      </w:pPr>
      <w:r w:rsidRPr="0002328C">
        <w:rPr>
          <w:rFonts w:ascii="Avenir Next LT Pro" w:hAnsi="Avenir Next LT Pro"/>
          <w:b/>
          <w:bCs/>
          <w:color w:val="FFFFFF"/>
          <w:shd w:val="clear" w:color="auto" w:fill="1A2050"/>
          <w:lang w:val="en-US"/>
        </w:rPr>
        <w:t xml:space="preserve">  E-COMMERCE &amp; IMPORT  </w:t>
      </w:r>
    </w:p>
    <w:p w14:paraId="4E785989" w14:textId="77777777" w:rsidR="00BA6790" w:rsidRPr="0002328C" w:rsidRDefault="003D0226">
      <w:pPr>
        <w:pBdr>
          <w:bottom w:val="single" w:sz="4" w:space="0" w:color="DDE8C4"/>
        </w:pBdr>
        <w:spacing w:before="160" w:after="80"/>
        <w:rPr>
          <w:rFonts w:ascii="Avenir Next LT Pro" w:hAnsi="Avenir Next LT Pro"/>
          <w:sz w:val="22"/>
          <w:szCs w:val="22"/>
          <w:lang w:val="en-US"/>
        </w:rPr>
      </w:pPr>
      <w:r w:rsidRPr="0002328C">
        <w:rPr>
          <w:rFonts w:ascii="Avenir Next LT Pro" w:eastAsia="Georgia" w:hAnsi="Avenir Next LT Pro" w:cs="Georgia"/>
          <w:b/>
          <w:bCs/>
          <w:color w:val="1A2050"/>
          <w:sz w:val="28"/>
          <w:szCs w:val="28"/>
          <w:lang w:val="en-US"/>
        </w:rPr>
        <w:t>€3 import duty small packages: entry into force 1 July 2026 confirmed</w:t>
      </w:r>
    </w:p>
    <w:p w14:paraId="7A0FAFA3" w14:textId="77777777" w:rsidR="00BA6790" w:rsidRPr="0002328C" w:rsidRDefault="003D0226">
      <w:pPr>
        <w:spacing w:after="80"/>
        <w:rPr>
          <w:rFonts w:ascii="Avenir Next LT Pro" w:hAnsi="Avenir Next LT Pro"/>
          <w:sz w:val="22"/>
          <w:szCs w:val="22"/>
          <w:lang w:val="en-US"/>
        </w:rPr>
      </w:pPr>
      <w:r w:rsidRPr="0002328C">
        <w:rPr>
          <w:rFonts w:ascii="Avenir Next LT Pro" w:hAnsi="Avenir Next LT Pro"/>
          <w:color w:val="333333"/>
          <w:sz w:val="22"/>
          <w:szCs w:val="22"/>
          <w:lang w:val="en-US"/>
        </w:rPr>
        <w:t>During the Ecofin Council of 5 May 2026, it was discussed that the EU will introduce a fixed levy of €3 per product category (HS code) on parcels with a value below €150 as of 1 July 2026. The exemption from import duties for small consignments, of which the EU processes approximately 4.6 billion pieces annually, will therefore expire permanently. In addition, the Netherlands is working on its own handling fee of €2 per product. An EU-wide handling fee of €2 per shipment will follow in November 2026.</w:t>
      </w:r>
    </w:p>
    <w:p w14:paraId="46D1FC5F" w14:textId="77777777" w:rsidR="00BA6790" w:rsidRPr="0002328C" w:rsidRDefault="003D0226">
      <w:pPr>
        <w:spacing w:after="80"/>
        <w:rPr>
          <w:rFonts w:ascii="Avenir Next LT Pro" w:hAnsi="Avenir Next LT Pro"/>
          <w:sz w:val="22"/>
          <w:szCs w:val="22"/>
          <w:lang w:val="en-US"/>
        </w:rPr>
      </w:pPr>
      <w:r w:rsidRPr="0002328C">
        <w:rPr>
          <w:rFonts w:ascii="Avenir Next LT Pro" w:hAnsi="Avenir Next LT Pro"/>
          <w:color w:val="333333"/>
          <w:sz w:val="22"/>
          <w:szCs w:val="22"/>
          <w:lang w:val="en-US"/>
        </w:rPr>
        <w:t>For international B2B flows, this means that business purchase orders of low-value material (tools, parts, accessories) are also taxed per tariff heading. An order of three different product categories leads to an additional cost of €9, on top of the regular import duties.</w:t>
      </w:r>
    </w:p>
    <w:p w14:paraId="00CBA19B" w14:textId="77777777" w:rsidR="00BA6790" w:rsidRPr="0002328C" w:rsidRDefault="00BA6790">
      <w:pPr>
        <w:spacing w:after="60"/>
        <w:rPr>
          <w:rFonts w:ascii="Avenir Next LT Pro" w:hAnsi="Avenir Next LT Pro"/>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8906"/>
      </w:tblGrid>
      <w:tr w:rsidR="00BA6790" w:rsidRPr="0002328C" w14:paraId="5C96E298" w14:textId="77777777">
        <w:tc>
          <w:tcPr>
            <w:tcW w:w="120" w:type="dxa"/>
            <w:tcBorders>
              <w:top w:val="none" w:sz="0" w:space="0" w:color="FFFFFF"/>
              <w:left w:val="none" w:sz="0" w:space="0" w:color="FFFFFF"/>
              <w:bottom w:val="none" w:sz="0" w:space="0" w:color="FFFFFF"/>
              <w:right w:val="none" w:sz="0" w:space="0" w:color="FFFFFF"/>
            </w:tcBorders>
            <w:shd w:val="clear" w:color="auto" w:fill="8AB84B"/>
          </w:tcPr>
          <w:p w14:paraId="1F0369AA" w14:textId="77777777" w:rsidR="00BA6790" w:rsidRPr="0002328C" w:rsidRDefault="00BA6790">
            <w:pPr>
              <w:rPr>
                <w:rFonts w:ascii="Avenir Next LT Pro" w:hAnsi="Avenir Next LT Pro"/>
                <w:lang w:val="en-US"/>
              </w:rPr>
            </w:pPr>
          </w:p>
        </w:tc>
        <w:tc>
          <w:tcPr>
            <w:tcW w:w="8906" w:type="dxa"/>
            <w:tcBorders>
              <w:top w:val="none" w:sz="0" w:space="0" w:color="FFFFFF"/>
              <w:left w:val="none" w:sz="0" w:space="0" w:color="FFFFFF"/>
              <w:bottom w:val="none" w:sz="0" w:space="0" w:color="FFFFFF"/>
              <w:right w:val="none" w:sz="0" w:space="0" w:color="FFFFFF"/>
            </w:tcBorders>
            <w:shd w:val="clear" w:color="auto" w:fill="F0F6E8"/>
            <w:tcMar>
              <w:top w:w="100" w:type="dxa"/>
              <w:left w:w="160" w:type="dxa"/>
              <w:bottom w:w="100" w:type="dxa"/>
              <w:right w:w="160" w:type="dxa"/>
            </w:tcMar>
          </w:tcPr>
          <w:p w14:paraId="60F954A1" w14:textId="77777777" w:rsidR="00BA6790" w:rsidRPr="0002328C" w:rsidRDefault="003D0226">
            <w:pPr>
              <w:spacing w:after="40"/>
              <w:rPr>
                <w:rFonts w:ascii="Avenir Next LT Pro" w:hAnsi="Avenir Next LT Pro"/>
                <w:lang w:val="en-US"/>
              </w:rPr>
            </w:pPr>
            <w:r w:rsidRPr="0002328C">
              <w:rPr>
                <w:rFonts w:ascii="Avenir Next LT Pro" w:hAnsi="Avenir Next LT Pro"/>
                <w:b/>
                <w:bCs/>
                <w:color w:val="8AB84B"/>
                <w:sz w:val="14"/>
                <w:szCs w:val="14"/>
                <w:lang w:val="en-US"/>
              </w:rPr>
              <w:t>WHAT DOES THIS MEAN FOR YOU?</w:t>
            </w:r>
          </w:p>
          <w:p w14:paraId="5830A0D5" w14:textId="77777777" w:rsidR="00BA6790" w:rsidRPr="0002328C" w:rsidRDefault="003D0226">
            <w:pPr>
              <w:rPr>
                <w:rFonts w:ascii="Avenir Next LT Pro" w:hAnsi="Avenir Next LT Pro"/>
                <w:lang w:val="en-US"/>
              </w:rPr>
            </w:pPr>
            <w:r w:rsidRPr="0002328C">
              <w:rPr>
                <w:rFonts w:ascii="Avenir Next LT Pro" w:hAnsi="Avenir Next LT Pro"/>
                <w:color w:val="1A2050"/>
                <w:sz w:val="18"/>
                <w:szCs w:val="18"/>
                <w:lang w:val="en-US"/>
              </w:rPr>
              <w:t>Review your procurement structure for low-value components from non-EU countries. Bundling orders by HS code and consolidation of shipments will determine costs. Also, check the customs classifications in your ERP to avoid any surprises during customs clearance.</w:t>
            </w:r>
          </w:p>
        </w:tc>
      </w:tr>
    </w:tbl>
    <w:p w14:paraId="237FCB8B" w14:textId="77777777" w:rsidR="00BA6790" w:rsidRPr="0002328C" w:rsidRDefault="00BA6790">
      <w:pPr>
        <w:spacing w:after="80"/>
        <w:rPr>
          <w:rFonts w:ascii="Avenir Next LT Pro" w:hAnsi="Avenir Next LT Pro"/>
          <w:lang w:val="en-US"/>
        </w:rPr>
      </w:pPr>
    </w:p>
    <w:p w14:paraId="78B063AB" w14:textId="77777777" w:rsidR="00BA6790" w:rsidRPr="0002328C" w:rsidRDefault="00BA6790">
      <w:pPr>
        <w:pBdr>
          <w:bottom w:val="single" w:sz="12" w:space="1" w:color="8AB84B"/>
        </w:pBdr>
        <w:spacing w:before="80" w:after="80"/>
        <w:rPr>
          <w:rFonts w:ascii="Avenir Next LT Pro" w:hAnsi="Avenir Next LT Pro"/>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9"/>
        <w:gridCol w:w="3009"/>
      </w:tblGrid>
      <w:tr w:rsidR="00BA6790" w:rsidRPr="0002328C" w14:paraId="18A6CF4A" w14:textId="77777777">
        <w:tc>
          <w:tcPr>
            <w:tcW w:w="3008" w:type="dxa"/>
            <w:tcBorders>
              <w:top w:val="none" w:sz="0" w:space="0" w:color="FFFFFF"/>
              <w:left w:val="none" w:sz="0" w:space="0" w:color="FFFFFF"/>
              <w:bottom w:val="none" w:sz="0" w:space="0" w:color="FFFFFF"/>
              <w:right w:val="single" w:sz="4" w:space="0" w:color="FFFFFF"/>
            </w:tcBorders>
            <w:shd w:val="clear" w:color="auto" w:fill="1A2050"/>
            <w:tcMar>
              <w:top w:w="160" w:type="dxa"/>
              <w:left w:w="120" w:type="dxa"/>
              <w:bottom w:w="160" w:type="dxa"/>
              <w:right w:w="120" w:type="dxa"/>
            </w:tcMar>
            <w:vAlign w:val="center"/>
          </w:tcPr>
          <w:p w14:paraId="21EC7E99" w14:textId="77777777" w:rsidR="00BA6790" w:rsidRPr="0002328C" w:rsidRDefault="003D0226">
            <w:pPr>
              <w:spacing w:after="40"/>
              <w:jc w:val="center"/>
              <w:rPr>
                <w:rFonts w:ascii="Avenir Next LT Pro" w:hAnsi="Avenir Next LT Pro"/>
                <w:lang w:val="en-US"/>
              </w:rPr>
            </w:pPr>
            <w:r w:rsidRPr="0002328C">
              <w:rPr>
                <w:rFonts w:ascii="Avenir Next LT Pro" w:eastAsia="Georgia" w:hAnsi="Avenir Next LT Pro" w:cs="Georgia"/>
                <w:color w:val="8AB84B"/>
                <w:sz w:val="52"/>
                <w:szCs w:val="52"/>
                <w:lang w:val="en-US"/>
              </w:rPr>
              <w:t>7–8%</w:t>
            </w:r>
          </w:p>
          <w:p w14:paraId="08C18795" w14:textId="77777777" w:rsidR="00BA6790" w:rsidRPr="0002328C" w:rsidRDefault="003D0226">
            <w:pPr>
              <w:jc w:val="center"/>
              <w:rPr>
                <w:rFonts w:ascii="Avenir Next LT Pro" w:hAnsi="Avenir Next LT Pro"/>
                <w:lang w:val="en-US"/>
              </w:rPr>
            </w:pPr>
            <w:r w:rsidRPr="0002328C">
              <w:rPr>
                <w:rFonts w:ascii="Avenir Next LT Pro" w:hAnsi="Avenir Next LT Pro"/>
                <w:color w:val="BBBBBB"/>
                <w:sz w:val="14"/>
                <w:szCs w:val="14"/>
                <w:lang w:val="en-US"/>
              </w:rPr>
              <w:t>expected cost increase in road transport in the Netherlands due to truck charge (from 1 July)</w:t>
            </w:r>
          </w:p>
        </w:tc>
        <w:tc>
          <w:tcPr>
            <w:tcW w:w="3008" w:type="dxa"/>
            <w:tcBorders>
              <w:top w:val="none" w:sz="0" w:space="0" w:color="FFFFFF"/>
              <w:left w:val="none" w:sz="0" w:space="0" w:color="FFFFFF"/>
              <w:bottom w:val="none" w:sz="0" w:space="0" w:color="FFFFFF"/>
              <w:right w:val="single" w:sz="4" w:space="0" w:color="FFFFFF"/>
            </w:tcBorders>
            <w:shd w:val="clear" w:color="auto" w:fill="1A2050"/>
            <w:tcMar>
              <w:top w:w="160" w:type="dxa"/>
              <w:left w:w="120" w:type="dxa"/>
              <w:bottom w:w="160" w:type="dxa"/>
              <w:right w:w="120" w:type="dxa"/>
            </w:tcMar>
            <w:vAlign w:val="center"/>
          </w:tcPr>
          <w:p w14:paraId="037B03FF" w14:textId="77777777" w:rsidR="00BA6790" w:rsidRPr="0002328C" w:rsidRDefault="003D0226">
            <w:pPr>
              <w:spacing w:after="40"/>
              <w:jc w:val="center"/>
              <w:rPr>
                <w:rFonts w:ascii="Avenir Next LT Pro" w:hAnsi="Avenir Next LT Pro"/>
                <w:lang w:val="en-US"/>
              </w:rPr>
            </w:pPr>
            <w:r w:rsidRPr="0002328C">
              <w:rPr>
                <w:rFonts w:ascii="Avenir Next LT Pro" w:eastAsia="Georgia" w:hAnsi="Avenir Next LT Pro" w:cs="Georgia"/>
                <w:color w:val="8AB84B"/>
                <w:sz w:val="52"/>
                <w:szCs w:val="52"/>
                <w:lang w:val="en-US"/>
              </w:rPr>
              <w:t>€3</w:t>
            </w:r>
          </w:p>
          <w:p w14:paraId="21550F34" w14:textId="77777777" w:rsidR="00BA6790" w:rsidRPr="0002328C" w:rsidRDefault="003D0226">
            <w:pPr>
              <w:jc w:val="center"/>
              <w:rPr>
                <w:rFonts w:ascii="Avenir Next LT Pro" w:hAnsi="Avenir Next LT Pro"/>
                <w:lang w:val="en-US"/>
              </w:rPr>
            </w:pPr>
            <w:r w:rsidRPr="0002328C">
              <w:rPr>
                <w:rFonts w:ascii="Avenir Next LT Pro" w:hAnsi="Avenir Next LT Pro"/>
                <w:color w:val="BBBBBB"/>
                <w:sz w:val="14"/>
                <w:szCs w:val="14"/>
                <w:lang w:val="en-US"/>
              </w:rPr>
              <w:t>new EU import duty per HS code for parcels &lt;€150 (from 1 July 2026)</w:t>
            </w:r>
          </w:p>
        </w:tc>
        <w:tc>
          <w:tcPr>
            <w:tcW w:w="3008" w:type="dxa"/>
            <w:tcBorders>
              <w:top w:val="none" w:sz="0" w:space="0" w:color="FFFFFF"/>
              <w:left w:val="none" w:sz="0" w:space="0" w:color="FFFFFF"/>
              <w:bottom w:val="none" w:sz="0" w:space="0" w:color="FFFFFF"/>
              <w:right w:val="single" w:sz="4" w:space="0" w:color="FFFFFF"/>
            </w:tcBorders>
            <w:shd w:val="clear" w:color="auto" w:fill="1A2050"/>
            <w:tcMar>
              <w:top w:w="160" w:type="dxa"/>
              <w:left w:w="120" w:type="dxa"/>
              <w:bottom w:w="160" w:type="dxa"/>
              <w:right w:w="120" w:type="dxa"/>
            </w:tcMar>
            <w:vAlign w:val="center"/>
          </w:tcPr>
          <w:p w14:paraId="5734EEE5" w14:textId="77777777" w:rsidR="00BA6790" w:rsidRPr="0002328C" w:rsidRDefault="003D0226">
            <w:pPr>
              <w:spacing w:after="40"/>
              <w:jc w:val="center"/>
              <w:rPr>
                <w:rFonts w:ascii="Avenir Next LT Pro" w:hAnsi="Avenir Next LT Pro"/>
                <w:lang w:val="en-US"/>
              </w:rPr>
            </w:pPr>
            <w:r w:rsidRPr="0002328C">
              <w:rPr>
                <w:rFonts w:ascii="Avenir Next LT Pro" w:eastAsia="Georgia" w:hAnsi="Avenir Next LT Pro" w:cs="Georgia"/>
                <w:color w:val="8AB84B"/>
                <w:sz w:val="52"/>
                <w:szCs w:val="52"/>
                <w:lang w:val="en-US"/>
              </w:rPr>
              <w:t>+2,6%</w:t>
            </w:r>
          </w:p>
          <w:p w14:paraId="24BD9917" w14:textId="77777777" w:rsidR="00BA6790" w:rsidRPr="0002328C" w:rsidRDefault="003D0226">
            <w:pPr>
              <w:jc w:val="center"/>
              <w:rPr>
                <w:rFonts w:ascii="Avenir Next LT Pro" w:hAnsi="Avenir Next LT Pro"/>
                <w:lang w:val="en-US"/>
              </w:rPr>
            </w:pPr>
            <w:r w:rsidRPr="0002328C">
              <w:rPr>
                <w:rFonts w:ascii="Avenir Next LT Pro" w:hAnsi="Avenir Next LT Pro"/>
                <w:color w:val="BBBBBB"/>
                <w:sz w:val="14"/>
                <w:szCs w:val="14"/>
                <w:lang w:val="en-US"/>
              </w:rPr>
              <w:t>year-on-year increase in air freight rates (PPI March 2026)</w:t>
            </w:r>
          </w:p>
        </w:tc>
      </w:tr>
    </w:tbl>
    <w:p w14:paraId="526B0BBE" w14:textId="77777777" w:rsidR="00BA6790" w:rsidRPr="0002328C" w:rsidRDefault="00BA6790">
      <w:pPr>
        <w:pBdr>
          <w:bottom w:val="single" w:sz="12" w:space="1" w:color="8AB84B"/>
        </w:pBdr>
        <w:spacing w:before="80" w:after="80"/>
        <w:rPr>
          <w:rFonts w:ascii="Avenir Next LT Pro" w:hAnsi="Avenir Next LT Pro"/>
          <w:lang w:val="en-US"/>
        </w:rPr>
      </w:pPr>
    </w:p>
    <w:p w14:paraId="6FAE6B43" w14:textId="77777777" w:rsidR="00BA6790" w:rsidRPr="0002328C" w:rsidRDefault="00BA6790">
      <w:pPr>
        <w:spacing w:after="80"/>
        <w:rPr>
          <w:rFonts w:ascii="Avenir Next LT Pro" w:hAnsi="Avenir Next LT Pro"/>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8826"/>
      </w:tblGrid>
      <w:tr w:rsidR="00BA6790" w:rsidRPr="009873BF" w14:paraId="67C19186" w14:textId="77777777">
        <w:tc>
          <w:tcPr>
            <w:tcW w:w="200" w:type="dxa"/>
            <w:tcBorders>
              <w:top w:val="none" w:sz="0" w:space="0" w:color="FFFFFF"/>
              <w:left w:val="none" w:sz="0" w:space="0" w:color="FFFFFF"/>
              <w:bottom w:val="none" w:sz="0" w:space="0" w:color="FFFFFF"/>
              <w:right w:val="none" w:sz="0" w:space="0" w:color="FFFFFF"/>
            </w:tcBorders>
            <w:shd w:val="clear" w:color="auto" w:fill="8AB84B"/>
            <w:tcMar>
              <w:top w:w="60" w:type="dxa"/>
              <w:left w:w="80" w:type="dxa"/>
              <w:bottom w:w="60" w:type="dxa"/>
              <w:right w:w="80" w:type="dxa"/>
            </w:tcMar>
            <w:vAlign w:val="center"/>
          </w:tcPr>
          <w:p w14:paraId="1155D11E" w14:textId="77777777" w:rsidR="00BA6790" w:rsidRPr="0002328C" w:rsidRDefault="00BA6790">
            <w:pPr>
              <w:rPr>
                <w:rFonts w:ascii="Avenir Next LT Pro" w:hAnsi="Avenir Next LT Pro"/>
                <w:lang w:val="en-US"/>
              </w:rPr>
            </w:pPr>
          </w:p>
        </w:tc>
        <w:tc>
          <w:tcPr>
            <w:tcW w:w="8826" w:type="dxa"/>
            <w:tcBorders>
              <w:top w:val="none" w:sz="0" w:space="0" w:color="FFFFFF"/>
              <w:left w:val="none" w:sz="0" w:space="0" w:color="FFFFFF"/>
              <w:bottom w:val="none" w:sz="0" w:space="0" w:color="FFFFFF"/>
              <w:right w:val="none" w:sz="0" w:space="0" w:color="FFFFFF"/>
            </w:tcBorders>
            <w:shd w:val="clear" w:color="auto" w:fill="F0F6E8"/>
            <w:tcMar>
              <w:top w:w="80" w:type="dxa"/>
              <w:left w:w="160" w:type="dxa"/>
              <w:bottom w:w="80" w:type="dxa"/>
              <w:right w:w="80" w:type="dxa"/>
            </w:tcMar>
          </w:tcPr>
          <w:p w14:paraId="24443568" w14:textId="77777777" w:rsidR="00BA6790" w:rsidRPr="009873BF" w:rsidRDefault="003D0226">
            <w:pPr>
              <w:rPr>
                <w:rFonts w:ascii="Avenir Next LT Pro" w:hAnsi="Avenir Next LT Pro"/>
              </w:rPr>
            </w:pPr>
            <w:r w:rsidRPr="009873BF">
              <w:rPr>
                <w:rFonts w:ascii="Avenir Next LT Pro" w:hAnsi="Avenir Next LT Pro"/>
                <w:b/>
                <w:bCs/>
                <w:color w:val="1A2050"/>
                <w:sz w:val="16"/>
                <w:szCs w:val="16"/>
              </w:rPr>
              <w:t>TRANSPORTATION &amp; COST COMPAS</w:t>
            </w:r>
          </w:p>
        </w:tc>
      </w:tr>
    </w:tbl>
    <w:p w14:paraId="07F8AB1C" w14:textId="77777777" w:rsidR="00BA6790" w:rsidRPr="009873BF" w:rsidRDefault="00BA6790">
      <w:pPr>
        <w:spacing w:after="60"/>
        <w:rPr>
          <w:rFonts w:ascii="Avenir Next LT Pro" w:hAnsi="Avenir Next LT Pro"/>
        </w:rPr>
      </w:pPr>
    </w:p>
    <w:p w14:paraId="69C8F416" w14:textId="77777777" w:rsidR="00BA6790" w:rsidRPr="00F76D1A" w:rsidRDefault="003D0226">
      <w:pPr>
        <w:spacing w:before="120" w:after="40"/>
        <w:rPr>
          <w:rFonts w:ascii="Avenir Next LT Pro" w:hAnsi="Avenir Next LT Pro"/>
          <w:sz w:val="28"/>
          <w:szCs w:val="28"/>
        </w:rPr>
      </w:pPr>
      <w:r w:rsidRPr="009873BF">
        <w:rPr>
          <w:rFonts w:ascii="Avenir Next LT Pro" w:hAnsi="Avenir Next LT Pro"/>
          <w:b/>
          <w:bCs/>
          <w:color w:val="FFFFFF"/>
          <w:sz w:val="14"/>
          <w:szCs w:val="14"/>
          <w:shd w:val="clear" w:color="auto" w:fill="8AB84B"/>
        </w:rPr>
        <w:t xml:space="preserve">  </w:t>
      </w:r>
      <w:r w:rsidRPr="00F76D1A">
        <w:rPr>
          <w:rFonts w:ascii="Avenir Next LT Pro" w:hAnsi="Avenir Next LT Pro"/>
          <w:b/>
          <w:bCs/>
          <w:color w:val="FFFFFF"/>
          <w:shd w:val="clear" w:color="auto" w:fill="8AB84B"/>
        </w:rPr>
        <w:t xml:space="preserve">ROAD TRANSPORT  </w:t>
      </w:r>
    </w:p>
    <w:p w14:paraId="5D48E28E" w14:textId="77777777" w:rsidR="00BA6790" w:rsidRPr="0002328C" w:rsidRDefault="003D0226">
      <w:pPr>
        <w:pBdr>
          <w:bottom w:val="single" w:sz="4" w:space="0" w:color="DDE8C4"/>
        </w:pBdr>
        <w:spacing w:before="160" w:after="80"/>
        <w:rPr>
          <w:rFonts w:ascii="Avenir Next LT Pro" w:hAnsi="Avenir Next LT Pro"/>
          <w:sz w:val="22"/>
          <w:szCs w:val="22"/>
          <w:lang w:val="en-US"/>
        </w:rPr>
      </w:pPr>
      <w:r w:rsidRPr="0002328C">
        <w:rPr>
          <w:rFonts w:ascii="Avenir Next LT Pro" w:eastAsia="Georgia" w:hAnsi="Avenir Next LT Pro" w:cs="Georgia"/>
          <w:b/>
          <w:bCs/>
          <w:color w:val="1A2050"/>
          <w:sz w:val="28"/>
          <w:szCs w:val="28"/>
          <w:lang w:val="en-US"/>
        </w:rPr>
        <w:t>Truck charge: double cost increase requires renegotiation of transport contracts</w:t>
      </w:r>
    </w:p>
    <w:p w14:paraId="5028575F" w14:textId="77777777" w:rsidR="00BA6790" w:rsidRPr="0002328C" w:rsidRDefault="003D0226">
      <w:pPr>
        <w:spacing w:after="80"/>
        <w:rPr>
          <w:rFonts w:ascii="Avenir Next LT Pro" w:hAnsi="Avenir Next LT Pro"/>
          <w:sz w:val="22"/>
          <w:szCs w:val="22"/>
          <w:lang w:val="en-US"/>
        </w:rPr>
      </w:pPr>
      <w:r w:rsidRPr="0002328C">
        <w:rPr>
          <w:rFonts w:ascii="Avenir Next LT Pro" w:hAnsi="Avenir Next LT Pro"/>
          <w:color w:val="333333"/>
          <w:sz w:val="22"/>
          <w:szCs w:val="22"/>
          <w:lang w:val="en-US"/>
        </w:rPr>
        <w:t xml:space="preserve">As of 1 July 2026, transporters in the Netherlands will pay an amount per </w:t>
      </w:r>
      <w:proofErr w:type="spellStart"/>
      <w:r w:rsidRPr="0002328C">
        <w:rPr>
          <w:rFonts w:ascii="Avenir Next LT Pro" w:hAnsi="Avenir Next LT Pro"/>
          <w:color w:val="333333"/>
          <w:sz w:val="22"/>
          <w:szCs w:val="22"/>
          <w:lang w:val="en-US"/>
        </w:rPr>
        <w:t>kilometre</w:t>
      </w:r>
      <w:proofErr w:type="spellEnd"/>
      <w:r w:rsidRPr="0002328C">
        <w:rPr>
          <w:rFonts w:ascii="Avenir Next LT Pro" w:hAnsi="Avenir Next LT Pro"/>
          <w:color w:val="333333"/>
          <w:sz w:val="22"/>
          <w:szCs w:val="22"/>
          <w:lang w:val="en-US"/>
        </w:rPr>
        <w:t xml:space="preserve"> driven, depending on vehicle weight and CO</w:t>
      </w:r>
      <w:r w:rsidRPr="0002328C">
        <w:rPr>
          <w:rFonts w:ascii="Cambria Math" w:hAnsi="Cambria Math" w:cs="Cambria Math"/>
          <w:color w:val="333333"/>
          <w:sz w:val="22"/>
          <w:szCs w:val="22"/>
          <w:lang w:val="en-US"/>
        </w:rPr>
        <w:t xml:space="preserve">₂ </w:t>
      </w:r>
      <w:r w:rsidRPr="0002328C">
        <w:rPr>
          <w:rFonts w:ascii="Avenir Next LT Pro" w:hAnsi="Avenir Next LT Pro"/>
          <w:color w:val="333333"/>
          <w:sz w:val="22"/>
          <w:szCs w:val="22"/>
          <w:lang w:val="en-US"/>
        </w:rPr>
        <w:t xml:space="preserve">emissions. According to </w:t>
      </w:r>
      <w:proofErr w:type="spellStart"/>
      <w:r w:rsidRPr="0002328C">
        <w:rPr>
          <w:rFonts w:ascii="Avenir Next LT Pro" w:hAnsi="Avenir Next LT Pro"/>
          <w:color w:val="333333"/>
          <w:sz w:val="22"/>
          <w:szCs w:val="22"/>
          <w:lang w:val="en-US"/>
        </w:rPr>
        <w:t>evofenedex</w:t>
      </w:r>
      <w:proofErr w:type="spellEnd"/>
      <w:r w:rsidRPr="0002328C">
        <w:rPr>
          <w:rFonts w:ascii="Avenir Next LT Pro" w:hAnsi="Avenir Next LT Pro"/>
          <w:color w:val="333333"/>
          <w:sz w:val="22"/>
          <w:szCs w:val="22"/>
          <w:lang w:val="en-US"/>
        </w:rPr>
        <w:t xml:space="preserve"> and </w:t>
      </w:r>
      <w:proofErr w:type="spellStart"/>
      <w:r w:rsidRPr="0002328C">
        <w:rPr>
          <w:rFonts w:ascii="Avenir Next LT Pro" w:hAnsi="Avenir Next LT Pro"/>
          <w:color w:val="333333"/>
          <w:sz w:val="22"/>
          <w:szCs w:val="22"/>
          <w:lang w:val="en-US"/>
        </w:rPr>
        <w:t>Panteia</w:t>
      </w:r>
      <w:proofErr w:type="spellEnd"/>
      <w:r w:rsidRPr="0002328C">
        <w:rPr>
          <w:rFonts w:ascii="Avenir Next LT Pro" w:hAnsi="Avenir Next LT Pro"/>
          <w:color w:val="333333"/>
          <w:sz w:val="22"/>
          <w:szCs w:val="22"/>
          <w:lang w:val="en-US"/>
        </w:rPr>
        <w:t xml:space="preserve">, this will lead to an expected cost increase of 7 to 8 percent on top of the already structurally higher wage costs </w:t>
      </w:r>
      <w:r w:rsidRPr="0002328C">
        <w:rPr>
          <w:rFonts w:ascii="Avenir Next LT Pro" w:hAnsi="Avenir Next LT Pro" w:cs="Avenir Next LT Pro"/>
          <w:color w:val="333333"/>
          <w:sz w:val="22"/>
          <w:szCs w:val="22"/>
          <w:lang w:val="en-US"/>
        </w:rPr>
        <w:t>—</w:t>
      </w:r>
      <w:r w:rsidRPr="0002328C">
        <w:rPr>
          <w:rFonts w:ascii="Avenir Next LT Pro" w:hAnsi="Avenir Next LT Pro"/>
          <w:color w:val="333333"/>
          <w:sz w:val="22"/>
          <w:szCs w:val="22"/>
          <w:lang w:val="en-US"/>
        </w:rPr>
        <w:t xml:space="preserve"> a double pressure that forces companies to critically review their existing transport contracts.</w:t>
      </w:r>
    </w:p>
    <w:p w14:paraId="36ACC608" w14:textId="77777777" w:rsidR="00BA6790" w:rsidRPr="0002328C" w:rsidRDefault="003D0226">
      <w:pPr>
        <w:spacing w:after="80"/>
        <w:rPr>
          <w:rFonts w:ascii="Avenir Next LT Pro" w:hAnsi="Avenir Next LT Pro"/>
          <w:sz w:val="22"/>
          <w:szCs w:val="22"/>
          <w:lang w:val="en-US"/>
        </w:rPr>
      </w:pPr>
      <w:r w:rsidRPr="0002328C">
        <w:rPr>
          <w:rFonts w:ascii="Avenir Next LT Pro" w:hAnsi="Avenir Next LT Pro"/>
          <w:color w:val="333333"/>
          <w:sz w:val="22"/>
          <w:szCs w:val="22"/>
          <w:lang w:val="en-US"/>
        </w:rPr>
        <w:t xml:space="preserve">Dutch carriers have structurally higher costs than those in neighboring countries. The truck charge reinforces this competitive </w:t>
      </w:r>
      <w:proofErr w:type="gramStart"/>
      <w:r w:rsidRPr="0002328C">
        <w:rPr>
          <w:rFonts w:ascii="Avenir Next LT Pro" w:hAnsi="Avenir Next LT Pro"/>
          <w:color w:val="333333"/>
          <w:sz w:val="22"/>
          <w:szCs w:val="22"/>
          <w:lang w:val="en-US"/>
        </w:rPr>
        <w:t>disadvantage, but</w:t>
      </w:r>
      <w:proofErr w:type="gramEnd"/>
      <w:r w:rsidRPr="0002328C">
        <w:rPr>
          <w:rFonts w:ascii="Avenir Next LT Pro" w:hAnsi="Avenir Next LT Pro"/>
          <w:color w:val="333333"/>
          <w:sz w:val="22"/>
          <w:szCs w:val="22"/>
          <w:lang w:val="en-US"/>
        </w:rPr>
        <w:t xml:space="preserve"> does offer an operational advantage in the long term for companies that switch to zero-emission transport. The European Emissions Trading System (ETS-2) will follow in 2027 for all EU road transport.</w:t>
      </w:r>
    </w:p>
    <w:p w14:paraId="1D35F7AD" w14:textId="77777777" w:rsidR="00BA6790" w:rsidRPr="0002328C" w:rsidRDefault="00BA6790">
      <w:pPr>
        <w:spacing w:after="60"/>
        <w:rPr>
          <w:rFonts w:ascii="Avenir Next LT Pro" w:hAnsi="Avenir Next LT Pro"/>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8906"/>
      </w:tblGrid>
      <w:tr w:rsidR="00BA6790" w:rsidRPr="0002328C" w14:paraId="40E65F81" w14:textId="77777777">
        <w:tc>
          <w:tcPr>
            <w:tcW w:w="120" w:type="dxa"/>
            <w:tcBorders>
              <w:top w:val="none" w:sz="0" w:space="0" w:color="FFFFFF"/>
              <w:left w:val="none" w:sz="0" w:space="0" w:color="FFFFFF"/>
              <w:bottom w:val="none" w:sz="0" w:space="0" w:color="FFFFFF"/>
              <w:right w:val="none" w:sz="0" w:space="0" w:color="FFFFFF"/>
            </w:tcBorders>
            <w:shd w:val="clear" w:color="auto" w:fill="8AB84B"/>
          </w:tcPr>
          <w:p w14:paraId="3A6B685D" w14:textId="77777777" w:rsidR="00BA6790" w:rsidRPr="0002328C" w:rsidRDefault="00BA6790">
            <w:pPr>
              <w:rPr>
                <w:rFonts w:ascii="Avenir Next LT Pro" w:hAnsi="Avenir Next LT Pro"/>
                <w:lang w:val="en-US"/>
              </w:rPr>
            </w:pPr>
          </w:p>
        </w:tc>
        <w:tc>
          <w:tcPr>
            <w:tcW w:w="8906" w:type="dxa"/>
            <w:tcBorders>
              <w:top w:val="none" w:sz="0" w:space="0" w:color="FFFFFF"/>
              <w:left w:val="none" w:sz="0" w:space="0" w:color="FFFFFF"/>
              <w:bottom w:val="none" w:sz="0" w:space="0" w:color="FFFFFF"/>
              <w:right w:val="none" w:sz="0" w:space="0" w:color="FFFFFF"/>
            </w:tcBorders>
            <w:shd w:val="clear" w:color="auto" w:fill="F0F6E8"/>
            <w:tcMar>
              <w:top w:w="100" w:type="dxa"/>
              <w:left w:w="160" w:type="dxa"/>
              <w:bottom w:w="100" w:type="dxa"/>
              <w:right w:w="160" w:type="dxa"/>
            </w:tcMar>
          </w:tcPr>
          <w:p w14:paraId="458F7A52" w14:textId="77777777" w:rsidR="00BA6790" w:rsidRPr="0002328C" w:rsidRDefault="003D0226">
            <w:pPr>
              <w:spacing w:after="40"/>
              <w:rPr>
                <w:rFonts w:ascii="Avenir Next LT Pro" w:hAnsi="Avenir Next LT Pro"/>
                <w:lang w:val="en-US"/>
              </w:rPr>
            </w:pPr>
            <w:r w:rsidRPr="0002328C">
              <w:rPr>
                <w:rFonts w:ascii="Avenir Next LT Pro" w:hAnsi="Avenir Next LT Pro"/>
                <w:b/>
                <w:bCs/>
                <w:color w:val="8AB84B"/>
                <w:sz w:val="14"/>
                <w:szCs w:val="14"/>
                <w:lang w:val="en-US"/>
              </w:rPr>
              <w:t>WHAT DOES THIS MEAN FOR YOU?</w:t>
            </w:r>
          </w:p>
          <w:p w14:paraId="2C548105" w14:textId="77777777" w:rsidR="00BA6790" w:rsidRPr="0002328C" w:rsidRDefault="003D0226">
            <w:pPr>
              <w:rPr>
                <w:rFonts w:ascii="Avenir Next LT Pro" w:hAnsi="Avenir Next LT Pro"/>
                <w:lang w:val="en-US"/>
              </w:rPr>
            </w:pPr>
            <w:r w:rsidRPr="0002328C">
              <w:rPr>
                <w:rFonts w:ascii="Avenir Next LT Pro" w:hAnsi="Avenir Next LT Pro"/>
                <w:color w:val="1A2050"/>
                <w:sz w:val="18"/>
                <w:szCs w:val="18"/>
                <w:lang w:val="en-US"/>
              </w:rPr>
              <w:t>Make agreements with your carriers now about how the levy will be passed on. Ask for transparency about the vehicle fleet (emission class) and rethink load factors and trip optimization to dampen the cost increase.</w:t>
            </w:r>
          </w:p>
        </w:tc>
      </w:tr>
    </w:tbl>
    <w:p w14:paraId="60EAA4AA" w14:textId="77777777" w:rsidR="00BA6790" w:rsidRPr="0002328C" w:rsidRDefault="00BA6790">
      <w:pPr>
        <w:spacing w:after="80"/>
        <w:rPr>
          <w:rFonts w:ascii="Avenir Next LT Pro" w:hAnsi="Avenir Next LT Pro"/>
          <w:lang w:val="en-US"/>
        </w:rPr>
      </w:pPr>
    </w:p>
    <w:p w14:paraId="24BBEE91" w14:textId="77777777" w:rsidR="00BA6790" w:rsidRPr="0002328C" w:rsidRDefault="003D0226">
      <w:pPr>
        <w:spacing w:before="120" w:after="40"/>
        <w:rPr>
          <w:rFonts w:ascii="Avenir Next LT Pro" w:hAnsi="Avenir Next LT Pro"/>
          <w:sz w:val="28"/>
          <w:szCs w:val="28"/>
          <w:lang w:val="en-US"/>
        </w:rPr>
      </w:pPr>
      <w:r w:rsidRPr="0002328C">
        <w:rPr>
          <w:rFonts w:ascii="Avenir Next LT Pro" w:hAnsi="Avenir Next LT Pro"/>
          <w:b/>
          <w:bCs/>
          <w:color w:val="FFFFFF"/>
          <w:shd w:val="clear" w:color="auto" w:fill="1A2050"/>
          <w:lang w:val="en-US"/>
        </w:rPr>
        <w:t xml:space="preserve">  SEA &amp; AIR  </w:t>
      </w:r>
    </w:p>
    <w:p w14:paraId="58BBFE3A" w14:textId="77777777" w:rsidR="00BA6790" w:rsidRPr="0002328C" w:rsidRDefault="003D0226">
      <w:pPr>
        <w:pBdr>
          <w:bottom w:val="single" w:sz="4" w:space="0" w:color="DDE8C4"/>
        </w:pBdr>
        <w:spacing w:before="160" w:after="80"/>
        <w:rPr>
          <w:rFonts w:ascii="Avenir Next LT Pro" w:hAnsi="Avenir Next LT Pro"/>
          <w:sz w:val="22"/>
          <w:szCs w:val="22"/>
          <w:lang w:val="en-US"/>
        </w:rPr>
      </w:pPr>
      <w:r w:rsidRPr="0002328C">
        <w:rPr>
          <w:rFonts w:ascii="Avenir Next LT Pro" w:eastAsia="Georgia" w:hAnsi="Avenir Next LT Pro" w:cs="Georgia"/>
          <w:b/>
          <w:bCs/>
          <w:color w:val="1A2050"/>
          <w:sz w:val="28"/>
          <w:szCs w:val="28"/>
          <w:lang w:val="en-US"/>
        </w:rPr>
        <w:t>Hormuz Street and energy prices: logistics costs at sea and in the air under pressure</w:t>
      </w:r>
    </w:p>
    <w:p w14:paraId="3F14D0D6" w14:textId="77777777" w:rsidR="00BA6790" w:rsidRPr="0002328C" w:rsidRDefault="003D0226">
      <w:pPr>
        <w:spacing w:after="80"/>
        <w:rPr>
          <w:rFonts w:ascii="Avenir Next LT Pro" w:hAnsi="Avenir Next LT Pro"/>
          <w:sz w:val="22"/>
          <w:szCs w:val="22"/>
          <w:lang w:val="en-US"/>
        </w:rPr>
      </w:pPr>
      <w:r w:rsidRPr="0002328C">
        <w:rPr>
          <w:rFonts w:ascii="Avenir Next LT Pro" w:hAnsi="Avenir Next LT Pro"/>
          <w:color w:val="333333"/>
          <w:sz w:val="22"/>
          <w:szCs w:val="22"/>
          <w:lang w:val="en-US"/>
        </w:rPr>
        <w:t xml:space="preserve">The ongoing disruptions in the Strait of Hormuz — which provides around 20% of the world's fuel supply — are once again putting pressure on shipping and air freight rates. Maersk has introduced temporary fuel and energy surcharges for landside transport in several countries. </w:t>
      </w:r>
      <w:proofErr w:type="gramStart"/>
      <w:r w:rsidRPr="0002328C">
        <w:rPr>
          <w:rFonts w:ascii="Avenir Next LT Pro" w:hAnsi="Avenir Next LT Pro"/>
          <w:color w:val="333333"/>
          <w:sz w:val="22"/>
          <w:szCs w:val="22"/>
          <w:lang w:val="en-US"/>
        </w:rPr>
        <w:t>Asian-European</w:t>
      </w:r>
      <w:proofErr w:type="gramEnd"/>
      <w:r w:rsidRPr="0002328C">
        <w:rPr>
          <w:rFonts w:ascii="Avenir Next LT Pro" w:hAnsi="Avenir Next LT Pro"/>
          <w:color w:val="333333"/>
          <w:sz w:val="22"/>
          <w:szCs w:val="22"/>
          <w:lang w:val="en-US"/>
        </w:rPr>
        <w:t xml:space="preserve"> air cargo routes are under considerable pressure, because a third of the normal capacity runs through the Middle East.</w:t>
      </w:r>
    </w:p>
    <w:p w14:paraId="1C9C6C73" w14:textId="77777777" w:rsidR="00BA6790" w:rsidRDefault="003D0226">
      <w:pPr>
        <w:spacing w:after="80"/>
        <w:rPr>
          <w:rFonts w:ascii="Avenir Next LT Pro" w:hAnsi="Avenir Next LT Pro"/>
          <w:color w:val="333333"/>
          <w:sz w:val="22"/>
          <w:szCs w:val="22"/>
          <w:lang w:val="en-US"/>
        </w:rPr>
      </w:pPr>
      <w:r w:rsidRPr="0002328C">
        <w:rPr>
          <w:rFonts w:ascii="Avenir Next LT Pro" w:hAnsi="Avenir Next LT Pro"/>
          <w:color w:val="333333"/>
          <w:sz w:val="22"/>
          <w:szCs w:val="22"/>
          <w:lang w:val="en-US"/>
        </w:rPr>
        <w:t>At the same time, the Maersk April Market Update shows that the EU-Australia free trade agreement is coming into force, removing almost all tariffs and creating new opportunities in automotive, chemicals, agri-food and technology.</w:t>
      </w:r>
    </w:p>
    <w:p w14:paraId="6CCE8EF6" w14:textId="77777777" w:rsidR="0002328C" w:rsidRPr="0002328C" w:rsidRDefault="0002328C">
      <w:pPr>
        <w:spacing w:after="80"/>
        <w:rPr>
          <w:rFonts w:ascii="Avenir Next LT Pro" w:hAnsi="Avenir Next LT Pro"/>
          <w:color w:val="333333"/>
          <w:sz w:val="22"/>
          <w:szCs w:val="22"/>
          <w:lang w:val="en-US"/>
        </w:rPr>
      </w:pPr>
    </w:p>
    <w:p w14:paraId="66EA6FFD" w14:textId="77777777" w:rsidR="00F76D1A" w:rsidRPr="0002328C" w:rsidRDefault="00F76D1A">
      <w:pPr>
        <w:spacing w:after="80"/>
        <w:rPr>
          <w:rFonts w:ascii="Avenir Next LT Pro" w:hAnsi="Avenir Next LT Pro"/>
          <w:color w:val="333333"/>
          <w:sz w:val="22"/>
          <w:szCs w:val="22"/>
          <w:lang w:val="en-US"/>
        </w:rPr>
      </w:pPr>
    </w:p>
    <w:p w14:paraId="38DE31EE" w14:textId="77777777" w:rsidR="00F76D1A" w:rsidRPr="0002328C" w:rsidRDefault="00F76D1A">
      <w:pPr>
        <w:spacing w:after="80"/>
        <w:rPr>
          <w:rFonts w:ascii="Avenir Next LT Pro" w:hAnsi="Avenir Next LT Pro"/>
          <w:sz w:val="22"/>
          <w:szCs w:val="22"/>
          <w:lang w:val="en-US"/>
        </w:rPr>
      </w:pPr>
    </w:p>
    <w:p w14:paraId="37F92EED" w14:textId="77777777" w:rsidR="00BA6790" w:rsidRPr="0002328C" w:rsidRDefault="00BA6790">
      <w:pPr>
        <w:spacing w:after="60"/>
        <w:rPr>
          <w:rFonts w:ascii="Avenir Next LT Pro" w:hAnsi="Avenir Next LT Pro"/>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8906"/>
      </w:tblGrid>
      <w:tr w:rsidR="00BA6790" w:rsidRPr="0002328C" w14:paraId="7896BE95" w14:textId="77777777">
        <w:tc>
          <w:tcPr>
            <w:tcW w:w="120" w:type="dxa"/>
            <w:tcBorders>
              <w:top w:val="none" w:sz="0" w:space="0" w:color="FFFFFF"/>
              <w:left w:val="none" w:sz="0" w:space="0" w:color="FFFFFF"/>
              <w:bottom w:val="none" w:sz="0" w:space="0" w:color="FFFFFF"/>
              <w:right w:val="none" w:sz="0" w:space="0" w:color="FFFFFF"/>
            </w:tcBorders>
            <w:shd w:val="clear" w:color="auto" w:fill="8AB84B"/>
          </w:tcPr>
          <w:p w14:paraId="6D8A07F2" w14:textId="77777777" w:rsidR="00BA6790" w:rsidRPr="0002328C" w:rsidRDefault="00BA6790">
            <w:pPr>
              <w:rPr>
                <w:rFonts w:ascii="Avenir Next LT Pro" w:hAnsi="Avenir Next LT Pro"/>
                <w:lang w:val="en-US"/>
              </w:rPr>
            </w:pPr>
          </w:p>
        </w:tc>
        <w:tc>
          <w:tcPr>
            <w:tcW w:w="8906" w:type="dxa"/>
            <w:tcBorders>
              <w:top w:val="none" w:sz="0" w:space="0" w:color="FFFFFF"/>
              <w:left w:val="none" w:sz="0" w:space="0" w:color="FFFFFF"/>
              <w:bottom w:val="none" w:sz="0" w:space="0" w:color="FFFFFF"/>
              <w:right w:val="none" w:sz="0" w:space="0" w:color="FFFFFF"/>
            </w:tcBorders>
            <w:shd w:val="clear" w:color="auto" w:fill="F0F6E8"/>
            <w:tcMar>
              <w:top w:w="100" w:type="dxa"/>
              <w:left w:w="160" w:type="dxa"/>
              <w:bottom w:w="100" w:type="dxa"/>
              <w:right w:w="160" w:type="dxa"/>
            </w:tcMar>
          </w:tcPr>
          <w:p w14:paraId="635FC48D" w14:textId="77777777" w:rsidR="00BA6790" w:rsidRPr="0002328C" w:rsidRDefault="003D0226">
            <w:pPr>
              <w:spacing w:after="40"/>
              <w:rPr>
                <w:rFonts w:ascii="Avenir Next LT Pro" w:hAnsi="Avenir Next LT Pro"/>
                <w:lang w:val="en-US"/>
              </w:rPr>
            </w:pPr>
            <w:r w:rsidRPr="0002328C">
              <w:rPr>
                <w:rFonts w:ascii="Avenir Next LT Pro" w:hAnsi="Avenir Next LT Pro"/>
                <w:b/>
                <w:bCs/>
                <w:color w:val="8AB84B"/>
                <w:sz w:val="14"/>
                <w:szCs w:val="14"/>
                <w:lang w:val="en-US"/>
              </w:rPr>
              <w:t>WHAT DOES THIS MEAN FOR YOU?</w:t>
            </w:r>
          </w:p>
          <w:p w14:paraId="6C0435F4" w14:textId="77777777" w:rsidR="00BA6790" w:rsidRPr="0002328C" w:rsidRDefault="003D0226">
            <w:pPr>
              <w:rPr>
                <w:rFonts w:ascii="Avenir Next LT Pro" w:hAnsi="Avenir Next LT Pro"/>
                <w:lang w:val="en-US"/>
              </w:rPr>
            </w:pPr>
            <w:r w:rsidRPr="0002328C">
              <w:rPr>
                <w:rFonts w:ascii="Avenir Next LT Pro" w:hAnsi="Avenir Next LT Pro"/>
                <w:color w:val="1A2050"/>
                <w:sz w:val="18"/>
                <w:szCs w:val="18"/>
                <w:lang w:val="en-US"/>
              </w:rPr>
              <w:t>Check whether your current freight quotes include war risk surcharges and fuel surcharges that have recently been revised. For time-sensitive shipments to Asia: ask your forwarder about multimodal alternatives (Sea-Air via Colombo or Oman).</w:t>
            </w:r>
          </w:p>
        </w:tc>
      </w:tr>
    </w:tbl>
    <w:p w14:paraId="4A1A5E87" w14:textId="77777777" w:rsidR="00BA6790" w:rsidRPr="0002328C" w:rsidRDefault="00BA6790">
      <w:pPr>
        <w:spacing w:after="80"/>
        <w:rPr>
          <w:rFonts w:ascii="Avenir Next LT Pro" w:hAnsi="Avenir Next LT Pro"/>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8826"/>
      </w:tblGrid>
      <w:tr w:rsidR="00BA6790" w:rsidRPr="009873BF" w14:paraId="764A5CA7" w14:textId="77777777">
        <w:tc>
          <w:tcPr>
            <w:tcW w:w="200" w:type="dxa"/>
            <w:tcBorders>
              <w:top w:val="none" w:sz="0" w:space="0" w:color="FFFFFF"/>
              <w:left w:val="none" w:sz="0" w:space="0" w:color="FFFFFF"/>
              <w:bottom w:val="none" w:sz="0" w:space="0" w:color="FFFFFF"/>
              <w:right w:val="none" w:sz="0" w:space="0" w:color="FFFFFF"/>
            </w:tcBorders>
            <w:shd w:val="clear" w:color="auto" w:fill="8AB84B"/>
            <w:tcMar>
              <w:top w:w="60" w:type="dxa"/>
              <w:left w:w="80" w:type="dxa"/>
              <w:bottom w:w="60" w:type="dxa"/>
              <w:right w:w="80" w:type="dxa"/>
            </w:tcMar>
            <w:vAlign w:val="center"/>
          </w:tcPr>
          <w:p w14:paraId="70A93961" w14:textId="77777777" w:rsidR="00BA6790" w:rsidRPr="0002328C" w:rsidRDefault="00BA6790">
            <w:pPr>
              <w:rPr>
                <w:rFonts w:ascii="Avenir Next LT Pro" w:hAnsi="Avenir Next LT Pro"/>
                <w:lang w:val="en-US"/>
              </w:rPr>
            </w:pPr>
          </w:p>
        </w:tc>
        <w:tc>
          <w:tcPr>
            <w:tcW w:w="8826" w:type="dxa"/>
            <w:tcBorders>
              <w:top w:val="none" w:sz="0" w:space="0" w:color="FFFFFF"/>
              <w:left w:val="none" w:sz="0" w:space="0" w:color="FFFFFF"/>
              <w:bottom w:val="none" w:sz="0" w:space="0" w:color="FFFFFF"/>
              <w:right w:val="none" w:sz="0" w:space="0" w:color="FFFFFF"/>
            </w:tcBorders>
            <w:shd w:val="clear" w:color="auto" w:fill="F0F6E8"/>
            <w:tcMar>
              <w:top w:w="80" w:type="dxa"/>
              <w:left w:w="160" w:type="dxa"/>
              <w:bottom w:w="80" w:type="dxa"/>
              <w:right w:w="80" w:type="dxa"/>
            </w:tcMar>
          </w:tcPr>
          <w:p w14:paraId="270B445D" w14:textId="77777777" w:rsidR="00BA6790" w:rsidRPr="009873BF" w:rsidRDefault="003D0226">
            <w:pPr>
              <w:rPr>
                <w:rFonts w:ascii="Avenir Next LT Pro" w:hAnsi="Avenir Next LT Pro"/>
              </w:rPr>
            </w:pPr>
            <w:r w:rsidRPr="0042761D">
              <w:rPr>
                <w:rFonts w:ascii="Avenir Next LT Pro" w:hAnsi="Avenir Next LT Pro"/>
                <w:b/>
                <w:bCs/>
                <w:color w:val="1A2050"/>
              </w:rPr>
              <w:t>RADAR — NEWS IN BRIEF</w:t>
            </w:r>
          </w:p>
        </w:tc>
      </w:tr>
    </w:tbl>
    <w:p w14:paraId="1DD16DB4" w14:textId="77777777" w:rsidR="00BA6790" w:rsidRPr="009873BF" w:rsidRDefault="00BA6790">
      <w:pPr>
        <w:spacing w:after="60"/>
        <w:rPr>
          <w:rFonts w:ascii="Avenir Next LT Pro" w:hAnsi="Avenir Next LT Pr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8786"/>
      </w:tblGrid>
      <w:tr w:rsidR="00BA6790" w:rsidRPr="0002328C" w14:paraId="27CAE7BF" w14:textId="77777777">
        <w:tc>
          <w:tcPr>
            <w:tcW w:w="24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066A4FC3" w14:textId="77777777" w:rsidR="00BA6790" w:rsidRPr="0042761D" w:rsidRDefault="003D0226">
            <w:pPr>
              <w:jc w:val="center"/>
              <w:rPr>
                <w:rFonts w:ascii="Avenir Next LT Pro" w:hAnsi="Avenir Next LT Pro"/>
                <w:sz w:val="22"/>
                <w:szCs w:val="22"/>
              </w:rPr>
            </w:pPr>
            <w:r w:rsidRPr="0042761D">
              <w:rPr>
                <w:color w:val="8AB84B"/>
                <w:sz w:val="22"/>
                <w:szCs w:val="22"/>
              </w:rPr>
              <w:t>●</w:t>
            </w:r>
          </w:p>
        </w:tc>
        <w:tc>
          <w:tcPr>
            <w:tcW w:w="8786" w:type="dxa"/>
            <w:tcBorders>
              <w:top w:val="none" w:sz="0" w:space="0" w:color="FFFFFF"/>
              <w:left w:val="none" w:sz="0" w:space="0" w:color="FFFFFF"/>
              <w:bottom w:val="single" w:sz="4" w:space="0" w:color="EEEEEE"/>
              <w:right w:val="none" w:sz="0" w:space="0" w:color="FFFFFF"/>
            </w:tcBorders>
            <w:tcMar>
              <w:top w:w="80" w:type="dxa"/>
              <w:left w:w="0" w:type="dxa"/>
              <w:bottom w:w="80" w:type="dxa"/>
              <w:right w:w="0" w:type="dxa"/>
            </w:tcMar>
          </w:tcPr>
          <w:p w14:paraId="37829640" w14:textId="77777777" w:rsidR="00BA6790" w:rsidRPr="0002328C" w:rsidRDefault="003D0226">
            <w:pPr>
              <w:rPr>
                <w:rFonts w:ascii="Avenir Next LT Pro" w:hAnsi="Avenir Next LT Pro"/>
                <w:sz w:val="22"/>
                <w:szCs w:val="22"/>
                <w:lang w:val="en-US"/>
              </w:rPr>
            </w:pPr>
            <w:r w:rsidRPr="0002328C">
              <w:rPr>
                <w:rFonts w:ascii="Avenir Next LT Pro" w:hAnsi="Avenir Next LT Pro"/>
                <w:b/>
                <w:bCs/>
                <w:color w:val="1A2050"/>
                <w:lang w:val="en-US"/>
              </w:rPr>
              <w:t xml:space="preserve">CERTEX expansion (April 2026): </w:t>
            </w:r>
            <w:r w:rsidRPr="0002328C">
              <w:rPr>
                <w:rFonts w:ascii="Avenir Next LT Pro" w:hAnsi="Avenir Next LT Pro"/>
                <w:color w:val="4A4A4A"/>
                <w:lang w:val="en-US"/>
              </w:rPr>
              <w:t>From 1 April, CERTEX control will also apply to documents for the import of animal products. Further expansions will follow in 2026. Importers of these product categories should update their documentation processes immediately.</w:t>
            </w:r>
          </w:p>
        </w:tc>
      </w:tr>
    </w:tbl>
    <w:p w14:paraId="2E2963B4" w14:textId="77777777" w:rsidR="00BA6790" w:rsidRPr="0002328C" w:rsidRDefault="00BA6790">
      <w:pPr>
        <w:spacing w:after="40"/>
        <w:rPr>
          <w:rFonts w:ascii="Avenir Next LT Pro" w:hAnsi="Avenir Next LT Pro"/>
          <w:sz w:val="22"/>
          <w:szCs w:val="22"/>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8786"/>
      </w:tblGrid>
      <w:tr w:rsidR="00BA6790" w:rsidRPr="0002328C" w14:paraId="50014F50" w14:textId="77777777">
        <w:tc>
          <w:tcPr>
            <w:tcW w:w="24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04E2B7A7" w14:textId="77777777" w:rsidR="00BA6790" w:rsidRPr="0042761D" w:rsidRDefault="003D0226">
            <w:pPr>
              <w:jc w:val="center"/>
              <w:rPr>
                <w:rFonts w:ascii="Avenir Next LT Pro" w:hAnsi="Avenir Next LT Pro"/>
                <w:sz w:val="22"/>
                <w:szCs w:val="22"/>
              </w:rPr>
            </w:pPr>
            <w:r w:rsidRPr="0042761D">
              <w:rPr>
                <w:color w:val="8AB84B"/>
                <w:sz w:val="22"/>
                <w:szCs w:val="22"/>
              </w:rPr>
              <w:t>●</w:t>
            </w:r>
          </w:p>
        </w:tc>
        <w:tc>
          <w:tcPr>
            <w:tcW w:w="8786" w:type="dxa"/>
            <w:tcBorders>
              <w:top w:val="none" w:sz="0" w:space="0" w:color="FFFFFF"/>
              <w:left w:val="none" w:sz="0" w:space="0" w:color="FFFFFF"/>
              <w:bottom w:val="single" w:sz="4" w:space="0" w:color="EEEEEE"/>
              <w:right w:val="none" w:sz="0" w:space="0" w:color="FFFFFF"/>
            </w:tcBorders>
            <w:tcMar>
              <w:top w:w="80" w:type="dxa"/>
              <w:left w:w="0" w:type="dxa"/>
              <w:bottom w:w="80" w:type="dxa"/>
              <w:right w:w="0" w:type="dxa"/>
            </w:tcMar>
          </w:tcPr>
          <w:p w14:paraId="08AC2B2F" w14:textId="77777777" w:rsidR="00BA6790" w:rsidRPr="0002328C" w:rsidRDefault="003D0226">
            <w:pPr>
              <w:rPr>
                <w:rFonts w:ascii="Avenir Next LT Pro" w:hAnsi="Avenir Next LT Pro"/>
                <w:sz w:val="22"/>
                <w:szCs w:val="22"/>
                <w:lang w:val="en-US"/>
              </w:rPr>
            </w:pPr>
            <w:r w:rsidRPr="0002328C">
              <w:rPr>
                <w:rFonts w:ascii="Avenir Next LT Pro" w:hAnsi="Avenir Next LT Pro"/>
                <w:b/>
                <w:bCs/>
                <w:color w:val="1A2050"/>
                <w:lang w:val="en-US"/>
              </w:rPr>
              <w:t xml:space="preserve">ZE zones variable per municipality: </w:t>
            </w:r>
            <w:r w:rsidRPr="0002328C">
              <w:rPr>
                <w:rFonts w:ascii="Avenir Next LT Pro" w:hAnsi="Avenir Next LT Pro"/>
                <w:color w:val="4A4A4A"/>
                <w:lang w:val="en-US"/>
              </w:rPr>
              <w:t>The implementation of zero-emission zones varies greatly per municipality, which increases operational complexity for last-mile distribution in Dutch cities. Map out which cities will affect your goods flows before Q3 2026.</w:t>
            </w:r>
          </w:p>
        </w:tc>
      </w:tr>
    </w:tbl>
    <w:p w14:paraId="5D4C9477" w14:textId="77777777" w:rsidR="00BA6790" w:rsidRPr="0002328C" w:rsidRDefault="00BA6790">
      <w:pPr>
        <w:spacing w:after="40"/>
        <w:rPr>
          <w:rFonts w:ascii="Avenir Next LT Pro" w:hAnsi="Avenir Next LT Pro"/>
          <w:sz w:val="22"/>
          <w:szCs w:val="22"/>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8786"/>
      </w:tblGrid>
      <w:tr w:rsidR="00BA6790" w:rsidRPr="0002328C" w14:paraId="42D591B4" w14:textId="77777777">
        <w:tc>
          <w:tcPr>
            <w:tcW w:w="24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5DE8825A" w14:textId="77777777" w:rsidR="00BA6790" w:rsidRPr="0042761D" w:rsidRDefault="003D0226">
            <w:pPr>
              <w:jc w:val="center"/>
              <w:rPr>
                <w:rFonts w:ascii="Avenir Next LT Pro" w:hAnsi="Avenir Next LT Pro"/>
                <w:sz w:val="22"/>
                <w:szCs w:val="22"/>
              </w:rPr>
            </w:pPr>
            <w:r w:rsidRPr="0042761D">
              <w:rPr>
                <w:color w:val="8AB84B"/>
                <w:sz w:val="22"/>
                <w:szCs w:val="22"/>
              </w:rPr>
              <w:t>●</w:t>
            </w:r>
          </w:p>
        </w:tc>
        <w:tc>
          <w:tcPr>
            <w:tcW w:w="8786" w:type="dxa"/>
            <w:tcBorders>
              <w:top w:val="none" w:sz="0" w:space="0" w:color="FFFFFF"/>
              <w:left w:val="none" w:sz="0" w:space="0" w:color="FFFFFF"/>
              <w:bottom w:val="single" w:sz="4" w:space="0" w:color="EEEEEE"/>
              <w:right w:val="none" w:sz="0" w:space="0" w:color="FFFFFF"/>
            </w:tcBorders>
            <w:tcMar>
              <w:top w:w="80" w:type="dxa"/>
              <w:left w:w="0" w:type="dxa"/>
              <w:bottom w:w="80" w:type="dxa"/>
              <w:right w:w="0" w:type="dxa"/>
            </w:tcMar>
          </w:tcPr>
          <w:p w14:paraId="3BDDB0D4" w14:textId="77777777" w:rsidR="00BA6790" w:rsidRPr="0002328C" w:rsidRDefault="003D0226">
            <w:pPr>
              <w:rPr>
                <w:rFonts w:ascii="Avenir Next LT Pro" w:hAnsi="Avenir Next LT Pro"/>
                <w:sz w:val="22"/>
                <w:szCs w:val="22"/>
                <w:lang w:val="en-US"/>
              </w:rPr>
            </w:pPr>
            <w:r w:rsidRPr="0002328C">
              <w:rPr>
                <w:rFonts w:ascii="Avenir Next LT Pro" w:hAnsi="Avenir Next LT Pro"/>
                <w:b/>
                <w:bCs/>
                <w:color w:val="1A2050"/>
                <w:lang w:val="en-US"/>
              </w:rPr>
              <w:t xml:space="preserve">US tariff hearings (5-8 May 2026): </w:t>
            </w:r>
            <w:r w:rsidRPr="0002328C">
              <w:rPr>
                <w:rFonts w:ascii="Avenir Next LT Pro" w:hAnsi="Avenir Next LT Pro"/>
                <w:color w:val="4A4A4A"/>
                <w:lang w:val="en-US"/>
              </w:rPr>
              <w:t>The US hearings on Section 301 tariffs are of great significance to EU exporters. The temporary 10% section 122 levy expires on 24 July 2026 – the outcome will determine the trade policy environment for the second half of the year.</w:t>
            </w:r>
          </w:p>
        </w:tc>
      </w:tr>
    </w:tbl>
    <w:p w14:paraId="16437452" w14:textId="77777777" w:rsidR="00BA6790" w:rsidRPr="0002328C" w:rsidRDefault="00BA6790">
      <w:pPr>
        <w:spacing w:after="40"/>
        <w:rPr>
          <w:rFonts w:ascii="Avenir Next LT Pro" w:hAnsi="Avenir Next LT Pro"/>
          <w:sz w:val="22"/>
          <w:szCs w:val="22"/>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8786"/>
      </w:tblGrid>
      <w:tr w:rsidR="00BA6790" w:rsidRPr="0002328C" w14:paraId="69E80483" w14:textId="77777777">
        <w:tc>
          <w:tcPr>
            <w:tcW w:w="24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34D21DAB" w14:textId="77777777" w:rsidR="00BA6790" w:rsidRPr="0042761D" w:rsidRDefault="003D0226">
            <w:pPr>
              <w:jc w:val="center"/>
              <w:rPr>
                <w:rFonts w:ascii="Avenir Next LT Pro" w:hAnsi="Avenir Next LT Pro"/>
                <w:sz w:val="22"/>
                <w:szCs w:val="22"/>
              </w:rPr>
            </w:pPr>
            <w:r w:rsidRPr="0042761D">
              <w:rPr>
                <w:color w:val="8AB84B"/>
                <w:sz w:val="22"/>
                <w:szCs w:val="22"/>
              </w:rPr>
              <w:t>●</w:t>
            </w:r>
          </w:p>
        </w:tc>
        <w:tc>
          <w:tcPr>
            <w:tcW w:w="8786" w:type="dxa"/>
            <w:tcBorders>
              <w:top w:val="none" w:sz="0" w:space="0" w:color="FFFFFF"/>
              <w:left w:val="none" w:sz="0" w:space="0" w:color="FFFFFF"/>
              <w:bottom w:val="single" w:sz="4" w:space="0" w:color="EEEEEE"/>
              <w:right w:val="none" w:sz="0" w:space="0" w:color="FFFFFF"/>
            </w:tcBorders>
            <w:tcMar>
              <w:top w:w="80" w:type="dxa"/>
              <w:left w:w="0" w:type="dxa"/>
              <w:bottom w:w="80" w:type="dxa"/>
              <w:right w:w="0" w:type="dxa"/>
            </w:tcMar>
          </w:tcPr>
          <w:p w14:paraId="7BC90594" w14:textId="77777777" w:rsidR="00BA6790" w:rsidRPr="0002328C" w:rsidRDefault="003D0226">
            <w:pPr>
              <w:rPr>
                <w:rFonts w:ascii="Avenir Next LT Pro" w:hAnsi="Avenir Next LT Pro"/>
                <w:sz w:val="22"/>
                <w:szCs w:val="22"/>
                <w:lang w:val="en-US"/>
              </w:rPr>
            </w:pPr>
            <w:r w:rsidRPr="0002328C">
              <w:rPr>
                <w:rFonts w:ascii="Avenir Next LT Pro" w:hAnsi="Avenir Next LT Pro"/>
                <w:b/>
                <w:bCs/>
                <w:color w:val="1A2050"/>
                <w:lang w:val="en-US"/>
              </w:rPr>
              <w:t>Spanish rail failure (Barcelona–</w:t>
            </w:r>
            <w:proofErr w:type="spellStart"/>
            <w:r w:rsidRPr="0002328C">
              <w:rPr>
                <w:rFonts w:ascii="Avenir Next LT Pro" w:hAnsi="Avenir Next LT Pro"/>
                <w:b/>
                <w:bCs/>
                <w:color w:val="1A2050"/>
                <w:lang w:val="en-US"/>
              </w:rPr>
              <w:t>Rubí</w:t>
            </w:r>
            <w:proofErr w:type="spellEnd"/>
            <w:r w:rsidRPr="0002328C">
              <w:rPr>
                <w:rFonts w:ascii="Avenir Next LT Pro" w:hAnsi="Avenir Next LT Pro"/>
                <w:b/>
                <w:bCs/>
                <w:color w:val="1A2050"/>
                <w:lang w:val="en-US"/>
              </w:rPr>
              <w:t xml:space="preserve"> tunnel): </w:t>
            </w:r>
            <w:r w:rsidRPr="0002328C">
              <w:rPr>
                <w:rFonts w:ascii="Avenir Next LT Pro" w:hAnsi="Avenir Next LT Pro"/>
                <w:color w:val="4A4A4A"/>
                <w:lang w:val="en-US"/>
              </w:rPr>
              <w:t xml:space="preserve">ADIF has completely closed the </w:t>
            </w:r>
            <w:proofErr w:type="spellStart"/>
            <w:r w:rsidRPr="0002328C">
              <w:rPr>
                <w:rFonts w:ascii="Avenir Next LT Pro" w:hAnsi="Avenir Next LT Pro"/>
                <w:color w:val="4A4A4A"/>
                <w:lang w:val="en-US"/>
              </w:rPr>
              <w:t>Rubí</w:t>
            </w:r>
            <w:proofErr w:type="spellEnd"/>
            <w:r w:rsidRPr="0002328C">
              <w:rPr>
                <w:rFonts w:ascii="Avenir Next LT Pro" w:hAnsi="Avenir Next LT Pro"/>
                <w:color w:val="4A4A4A"/>
                <w:lang w:val="en-US"/>
              </w:rPr>
              <w:t xml:space="preserve"> tunnel, disrupting international rail connections to the Iberian Peninsula. Plan detour routes for rail shipments via Spain in the second quarter.</w:t>
            </w:r>
          </w:p>
        </w:tc>
      </w:tr>
    </w:tbl>
    <w:p w14:paraId="0501F846" w14:textId="77777777" w:rsidR="00BA6790" w:rsidRPr="0002328C" w:rsidRDefault="00BA6790">
      <w:pPr>
        <w:spacing w:after="40"/>
        <w:rPr>
          <w:rFonts w:ascii="Avenir Next LT Pro" w:hAnsi="Avenir Next LT Pro"/>
          <w:sz w:val="22"/>
          <w:szCs w:val="22"/>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8786"/>
      </w:tblGrid>
      <w:tr w:rsidR="00BA6790" w:rsidRPr="0002328C" w14:paraId="771BD0AC" w14:textId="77777777">
        <w:tc>
          <w:tcPr>
            <w:tcW w:w="24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379E5160" w14:textId="77777777" w:rsidR="00BA6790" w:rsidRPr="0042761D" w:rsidRDefault="003D0226">
            <w:pPr>
              <w:jc w:val="center"/>
              <w:rPr>
                <w:rFonts w:ascii="Avenir Next LT Pro" w:hAnsi="Avenir Next LT Pro"/>
                <w:sz w:val="22"/>
                <w:szCs w:val="22"/>
              </w:rPr>
            </w:pPr>
            <w:r w:rsidRPr="0042761D">
              <w:rPr>
                <w:color w:val="8AB84B"/>
                <w:sz w:val="22"/>
                <w:szCs w:val="22"/>
              </w:rPr>
              <w:t>●</w:t>
            </w:r>
          </w:p>
        </w:tc>
        <w:tc>
          <w:tcPr>
            <w:tcW w:w="8786" w:type="dxa"/>
            <w:tcBorders>
              <w:top w:val="none" w:sz="0" w:space="0" w:color="FFFFFF"/>
              <w:left w:val="none" w:sz="0" w:space="0" w:color="FFFFFF"/>
              <w:bottom w:val="single" w:sz="4" w:space="0" w:color="EEEEEE"/>
              <w:right w:val="none" w:sz="0" w:space="0" w:color="FFFFFF"/>
            </w:tcBorders>
            <w:tcMar>
              <w:top w:w="80" w:type="dxa"/>
              <w:left w:w="0" w:type="dxa"/>
              <w:bottom w:w="80" w:type="dxa"/>
              <w:right w:w="0" w:type="dxa"/>
            </w:tcMar>
          </w:tcPr>
          <w:p w14:paraId="4FA48F57" w14:textId="77777777" w:rsidR="00BA6790" w:rsidRPr="0002328C" w:rsidRDefault="003D0226">
            <w:pPr>
              <w:rPr>
                <w:rFonts w:ascii="Avenir Next LT Pro" w:hAnsi="Avenir Next LT Pro"/>
                <w:sz w:val="22"/>
                <w:szCs w:val="22"/>
                <w:lang w:val="en-US"/>
              </w:rPr>
            </w:pPr>
            <w:r w:rsidRPr="0002328C">
              <w:rPr>
                <w:rFonts w:ascii="Avenir Next LT Pro" w:hAnsi="Avenir Next LT Pro"/>
                <w:b/>
                <w:bCs/>
                <w:color w:val="1A2050"/>
                <w:lang w:val="en-US"/>
              </w:rPr>
              <w:t xml:space="preserve">Nearshoring accelerates: </w:t>
            </w:r>
            <w:r w:rsidRPr="0002328C">
              <w:rPr>
                <w:rFonts w:ascii="Avenir Next LT Pro" w:hAnsi="Avenir Next LT Pro"/>
                <w:color w:val="4A4A4A"/>
                <w:lang w:val="en-US"/>
              </w:rPr>
              <w:t xml:space="preserve">The combination of higher tariffs and geopolitical uncertainty is pushing companies to produce closer to home — Turkey, Morocco and Eastern Europe are gaining ground. This affects the logistics network structure and raises questions about the rearrangement of distribution </w:t>
            </w:r>
            <w:proofErr w:type="spellStart"/>
            <w:r w:rsidRPr="0002328C">
              <w:rPr>
                <w:rFonts w:ascii="Avenir Next LT Pro" w:hAnsi="Avenir Next LT Pro"/>
                <w:color w:val="4A4A4A"/>
                <w:lang w:val="en-US"/>
              </w:rPr>
              <w:t>centres</w:t>
            </w:r>
            <w:proofErr w:type="spellEnd"/>
            <w:r w:rsidRPr="0002328C">
              <w:rPr>
                <w:rFonts w:ascii="Avenir Next LT Pro" w:hAnsi="Avenir Next LT Pro"/>
                <w:color w:val="4A4A4A"/>
                <w:lang w:val="en-US"/>
              </w:rPr>
              <w:t>.</w:t>
            </w:r>
          </w:p>
        </w:tc>
      </w:tr>
    </w:tbl>
    <w:p w14:paraId="01214F0C" w14:textId="77777777" w:rsidR="00BA6790" w:rsidRPr="0002328C" w:rsidRDefault="00BA6790">
      <w:pPr>
        <w:spacing w:after="120"/>
        <w:rPr>
          <w:rFonts w:ascii="Avenir Next LT Pro" w:hAnsi="Avenir Next LT Pro"/>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A6790" w:rsidRPr="0002328C" w14:paraId="055E110A" w14:textId="77777777">
        <w:tc>
          <w:tcPr>
            <w:tcW w:w="0" w:type="auto"/>
            <w:tcBorders>
              <w:top w:val="none" w:sz="0" w:space="0" w:color="FFFFFF"/>
              <w:left w:val="none" w:sz="0" w:space="0" w:color="FFFFFF"/>
              <w:bottom w:val="none" w:sz="0" w:space="0" w:color="FFFFFF"/>
              <w:right w:val="none" w:sz="0" w:space="0" w:color="FFFFFF"/>
            </w:tcBorders>
            <w:shd w:val="clear" w:color="auto" w:fill="1A2050"/>
            <w:tcMar>
              <w:top w:w="240" w:type="dxa"/>
              <w:left w:w="280" w:type="dxa"/>
              <w:bottom w:w="240" w:type="dxa"/>
              <w:right w:w="280" w:type="dxa"/>
            </w:tcMar>
          </w:tcPr>
          <w:p w14:paraId="75E23CDF" w14:textId="77777777" w:rsidR="00BA6790" w:rsidRPr="0002328C" w:rsidRDefault="003D0226">
            <w:pPr>
              <w:spacing w:after="40"/>
              <w:rPr>
                <w:rFonts w:ascii="Avenir Next LT Pro" w:hAnsi="Avenir Next LT Pro"/>
                <w:lang w:val="en-US"/>
              </w:rPr>
            </w:pPr>
            <w:r w:rsidRPr="0002328C">
              <w:rPr>
                <w:rFonts w:ascii="Avenir Next LT Pro" w:hAnsi="Avenir Next LT Pro"/>
                <w:b/>
                <w:bCs/>
                <w:color w:val="8AB84B"/>
                <w:sz w:val="14"/>
                <w:szCs w:val="14"/>
                <w:lang w:val="en-US"/>
              </w:rPr>
              <w:t>LOGEXMA PERSPECTIVE</w:t>
            </w:r>
          </w:p>
          <w:p w14:paraId="03463C17" w14:textId="77777777" w:rsidR="00BA6790" w:rsidRPr="0002328C" w:rsidRDefault="003D0226">
            <w:pPr>
              <w:spacing w:after="120"/>
              <w:rPr>
                <w:rFonts w:ascii="Avenir Next LT Pro" w:hAnsi="Avenir Next LT Pro"/>
                <w:lang w:val="en-US"/>
              </w:rPr>
            </w:pPr>
            <w:r w:rsidRPr="0002328C">
              <w:rPr>
                <w:rFonts w:ascii="Avenir Next LT Pro" w:eastAsia="Georgia" w:hAnsi="Avenir Next LT Pro" w:cs="Georgia"/>
                <w:i/>
                <w:iCs/>
                <w:color w:val="FFFFFF"/>
                <w:sz w:val="24"/>
                <w:szCs w:val="24"/>
                <w:lang w:val="en-US"/>
              </w:rPr>
              <w:t>"Compliance is no longer a department — it's a strategic competency."</w:t>
            </w:r>
          </w:p>
          <w:p w14:paraId="387BEDC9" w14:textId="77777777" w:rsidR="00BA6790" w:rsidRPr="0002328C" w:rsidRDefault="003D0226">
            <w:pPr>
              <w:rPr>
                <w:rFonts w:ascii="Avenir Next LT Pro" w:hAnsi="Avenir Next LT Pro"/>
                <w:lang w:val="en-US"/>
              </w:rPr>
            </w:pPr>
            <w:r w:rsidRPr="0002328C">
              <w:rPr>
                <w:rFonts w:ascii="Avenir Next LT Pro" w:hAnsi="Avenir Next LT Pro"/>
                <w:color w:val="CCCCCC"/>
                <w:sz w:val="18"/>
                <w:szCs w:val="18"/>
                <w:lang w:val="en-US"/>
              </w:rPr>
              <w:t xml:space="preserve">European regulations are piling up rapidly: the truck levy, the </w:t>
            </w:r>
            <w:proofErr w:type="spellStart"/>
            <w:r w:rsidRPr="0002328C">
              <w:rPr>
                <w:rFonts w:ascii="Avenir Next LT Pro" w:hAnsi="Avenir Next LT Pro"/>
                <w:color w:val="CCCCCC"/>
                <w:sz w:val="18"/>
                <w:szCs w:val="18"/>
                <w:lang w:val="en-US"/>
              </w:rPr>
              <w:t>nDWU</w:t>
            </w:r>
            <w:proofErr w:type="spellEnd"/>
            <w:r w:rsidRPr="0002328C">
              <w:rPr>
                <w:rFonts w:ascii="Avenir Next LT Pro" w:hAnsi="Avenir Next LT Pro"/>
                <w:color w:val="CCCCCC"/>
                <w:sz w:val="18"/>
                <w:szCs w:val="18"/>
                <w:lang w:val="en-US"/>
              </w:rPr>
              <w:t xml:space="preserve">, CERTEX, ETS-2, ZE zones and new import duties affect almost every link in your logistics chain. Companies that invest in insight now — through up-to-date data on transport costs, customs classifications and emission profiles — build a structural competitive advantage. </w:t>
            </w:r>
            <w:proofErr w:type="spellStart"/>
            <w:r w:rsidRPr="0002328C">
              <w:rPr>
                <w:rFonts w:ascii="Avenir Next LT Pro" w:hAnsi="Avenir Next LT Pro"/>
                <w:color w:val="CCCCCC"/>
                <w:sz w:val="18"/>
                <w:szCs w:val="18"/>
                <w:lang w:val="en-US"/>
              </w:rPr>
              <w:t>Logexma</w:t>
            </w:r>
            <w:proofErr w:type="spellEnd"/>
            <w:r w:rsidRPr="0002328C">
              <w:rPr>
                <w:rFonts w:ascii="Avenir Next LT Pro" w:hAnsi="Avenir Next LT Pro"/>
                <w:color w:val="CCCCCC"/>
                <w:sz w:val="18"/>
                <w:szCs w:val="18"/>
                <w:lang w:val="en-US"/>
              </w:rPr>
              <w:t xml:space="preserve"> helps you translate these regulations into concrete action: from contract review with carriers to optimizing your customs processes.</w:t>
            </w:r>
          </w:p>
        </w:tc>
      </w:tr>
    </w:tbl>
    <w:p w14:paraId="04C06F06" w14:textId="77777777" w:rsidR="00BA6790" w:rsidRPr="0002328C" w:rsidRDefault="00BA6790">
      <w:pPr>
        <w:spacing w:after="120"/>
        <w:rPr>
          <w:rFonts w:ascii="Avenir Next LT Pro" w:hAnsi="Avenir Next LT Pro"/>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BA6790" w:rsidRPr="0002328C" w14:paraId="5C6089B7" w14:textId="77777777">
        <w:tc>
          <w:tcPr>
            <w:tcW w:w="4513" w:type="dxa"/>
            <w:tcBorders>
              <w:top w:val="single" w:sz="12" w:space="0" w:color="8AB84B"/>
              <w:left w:val="none" w:sz="0" w:space="0" w:color="FFFFFF"/>
              <w:bottom w:val="none" w:sz="0" w:space="0" w:color="FFFFFF"/>
              <w:right w:val="none" w:sz="0" w:space="0" w:color="FFFFFF"/>
            </w:tcBorders>
            <w:shd w:val="clear" w:color="auto" w:fill="F4F5F7"/>
            <w:tcMar>
              <w:top w:w="160" w:type="dxa"/>
              <w:left w:w="0" w:type="dxa"/>
              <w:bottom w:w="160" w:type="dxa"/>
              <w:right w:w="160" w:type="dxa"/>
            </w:tcMar>
          </w:tcPr>
          <w:p w14:paraId="656FEA1B" w14:textId="77777777" w:rsidR="00BA6790" w:rsidRPr="009873BF" w:rsidRDefault="003D0226">
            <w:pPr>
              <w:spacing w:after="40"/>
              <w:rPr>
                <w:rFonts w:ascii="Avenir Next LT Pro" w:hAnsi="Avenir Next LT Pro"/>
                <w:lang w:val="en-US"/>
              </w:rPr>
            </w:pPr>
            <w:proofErr w:type="spellStart"/>
            <w:r w:rsidRPr="0002328C">
              <w:rPr>
                <w:rFonts w:ascii="Avenir Next LT Pro" w:eastAsia="Georgia" w:hAnsi="Avenir Next LT Pro" w:cs="Georgia"/>
                <w:color w:val="1A2050"/>
                <w:sz w:val="26"/>
                <w:szCs w:val="26"/>
                <w:lang w:val="en-US"/>
              </w:rPr>
              <w:t>Logexma</w:t>
            </w:r>
            <w:proofErr w:type="spellEnd"/>
            <w:r w:rsidRPr="0002328C">
              <w:rPr>
                <w:rFonts w:ascii="Avenir Next LT Pro" w:eastAsia="Georgia" w:hAnsi="Avenir Next LT Pro" w:cs="Georgia"/>
                <w:color w:val="1A2050"/>
                <w:sz w:val="26"/>
                <w:szCs w:val="26"/>
                <w:lang w:val="en-US"/>
              </w:rPr>
              <w:t xml:space="preserve"> Consulting</w:t>
            </w:r>
          </w:p>
          <w:p w14:paraId="1174FF1A" w14:textId="77777777" w:rsidR="00BA6790" w:rsidRPr="009873BF" w:rsidRDefault="003D0226">
            <w:pPr>
              <w:rPr>
                <w:rFonts w:ascii="Avenir Next LT Pro" w:hAnsi="Avenir Next LT Pro"/>
                <w:lang w:val="en-US"/>
              </w:rPr>
            </w:pPr>
            <w:r w:rsidRPr="0002328C">
              <w:rPr>
                <w:rFonts w:ascii="Avenir Next LT Pro" w:hAnsi="Avenir Next LT Pro"/>
                <w:b/>
                <w:bCs/>
                <w:color w:val="8AB84B"/>
                <w:sz w:val="14"/>
                <w:szCs w:val="14"/>
                <w:lang w:val="en-US"/>
              </w:rPr>
              <w:t>CONSULT · OPTIMIZE · DELIVER</w:t>
            </w:r>
          </w:p>
        </w:tc>
        <w:tc>
          <w:tcPr>
            <w:tcW w:w="4513" w:type="dxa"/>
            <w:tcBorders>
              <w:top w:val="single" w:sz="12" w:space="0" w:color="8AB84B"/>
              <w:left w:val="none" w:sz="0" w:space="0" w:color="FFFFFF"/>
              <w:bottom w:val="none" w:sz="0" w:space="0" w:color="FFFFFF"/>
              <w:right w:val="none" w:sz="0" w:space="0" w:color="FFFFFF"/>
            </w:tcBorders>
            <w:shd w:val="clear" w:color="auto" w:fill="F4F5F7"/>
            <w:tcMar>
              <w:top w:w="160" w:type="dxa"/>
              <w:left w:w="160" w:type="dxa"/>
              <w:bottom w:w="160" w:type="dxa"/>
              <w:right w:w="0" w:type="dxa"/>
            </w:tcMar>
            <w:vAlign w:val="center"/>
          </w:tcPr>
          <w:p w14:paraId="506B547F" w14:textId="536958D3" w:rsidR="00BA6790" w:rsidRPr="0002328C" w:rsidRDefault="00DD5EE8">
            <w:pPr>
              <w:spacing w:after="40"/>
              <w:jc w:val="right"/>
              <w:rPr>
                <w:rFonts w:ascii="Avenir Next LT Pro" w:hAnsi="Avenir Next LT Pro"/>
                <w:lang w:val="fr-FR"/>
              </w:rPr>
            </w:pPr>
            <w:proofErr w:type="spellStart"/>
            <w:r w:rsidRPr="0002328C">
              <w:rPr>
                <w:rFonts w:ascii="Avenir Next LT Pro" w:hAnsi="Avenir Next LT Pro"/>
                <w:color w:val="6B7280"/>
                <w:sz w:val="16"/>
                <w:szCs w:val="16"/>
                <w:lang w:val="fr-FR"/>
              </w:rPr>
              <w:t>Reusel</w:t>
            </w:r>
            <w:proofErr w:type="spellEnd"/>
            <w:r w:rsidRPr="0002328C">
              <w:rPr>
                <w:rFonts w:ascii="Avenir Next LT Pro" w:hAnsi="Avenir Next LT Pro"/>
                <w:color w:val="6B7280"/>
                <w:sz w:val="16"/>
                <w:szCs w:val="16"/>
                <w:lang w:val="fr-FR"/>
              </w:rPr>
              <w:t xml:space="preserve">, </w:t>
            </w:r>
            <w:proofErr w:type="spellStart"/>
            <w:r w:rsidRPr="0002328C">
              <w:rPr>
                <w:rFonts w:ascii="Avenir Next LT Pro" w:hAnsi="Avenir Next LT Pro"/>
                <w:color w:val="6B7280"/>
                <w:sz w:val="16"/>
                <w:szCs w:val="16"/>
                <w:lang w:val="fr-FR"/>
              </w:rPr>
              <w:t>Netherlands</w:t>
            </w:r>
            <w:proofErr w:type="spellEnd"/>
          </w:p>
          <w:p w14:paraId="409573FD" w14:textId="77777777" w:rsidR="00BA6790" w:rsidRPr="0002328C" w:rsidRDefault="003D0226">
            <w:pPr>
              <w:spacing w:after="40"/>
              <w:jc w:val="right"/>
              <w:rPr>
                <w:rFonts w:ascii="Avenir Next LT Pro" w:hAnsi="Avenir Next LT Pro"/>
                <w:lang w:val="fr-FR"/>
              </w:rPr>
            </w:pPr>
            <w:r w:rsidRPr="0002328C">
              <w:rPr>
                <w:rFonts w:ascii="Avenir Next LT Pro" w:hAnsi="Avenir Next LT Pro"/>
                <w:b/>
                <w:bCs/>
                <w:color w:val="1A2050"/>
                <w:sz w:val="16"/>
                <w:szCs w:val="16"/>
                <w:lang w:val="fr-FR"/>
              </w:rPr>
              <w:t>info@logexma.nl</w:t>
            </w:r>
          </w:p>
          <w:p w14:paraId="408F814F" w14:textId="77777777" w:rsidR="00BA6790" w:rsidRPr="0002328C" w:rsidRDefault="003D0226">
            <w:pPr>
              <w:jc w:val="right"/>
              <w:rPr>
                <w:rFonts w:ascii="Avenir Next LT Pro" w:hAnsi="Avenir Next LT Pro"/>
                <w:lang w:val="fr-FR"/>
              </w:rPr>
            </w:pPr>
            <w:r w:rsidRPr="0002328C">
              <w:rPr>
                <w:rFonts w:ascii="Avenir Next LT Pro" w:hAnsi="Avenir Next LT Pro"/>
                <w:b/>
                <w:bCs/>
                <w:color w:val="1A2050"/>
                <w:sz w:val="16"/>
                <w:szCs w:val="16"/>
                <w:lang w:val="fr-FR"/>
              </w:rPr>
              <w:t>www.logexma.nl</w:t>
            </w:r>
          </w:p>
        </w:tc>
      </w:tr>
    </w:tbl>
    <w:p w14:paraId="7E901F66" w14:textId="77777777" w:rsidR="00BA6790" w:rsidRPr="0002328C" w:rsidRDefault="00BA6790">
      <w:pPr>
        <w:spacing w:after="80"/>
        <w:rPr>
          <w:rFonts w:ascii="Avenir Next LT Pro" w:hAnsi="Avenir Next LT Pro"/>
          <w:lang w:val="fr-FR"/>
        </w:rPr>
      </w:pPr>
    </w:p>
    <w:p w14:paraId="7A1177CC" w14:textId="2B383226" w:rsidR="00BA6790" w:rsidRPr="0002328C" w:rsidRDefault="003D0226">
      <w:pPr>
        <w:rPr>
          <w:lang w:val="en-US"/>
        </w:rPr>
      </w:pPr>
      <w:r w:rsidRPr="0002328C">
        <w:rPr>
          <w:rFonts w:ascii="Avenir Next LT Pro" w:hAnsi="Avenir Next LT Pro"/>
          <w:color w:val="9CA3AF"/>
          <w:sz w:val="14"/>
          <w:szCs w:val="14"/>
          <w:lang w:val="en-US"/>
        </w:rPr>
        <w:t xml:space="preserve">This newsletter has been compiled by </w:t>
      </w:r>
      <w:proofErr w:type="spellStart"/>
      <w:r w:rsidRPr="0002328C">
        <w:rPr>
          <w:rFonts w:ascii="Avenir Next LT Pro" w:hAnsi="Avenir Next LT Pro"/>
          <w:color w:val="9CA3AF"/>
          <w:sz w:val="14"/>
          <w:szCs w:val="14"/>
          <w:lang w:val="en-US"/>
        </w:rPr>
        <w:t>Logexma</w:t>
      </w:r>
      <w:proofErr w:type="spellEnd"/>
      <w:r w:rsidRPr="0002328C">
        <w:rPr>
          <w:rFonts w:ascii="Avenir Next LT Pro" w:hAnsi="Avenir Next LT Pro"/>
          <w:color w:val="9CA3AF"/>
          <w:sz w:val="14"/>
          <w:szCs w:val="14"/>
          <w:lang w:val="en-US"/>
        </w:rPr>
        <w:t xml:space="preserve"> Consulting based on publicly available sources and serves as an informative summary. No</w:t>
      </w:r>
      <w:r w:rsidR="00A07974">
        <w:rPr>
          <w:rFonts w:ascii="Avenir Next LT Pro" w:hAnsi="Avenir Next LT Pro"/>
          <w:color w:val="9CA3AF"/>
          <w:sz w:val="14"/>
          <w:szCs w:val="14"/>
          <w:lang w:val="en-US"/>
        </w:rPr>
        <w:t xml:space="preserve"> </w:t>
      </w:r>
      <w:r w:rsidRPr="0002328C">
        <w:rPr>
          <w:color w:val="9CA3AF"/>
          <w:sz w:val="14"/>
          <w:szCs w:val="14"/>
          <w:lang w:val="en-US"/>
        </w:rPr>
        <w:t>rights can be derived from the content. Unsubscribe: Send an email to info@logexma.nl with the subject line "Unsubscribe."</w:t>
      </w:r>
    </w:p>
    <w:sectPr w:rsidR="00BA6790" w:rsidRPr="0002328C">
      <w:pgSz w:w="11906" w:h="16838"/>
      <w:pgMar w:top="720" w:right="1008" w:bottom="720" w:left="10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81537"/>
    <w:multiLevelType w:val="hybridMultilevel"/>
    <w:tmpl w:val="62E0C136"/>
    <w:lvl w:ilvl="0" w:tplc="CFA8D8EA">
      <w:start w:val="1"/>
      <w:numFmt w:val="bullet"/>
      <w:lvlText w:val="●"/>
      <w:lvlJc w:val="left"/>
      <w:pPr>
        <w:ind w:left="720" w:hanging="360"/>
      </w:pPr>
    </w:lvl>
    <w:lvl w:ilvl="1" w:tplc="1F16D9DE">
      <w:start w:val="1"/>
      <w:numFmt w:val="bullet"/>
      <w:lvlText w:val="○"/>
      <w:lvlJc w:val="left"/>
      <w:pPr>
        <w:ind w:left="1440" w:hanging="360"/>
      </w:pPr>
    </w:lvl>
    <w:lvl w:ilvl="2" w:tplc="9FCA6FA4">
      <w:start w:val="1"/>
      <w:numFmt w:val="bullet"/>
      <w:lvlText w:val="■"/>
      <w:lvlJc w:val="left"/>
      <w:pPr>
        <w:ind w:left="2160" w:hanging="360"/>
      </w:pPr>
    </w:lvl>
    <w:lvl w:ilvl="3" w:tplc="47A4C924">
      <w:start w:val="1"/>
      <w:numFmt w:val="bullet"/>
      <w:lvlText w:val="●"/>
      <w:lvlJc w:val="left"/>
      <w:pPr>
        <w:ind w:left="2880" w:hanging="360"/>
      </w:pPr>
    </w:lvl>
    <w:lvl w:ilvl="4" w:tplc="DE469F24">
      <w:start w:val="1"/>
      <w:numFmt w:val="bullet"/>
      <w:lvlText w:val="○"/>
      <w:lvlJc w:val="left"/>
      <w:pPr>
        <w:ind w:left="3600" w:hanging="360"/>
      </w:pPr>
    </w:lvl>
    <w:lvl w:ilvl="5" w:tplc="BB16DCDC">
      <w:start w:val="1"/>
      <w:numFmt w:val="bullet"/>
      <w:lvlText w:val="■"/>
      <w:lvlJc w:val="left"/>
      <w:pPr>
        <w:ind w:left="4320" w:hanging="360"/>
      </w:pPr>
    </w:lvl>
    <w:lvl w:ilvl="6" w:tplc="98C6674A">
      <w:start w:val="1"/>
      <w:numFmt w:val="bullet"/>
      <w:lvlText w:val="●"/>
      <w:lvlJc w:val="left"/>
      <w:pPr>
        <w:ind w:left="5040" w:hanging="360"/>
      </w:pPr>
    </w:lvl>
    <w:lvl w:ilvl="7" w:tplc="0A9EB64E">
      <w:start w:val="1"/>
      <w:numFmt w:val="bullet"/>
      <w:lvlText w:val="●"/>
      <w:lvlJc w:val="left"/>
      <w:pPr>
        <w:ind w:left="5760" w:hanging="360"/>
      </w:pPr>
    </w:lvl>
    <w:lvl w:ilvl="8" w:tplc="7A626ADC">
      <w:start w:val="1"/>
      <w:numFmt w:val="bullet"/>
      <w:lvlText w:val="●"/>
      <w:lvlJc w:val="left"/>
      <w:pPr>
        <w:ind w:left="6480" w:hanging="360"/>
      </w:pPr>
    </w:lvl>
  </w:abstractNum>
  <w:num w:numId="1" w16cid:durableId="11266986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90"/>
    <w:rsid w:val="0002328C"/>
    <w:rsid w:val="00187131"/>
    <w:rsid w:val="00245CB6"/>
    <w:rsid w:val="003D0226"/>
    <w:rsid w:val="0042761D"/>
    <w:rsid w:val="004559D9"/>
    <w:rsid w:val="004B217D"/>
    <w:rsid w:val="009744EC"/>
    <w:rsid w:val="009873BF"/>
    <w:rsid w:val="00A07974"/>
    <w:rsid w:val="00BA6790"/>
    <w:rsid w:val="00DD5EE8"/>
    <w:rsid w:val="00E85C4C"/>
    <w:rsid w:val="00EA53E8"/>
    <w:rsid w:val="00F76D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815D"/>
  <w15:docId w15:val="{60A490B8-E695-40D8-91B2-A9068CB7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 w:type="character" w:styleId="Tekstvantijdelijkeaanduiding">
    <w:name w:val="Placeholder Text"/>
    <w:basedOn w:val="Standaardalinea-lettertype"/>
    <w:uiPriority w:val="99"/>
    <w:semiHidden/>
    <w:rsid w:val="000232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6380</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Rogier van Zon</cp:lastModifiedBy>
  <cp:revision>3</cp:revision>
  <dcterms:created xsi:type="dcterms:W3CDTF">2026-05-06T07:43:00Z</dcterms:created>
  <dcterms:modified xsi:type="dcterms:W3CDTF">2026-05-06T07:46:00Z</dcterms:modified>
</cp:coreProperties>
</file>