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C3A7B" w14:textId="37BB91EB" w:rsidR="0011257E" w:rsidRPr="00905CA4" w:rsidRDefault="009E295F">
      <w:pPr>
        <w:rPr>
          <w:rFonts w:ascii="Century Gothic" w:hAnsi="Century Gothic"/>
          <w:sz w:val="24"/>
          <w:szCs w:val="24"/>
        </w:rPr>
      </w:pPr>
      <w:r w:rsidRPr="00905CA4">
        <w:rPr>
          <w:rFonts w:ascii="Century Gothic" w:hAnsi="Century Gothic"/>
          <w:noProof/>
          <w:sz w:val="24"/>
          <w:szCs w:val="24"/>
        </w:rPr>
        <w:drawing>
          <wp:inline distT="0" distB="0" distL="0" distR="0" wp14:anchorId="164DD66A" wp14:editId="31D9B991">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2083033" cy="1178606"/>
                    </a:xfrm>
                    <a:prstGeom prst="rect">
                      <a:avLst/>
                    </a:prstGeom>
                  </pic:spPr>
                </pic:pic>
              </a:graphicData>
            </a:graphic>
          </wp:inline>
        </w:drawing>
      </w:r>
    </w:p>
    <w:p w14:paraId="110C14AE" w14:textId="4B7962A2" w:rsidR="000145A5" w:rsidRPr="00905CA4" w:rsidRDefault="00BA1FCD" w:rsidP="000145A5">
      <w:pPr>
        <w:rPr>
          <w:rFonts w:ascii="Century Gothic" w:hAnsi="Century Gothic"/>
          <w:sz w:val="24"/>
          <w:szCs w:val="24"/>
        </w:rPr>
      </w:pPr>
      <w:r w:rsidRPr="00905CA4">
        <w:rPr>
          <w:rFonts w:ascii="Century Gothic" w:hAnsi="Century Gothic"/>
          <w:noProof/>
          <w:sz w:val="24"/>
          <w:szCs w:val="24"/>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r w:rsidRPr="00905CA4">
        <w:rPr>
          <w:rStyle w:val="Strong"/>
          <w:rFonts w:ascii="Century Gothic" w:hAnsi="Century Gothic" w:cs="Arial"/>
          <w:sz w:val="24"/>
          <w:szCs w:val="24"/>
        </w:rPr>
        <w:t xml:space="preserve"> </w:t>
      </w:r>
    </w:p>
    <w:p w14:paraId="578DEA75" w14:textId="77777777" w:rsidR="00335285" w:rsidRPr="00335285" w:rsidRDefault="00335285" w:rsidP="00335285">
      <w:pPr>
        <w:pStyle w:val="Heading1"/>
        <w:spacing w:before="0"/>
        <w:rPr>
          <w:rFonts w:ascii="Century Gothic" w:hAnsi="Century Gothic" w:cs="Arial"/>
          <w:b/>
          <w:bCs/>
          <w:color w:val="auto"/>
          <w:sz w:val="28"/>
          <w:szCs w:val="28"/>
        </w:rPr>
      </w:pPr>
      <w:r w:rsidRPr="00335285">
        <w:rPr>
          <w:rFonts w:ascii="Century Gothic" w:hAnsi="Century Gothic" w:cs="Arial"/>
          <w:b/>
          <w:bCs/>
          <w:color w:val="auto"/>
          <w:sz w:val="28"/>
          <w:szCs w:val="28"/>
        </w:rPr>
        <w:t xml:space="preserve">Funding for Special Educational Needs or Disability (SEND) Support </w:t>
      </w:r>
    </w:p>
    <w:p w14:paraId="46AE18F8" w14:textId="77777777" w:rsidR="00335285" w:rsidRDefault="00335285" w:rsidP="00BA1FCD">
      <w:pPr>
        <w:rPr>
          <w:rFonts w:ascii="Century Gothic" w:hAnsi="Century Gothic" w:cs="Arial"/>
          <w:b/>
          <w:bCs/>
          <w:sz w:val="24"/>
          <w:szCs w:val="24"/>
        </w:rPr>
      </w:pPr>
    </w:p>
    <w:p w14:paraId="220C64D4" w14:textId="31F60C24" w:rsidR="00BA1FCD" w:rsidRPr="00905CA4" w:rsidRDefault="00BA1FCD" w:rsidP="00BA1FCD">
      <w:pPr>
        <w:rPr>
          <w:rFonts w:ascii="Century Gothic" w:hAnsi="Century Gothic" w:cs="Arial"/>
          <w:b/>
          <w:bCs/>
          <w:sz w:val="24"/>
          <w:szCs w:val="24"/>
        </w:rPr>
      </w:pPr>
      <w:r w:rsidRPr="00905CA4">
        <w:rPr>
          <w:rFonts w:ascii="Century Gothic" w:hAnsi="Century Gothic" w:cs="Arial"/>
          <w:b/>
          <w:bCs/>
          <w:sz w:val="24"/>
          <w:szCs w:val="24"/>
        </w:rPr>
        <w:t>Factsheet Number</w:t>
      </w:r>
      <w:r w:rsidR="000145A5" w:rsidRPr="00905CA4">
        <w:rPr>
          <w:rFonts w:ascii="Century Gothic" w:hAnsi="Century Gothic" w:cs="Arial"/>
          <w:b/>
          <w:bCs/>
          <w:sz w:val="24"/>
          <w:szCs w:val="24"/>
        </w:rPr>
        <w:t xml:space="preserve"> 5</w:t>
      </w:r>
      <w:r w:rsidR="00D61F3F" w:rsidRPr="00905CA4">
        <w:rPr>
          <w:rFonts w:ascii="Century Gothic" w:hAnsi="Century Gothic" w:cs="Arial"/>
          <w:b/>
          <w:bCs/>
          <w:sz w:val="24"/>
          <w:szCs w:val="24"/>
        </w:rPr>
        <w:t xml:space="preserve"> </w:t>
      </w:r>
      <w:r w:rsidRPr="00905CA4">
        <w:rPr>
          <w:rFonts w:ascii="Century Gothic" w:hAnsi="Century Gothic" w:cs="Arial"/>
          <w:b/>
          <w:bCs/>
          <w:sz w:val="24"/>
          <w:szCs w:val="24"/>
        </w:rPr>
        <w:t xml:space="preserve">                         </w:t>
      </w:r>
      <w:r w:rsidR="000145A5" w:rsidRPr="00905CA4">
        <w:rPr>
          <w:rFonts w:ascii="Century Gothic" w:hAnsi="Century Gothic" w:cs="Arial"/>
          <w:b/>
          <w:bCs/>
          <w:sz w:val="24"/>
          <w:szCs w:val="24"/>
        </w:rPr>
        <w:t xml:space="preserve">                 </w:t>
      </w:r>
      <w:r w:rsidR="00935C5B" w:rsidRPr="00905CA4">
        <w:rPr>
          <w:rFonts w:ascii="Century Gothic" w:hAnsi="Century Gothic" w:cs="Arial"/>
          <w:b/>
          <w:bCs/>
          <w:sz w:val="24"/>
          <w:szCs w:val="24"/>
        </w:rPr>
        <w:t xml:space="preserve">              </w:t>
      </w:r>
      <w:r w:rsidR="0011257E" w:rsidRPr="00905CA4">
        <w:rPr>
          <w:rFonts w:ascii="Century Gothic" w:hAnsi="Century Gothic" w:cs="Arial"/>
          <w:b/>
          <w:bCs/>
          <w:sz w:val="24"/>
          <w:szCs w:val="24"/>
        </w:rPr>
        <w:t xml:space="preserve"> </w:t>
      </w:r>
      <w:r w:rsidR="00F32538">
        <w:rPr>
          <w:rFonts w:ascii="Century Gothic" w:hAnsi="Century Gothic" w:cs="Arial"/>
          <w:b/>
          <w:bCs/>
          <w:sz w:val="24"/>
          <w:szCs w:val="24"/>
        </w:rPr>
        <w:t xml:space="preserve">                 </w:t>
      </w:r>
      <w:r w:rsidR="00D61F3F" w:rsidRPr="00905CA4">
        <w:rPr>
          <w:rFonts w:ascii="Century Gothic" w:hAnsi="Century Gothic" w:cs="Arial"/>
          <w:b/>
          <w:bCs/>
          <w:sz w:val="24"/>
          <w:szCs w:val="24"/>
        </w:rPr>
        <w:t>August 202</w:t>
      </w:r>
      <w:r w:rsidR="0092565D" w:rsidRPr="00905CA4">
        <w:rPr>
          <w:rFonts w:ascii="Century Gothic" w:hAnsi="Century Gothic" w:cs="Arial"/>
          <w:b/>
          <w:bCs/>
          <w:sz w:val="24"/>
          <w:szCs w:val="24"/>
        </w:rPr>
        <w:t>5</w:t>
      </w:r>
    </w:p>
    <w:p w14:paraId="33469D45" w14:textId="45C3E531" w:rsidR="00BA1FCD" w:rsidRPr="00F32538" w:rsidRDefault="00BA1FCD">
      <w:pPr>
        <w:rPr>
          <w:rStyle w:val="Strong"/>
          <w:rFonts w:ascii="Century Gothic" w:hAnsi="Century Gothic" w:cs="Arial"/>
          <w:sz w:val="24"/>
          <w:szCs w:val="24"/>
        </w:rPr>
      </w:pPr>
      <w:r w:rsidRPr="00F32538">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16830CDA" w14:textId="77777777" w:rsidR="002155B6" w:rsidRPr="00F32538" w:rsidRDefault="002155B6" w:rsidP="002155B6">
      <w:pPr>
        <w:spacing w:line="240" w:lineRule="auto"/>
        <w:jc w:val="both"/>
        <w:textAlignment w:val="baseline"/>
        <w:rPr>
          <w:rFonts w:ascii="Century Gothic" w:eastAsia="Times New Roman" w:hAnsi="Century Gothic" w:cs="Times New Roman"/>
          <w:color w:val="000000"/>
          <w:lang w:eastAsia="en-GB"/>
        </w:rPr>
      </w:pPr>
      <w:r w:rsidRPr="00F32538">
        <w:rPr>
          <w:rFonts w:ascii="Century Gothic" w:eastAsia="Times New Roman" w:hAnsi="Century Gothic" w:cs="Times New Roman"/>
          <w:b/>
          <w:bCs/>
          <w:color w:val="000000"/>
          <w:lang w:eastAsia="en-GB"/>
        </w:rPr>
        <w:t>Disclaimer</w:t>
      </w:r>
      <w:r w:rsidRPr="00F32538">
        <w:rPr>
          <w:rFonts w:ascii="Century Gothic" w:eastAsia="Times New Roman" w:hAnsi="Century Gothic" w:cs="Times New Roman"/>
          <w:color w:val="000000"/>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12815A0B" w14:textId="2DAC9D39" w:rsidR="002155B6" w:rsidRDefault="00751406" w:rsidP="000145A5">
      <w:pPr>
        <w:pStyle w:val="Heading1"/>
        <w:spacing w:before="0"/>
        <w:rPr>
          <w:rFonts w:ascii="Century Gothic" w:hAnsi="Century Gothic" w:cs="Arial"/>
          <w:color w:val="auto"/>
          <w:sz w:val="24"/>
          <w:szCs w:val="24"/>
        </w:rPr>
      </w:pPr>
      <w:r>
        <w:rPr>
          <w:rFonts w:ascii="Century Gothic" w:hAnsi="Century Gothic" w:cs="Arial"/>
          <w:color w:val="auto"/>
          <w:sz w:val="24"/>
          <w:szCs w:val="24"/>
        </w:rPr>
        <w:t>All hyper links are correct as of August 2025.</w:t>
      </w:r>
    </w:p>
    <w:p w14:paraId="09331EF5" w14:textId="77777777" w:rsidR="00751406" w:rsidRPr="00751406" w:rsidRDefault="00751406" w:rsidP="00751406"/>
    <w:p w14:paraId="09273B6F" w14:textId="3DF8F2A4" w:rsidR="000145A5" w:rsidRPr="00905CA4" w:rsidRDefault="000145A5" w:rsidP="000145A5">
      <w:pPr>
        <w:pStyle w:val="Heading1"/>
        <w:spacing w:before="0"/>
        <w:rPr>
          <w:rFonts w:ascii="Century Gothic" w:hAnsi="Century Gothic" w:cs="Arial"/>
          <w:color w:val="auto"/>
          <w:sz w:val="24"/>
          <w:szCs w:val="24"/>
        </w:rPr>
      </w:pPr>
      <w:r w:rsidRPr="00905CA4">
        <w:rPr>
          <w:rFonts w:ascii="Century Gothic" w:hAnsi="Century Gothic" w:cs="Arial"/>
          <w:color w:val="auto"/>
          <w:sz w:val="24"/>
          <w:szCs w:val="24"/>
        </w:rPr>
        <w:t xml:space="preserve">This information is about funding for SEND in mainstream schools including   academies and free schools. </w:t>
      </w:r>
    </w:p>
    <w:p w14:paraId="411FD416" w14:textId="77777777" w:rsidR="000145A5" w:rsidRPr="00905CA4" w:rsidRDefault="000145A5" w:rsidP="000145A5">
      <w:pPr>
        <w:rPr>
          <w:rFonts w:ascii="Century Gothic" w:hAnsi="Century Gothic" w:cs="Arial"/>
          <w:sz w:val="24"/>
          <w:szCs w:val="24"/>
        </w:rPr>
      </w:pPr>
    </w:p>
    <w:p w14:paraId="7D1823C2" w14:textId="77777777" w:rsidR="000145A5" w:rsidRPr="00905CA4" w:rsidRDefault="000145A5" w:rsidP="000145A5">
      <w:pPr>
        <w:pStyle w:val="Heading2"/>
        <w:spacing w:before="0" w:after="0"/>
        <w:rPr>
          <w:rFonts w:ascii="Century Gothic" w:hAnsi="Century Gothic"/>
          <w:b/>
          <w:bCs/>
          <w:sz w:val="24"/>
          <w:szCs w:val="24"/>
        </w:rPr>
      </w:pPr>
      <w:r w:rsidRPr="00905CA4">
        <w:rPr>
          <w:rFonts w:ascii="Century Gothic" w:hAnsi="Century Gothic"/>
          <w:b/>
          <w:bCs/>
          <w:sz w:val="24"/>
          <w:szCs w:val="24"/>
        </w:rPr>
        <w:t>What is SEND funding for?</w:t>
      </w:r>
    </w:p>
    <w:p w14:paraId="2220CC87" w14:textId="77777777" w:rsidR="000145A5" w:rsidRPr="00905CA4" w:rsidRDefault="000145A5" w:rsidP="000145A5">
      <w:pPr>
        <w:rPr>
          <w:rFonts w:ascii="Century Gothic" w:hAnsi="Century Gothic" w:cs="Arial"/>
          <w:sz w:val="24"/>
          <w:szCs w:val="24"/>
        </w:rPr>
      </w:pPr>
      <w:r w:rsidRPr="00905CA4">
        <w:rPr>
          <w:rFonts w:ascii="Century Gothic" w:hAnsi="Century Gothic" w:cs="Arial"/>
          <w:sz w:val="24"/>
          <w:szCs w:val="24"/>
        </w:rPr>
        <w:t>The SEND Code of Practice says schools must:</w:t>
      </w:r>
    </w:p>
    <w:p w14:paraId="13C0F436" w14:textId="06E839FE" w:rsidR="000145A5" w:rsidRPr="00905CA4" w:rsidRDefault="000145A5" w:rsidP="000145A5">
      <w:pPr>
        <w:rPr>
          <w:rFonts w:ascii="Century Gothic" w:hAnsi="Century Gothic" w:cs="Arial"/>
          <w:sz w:val="24"/>
          <w:szCs w:val="24"/>
        </w:rPr>
      </w:pPr>
      <w:r w:rsidRPr="00905CA4">
        <w:rPr>
          <w:rFonts w:ascii="Century Gothic" w:hAnsi="Century Gothic" w:cs="Arial"/>
          <w:sz w:val="24"/>
          <w:szCs w:val="24"/>
        </w:rPr>
        <w:t>…use their best endeavours to make sure that a child with SEND gets the support they need – this means doing everything they can to meet children and young people’s SEND (6.2)</w:t>
      </w:r>
    </w:p>
    <w:p w14:paraId="6C656D98" w14:textId="77777777" w:rsidR="000145A5" w:rsidRPr="00905CA4" w:rsidRDefault="000145A5" w:rsidP="000145A5">
      <w:pPr>
        <w:rPr>
          <w:rFonts w:ascii="Century Gothic" w:hAnsi="Century Gothic" w:cs="Arial"/>
          <w:sz w:val="24"/>
          <w:szCs w:val="24"/>
        </w:rPr>
      </w:pPr>
      <w:r w:rsidRPr="00905CA4">
        <w:rPr>
          <w:rFonts w:ascii="Century Gothic" w:hAnsi="Century Gothic" w:cs="Arial"/>
          <w:sz w:val="24"/>
          <w:szCs w:val="24"/>
        </w:rPr>
        <w:t>Schools should use some of their budget to buy resources and make provision for children who need additional help. This can take many forms. For example, children with SEND might need:</w:t>
      </w:r>
    </w:p>
    <w:p w14:paraId="0A2A3FFB" w14:textId="77777777" w:rsidR="000145A5" w:rsidRPr="00905CA4" w:rsidRDefault="000145A5" w:rsidP="000145A5">
      <w:pPr>
        <w:pStyle w:val="ListParagraph"/>
        <w:numPr>
          <w:ilvl w:val="0"/>
          <w:numId w:val="10"/>
        </w:numPr>
        <w:spacing w:after="0" w:line="240" w:lineRule="auto"/>
        <w:jc w:val="both"/>
        <w:rPr>
          <w:rFonts w:ascii="Century Gothic" w:hAnsi="Century Gothic" w:cs="Arial"/>
          <w:sz w:val="24"/>
          <w:szCs w:val="24"/>
        </w:rPr>
      </w:pPr>
      <w:r w:rsidRPr="00905CA4">
        <w:rPr>
          <w:rFonts w:ascii="Century Gothic" w:hAnsi="Century Gothic" w:cs="Arial"/>
          <w:sz w:val="24"/>
          <w:szCs w:val="24"/>
        </w:rPr>
        <w:t>Some changes to the curriculum</w:t>
      </w:r>
    </w:p>
    <w:p w14:paraId="11E5390F" w14:textId="2DECC2FB" w:rsidR="000145A5" w:rsidRPr="00905CA4" w:rsidRDefault="000145A5" w:rsidP="000145A5">
      <w:pPr>
        <w:pStyle w:val="ListParagraph"/>
        <w:numPr>
          <w:ilvl w:val="0"/>
          <w:numId w:val="10"/>
        </w:numPr>
        <w:spacing w:after="0" w:line="240" w:lineRule="auto"/>
        <w:jc w:val="both"/>
        <w:rPr>
          <w:rFonts w:ascii="Century Gothic" w:hAnsi="Century Gothic" w:cs="Arial"/>
          <w:sz w:val="24"/>
          <w:szCs w:val="24"/>
        </w:rPr>
      </w:pPr>
      <w:r w:rsidRPr="00905CA4">
        <w:rPr>
          <w:rFonts w:ascii="Century Gothic" w:hAnsi="Century Gothic" w:cs="Arial"/>
          <w:sz w:val="24"/>
          <w:szCs w:val="24"/>
        </w:rPr>
        <w:t xml:space="preserve">Special equipment or teaching </w:t>
      </w:r>
      <w:r w:rsidR="001464F7" w:rsidRPr="00905CA4">
        <w:rPr>
          <w:rFonts w:ascii="Century Gothic" w:hAnsi="Century Gothic" w:cs="Arial"/>
          <w:sz w:val="24"/>
          <w:szCs w:val="24"/>
        </w:rPr>
        <w:t>materials.</w:t>
      </w:r>
    </w:p>
    <w:p w14:paraId="21CAA2C2" w14:textId="77777777" w:rsidR="000145A5" w:rsidRPr="00905CA4" w:rsidRDefault="000145A5" w:rsidP="000145A5">
      <w:pPr>
        <w:pStyle w:val="ListParagraph"/>
        <w:numPr>
          <w:ilvl w:val="0"/>
          <w:numId w:val="10"/>
        </w:numPr>
        <w:spacing w:after="0" w:line="240" w:lineRule="auto"/>
        <w:jc w:val="both"/>
        <w:rPr>
          <w:rFonts w:ascii="Century Gothic" w:hAnsi="Century Gothic" w:cs="Arial"/>
          <w:sz w:val="24"/>
          <w:szCs w:val="24"/>
        </w:rPr>
      </w:pPr>
      <w:r w:rsidRPr="00905CA4">
        <w:rPr>
          <w:rFonts w:ascii="Century Gothic" w:hAnsi="Century Gothic" w:cs="Arial"/>
          <w:sz w:val="24"/>
          <w:szCs w:val="24"/>
        </w:rPr>
        <w:t>The use of additional information technology</w:t>
      </w:r>
    </w:p>
    <w:p w14:paraId="75D2A9B1" w14:textId="77777777" w:rsidR="000145A5" w:rsidRPr="00905CA4" w:rsidRDefault="000145A5" w:rsidP="000145A5">
      <w:pPr>
        <w:pStyle w:val="ListParagraph"/>
        <w:numPr>
          <w:ilvl w:val="0"/>
          <w:numId w:val="10"/>
        </w:numPr>
        <w:spacing w:after="0" w:line="240" w:lineRule="auto"/>
        <w:jc w:val="both"/>
        <w:rPr>
          <w:rFonts w:ascii="Century Gothic" w:hAnsi="Century Gothic" w:cs="Arial"/>
          <w:sz w:val="24"/>
          <w:szCs w:val="24"/>
        </w:rPr>
      </w:pPr>
      <w:r w:rsidRPr="00905CA4">
        <w:rPr>
          <w:rFonts w:ascii="Century Gothic" w:hAnsi="Century Gothic" w:cs="Arial"/>
          <w:sz w:val="24"/>
          <w:szCs w:val="24"/>
        </w:rPr>
        <w:t>Small group work</w:t>
      </w:r>
    </w:p>
    <w:p w14:paraId="2DC4D480" w14:textId="5649182B" w:rsidR="000145A5" w:rsidRPr="00905CA4" w:rsidRDefault="000145A5" w:rsidP="000145A5">
      <w:pPr>
        <w:pStyle w:val="ListParagraph"/>
        <w:numPr>
          <w:ilvl w:val="0"/>
          <w:numId w:val="10"/>
        </w:numPr>
        <w:spacing w:after="0" w:line="240" w:lineRule="auto"/>
        <w:jc w:val="both"/>
        <w:rPr>
          <w:rFonts w:ascii="Century Gothic" w:hAnsi="Century Gothic" w:cs="Arial"/>
          <w:sz w:val="24"/>
          <w:szCs w:val="24"/>
        </w:rPr>
      </w:pPr>
      <w:r w:rsidRPr="00905CA4">
        <w:rPr>
          <w:rFonts w:ascii="Century Gothic" w:hAnsi="Century Gothic" w:cs="Arial"/>
          <w:sz w:val="24"/>
          <w:szCs w:val="24"/>
        </w:rPr>
        <w:t xml:space="preserve">Support in the </w:t>
      </w:r>
      <w:r w:rsidR="001464F7" w:rsidRPr="00905CA4">
        <w:rPr>
          <w:rFonts w:ascii="Century Gothic" w:hAnsi="Century Gothic" w:cs="Arial"/>
          <w:sz w:val="24"/>
          <w:szCs w:val="24"/>
        </w:rPr>
        <w:t>classroom.</w:t>
      </w:r>
    </w:p>
    <w:p w14:paraId="73190D3C" w14:textId="77777777" w:rsidR="000145A5" w:rsidRPr="00905CA4" w:rsidRDefault="000145A5" w:rsidP="000145A5">
      <w:pPr>
        <w:pStyle w:val="ListParagraph"/>
        <w:numPr>
          <w:ilvl w:val="0"/>
          <w:numId w:val="10"/>
        </w:numPr>
        <w:spacing w:after="0" w:line="240" w:lineRule="auto"/>
        <w:jc w:val="both"/>
        <w:rPr>
          <w:rFonts w:ascii="Century Gothic" w:hAnsi="Century Gothic" w:cs="Arial"/>
          <w:sz w:val="24"/>
          <w:szCs w:val="24"/>
        </w:rPr>
      </w:pPr>
      <w:r w:rsidRPr="00905CA4">
        <w:rPr>
          <w:rFonts w:ascii="Century Gothic" w:hAnsi="Century Gothic" w:cs="Arial"/>
          <w:sz w:val="24"/>
          <w:szCs w:val="24"/>
        </w:rPr>
        <w:t>A base to work in or have quiet time.</w:t>
      </w:r>
    </w:p>
    <w:p w14:paraId="231DB5BA" w14:textId="77777777" w:rsidR="000145A5" w:rsidRPr="00905CA4" w:rsidRDefault="000145A5" w:rsidP="000145A5">
      <w:pPr>
        <w:pStyle w:val="Heading2"/>
        <w:spacing w:before="0" w:after="0"/>
        <w:rPr>
          <w:rFonts w:ascii="Century Gothic" w:hAnsi="Century Gothic"/>
          <w:sz w:val="24"/>
          <w:szCs w:val="24"/>
        </w:rPr>
      </w:pPr>
    </w:p>
    <w:p w14:paraId="45D16F05" w14:textId="77777777" w:rsidR="000145A5" w:rsidRPr="00905CA4" w:rsidRDefault="000145A5" w:rsidP="000145A5">
      <w:pPr>
        <w:pStyle w:val="Heading2"/>
        <w:spacing w:before="0" w:after="0"/>
        <w:rPr>
          <w:rFonts w:ascii="Century Gothic" w:hAnsi="Century Gothic"/>
          <w:b/>
          <w:bCs/>
          <w:sz w:val="24"/>
          <w:szCs w:val="24"/>
        </w:rPr>
      </w:pPr>
      <w:r w:rsidRPr="00905CA4">
        <w:rPr>
          <w:rFonts w:ascii="Century Gothic" w:hAnsi="Century Gothic"/>
          <w:b/>
          <w:bCs/>
          <w:sz w:val="24"/>
          <w:szCs w:val="24"/>
        </w:rPr>
        <w:t xml:space="preserve">Where does funding for SEND come from? </w:t>
      </w:r>
    </w:p>
    <w:p w14:paraId="0E9CF37A" w14:textId="77777777" w:rsidR="000145A5" w:rsidRPr="00905CA4" w:rsidRDefault="000145A5" w:rsidP="000145A5">
      <w:pPr>
        <w:rPr>
          <w:rFonts w:ascii="Century Gothic" w:hAnsi="Century Gothic" w:cs="Arial"/>
          <w:sz w:val="24"/>
          <w:szCs w:val="24"/>
        </w:rPr>
      </w:pPr>
      <w:r w:rsidRPr="00905CA4">
        <w:rPr>
          <w:rFonts w:ascii="Century Gothic" w:hAnsi="Century Gothic" w:cs="Arial"/>
          <w:sz w:val="24"/>
          <w:szCs w:val="24"/>
        </w:rPr>
        <w:t>All mainstream schools have money for special educational needs support and resources. Schools can decide how to spend this money. This is called delegated funding. This part of the school’s income is sometimes called the notional SEND budget or Element 2 funding.</w:t>
      </w:r>
    </w:p>
    <w:p w14:paraId="36354EEF" w14:textId="77777777" w:rsidR="000145A5" w:rsidRPr="00905CA4" w:rsidRDefault="000145A5" w:rsidP="000145A5">
      <w:pPr>
        <w:pStyle w:val="Heading2"/>
        <w:spacing w:before="0" w:after="0"/>
        <w:rPr>
          <w:rFonts w:ascii="Century Gothic" w:hAnsi="Century Gothic"/>
          <w:sz w:val="24"/>
          <w:szCs w:val="24"/>
        </w:rPr>
      </w:pPr>
    </w:p>
    <w:p w14:paraId="362208D5" w14:textId="77777777" w:rsidR="000145A5" w:rsidRPr="00905CA4" w:rsidRDefault="000145A5" w:rsidP="000145A5">
      <w:pPr>
        <w:pStyle w:val="Heading2"/>
        <w:spacing w:before="0" w:after="0"/>
        <w:rPr>
          <w:rFonts w:ascii="Century Gothic" w:hAnsi="Century Gothic"/>
          <w:b/>
          <w:bCs/>
          <w:sz w:val="24"/>
          <w:szCs w:val="24"/>
        </w:rPr>
      </w:pPr>
      <w:r w:rsidRPr="00905CA4">
        <w:rPr>
          <w:rFonts w:ascii="Century Gothic" w:hAnsi="Century Gothic"/>
          <w:b/>
          <w:bCs/>
          <w:sz w:val="24"/>
          <w:szCs w:val="24"/>
        </w:rPr>
        <w:t>SEND Provision in schools can be funded from three sources:</w:t>
      </w:r>
    </w:p>
    <w:p w14:paraId="35D5AA6F" w14:textId="77777777" w:rsidR="000145A5" w:rsidRPr="00905CA4" w:rsidRDefault="000145A5" w:rsidP="000145A5">
      <w:pPr>
        <w:pStyle w:val="Heading3"/>
        <w:spacing w:before="0" w:after="0"/>
        <w:rPr>
          <w:rFonts w:ascii="Century Gothic" w:hAnsi="Century Gothic"/>
          <w:b/>
          <w:bCs/>
          <w:color w:val="auto"/>
          <w:sz w:val="24"/>
          <w:szCs w:val="24"/>
        </w:rPr>
      </w:pPr>
      <w:r w:rsidRPr="00905CA4">
        <w:rPr>
          <w:rFonts w:ascii="Century Gothic" w:hAnsi="Century Gothic"/>
          <w:b/>
          <w:bCs/>
          <w:color w:val="auto"/>
          <w:sz w:val="24"/>
          <w:szCs w:val="24"/>
        </w:rPr>
        <w:t>Element 1</w:t>
      </w:r>
    </w:p>
    <w:p w14:paraId="60F83505" w14:textId="75BE5A53" w:rsidR="000145A5" w:rsidRPr="00905CA4" w:rsidRDefault="000145A5" w:rsidP="000145A5">
      <w:pPr>
        <w:rPr>
          <w:rFonts w:ascii="Century Gothic" w:hAnsi="Century Gothic" w:cs="Arial"/>
          <w:sz w:val="24"/>
          <w:szCs w:val="24"/>
        </w:rPr>
      </w:pPr>
      <w:r w:rsidRPr="00905CA4">
        <w:rPr>
          <w:rFonts w:ascii="Century Gothic" w:hAnsi="Century Gothic" w:cs="Arial"/>
          <w:sz w:val="24"/>
          <w:szCs w:val="24"/>
        </w:rPr>
        <w:t>All schools get money for each pupil at the school. This is called the Age Weighted Pupil Unit (AWPU</w:t>
      </w:r>
      <w:r w:rsidR="001464F7" w:rsidRPr="00905CA4">
        <w:rPr>
          <w:rFonts w:ascii="Century Gothic" w:hAnsi="Century Gothic" w:cs="Arial"/>
          <w:sz w:val="24"/>
          <w:szCs w:val="24"/>
        </w:rPr>
        <w:t>),</w:t>
      </w:r>
      <w:r w:rsidRPr="00905CA4">
        <w:rPr>
          <w:rFonts w:ascii="Century Gothic" w:hAnsi="Century Gothic" w:cs="Arial"/>
          <w:sz w:val="24"/>
          <w:szCs w:val="24"/>
        </w:rPr>
        <w:t xml:space="preserve"> and it is part of schools’ delegated funding. Some of this money is to make general SEND provision. This might, for example, include the cost of providing the Special Educational Needs Co-ordinator (SENCO) and some other resources. </w:t>
      </w:r>
    </w:p>
    <w:p w14:paraId="6469E730" w14:textId="77777777" w:rsidR="000145A5" w:rsidRPr="00905CA4" w:rsidRDefault="000145A5" w:rsidP="000145A5">
      <w:pPr>
        <w:rPr>
          <w:rFonts w:ascii="Century Gothic" w:hAnsi="Century Gothic" w:cs="Arial"/>
          <w:sz w:val="24"/>
          <w:szCs w:val="24"/>
        </w:rPr>
      </w:pPr>
      <w:r w:rsidRPr="00905CA4">
        <w:rPr>
          <w:rFonts w:ascii="Century Gothic" w:hAnsi="Century Gothic" w:cs="Arial"/>
          <w:sz w:val="24"/>
          <w:szCs w:val="24"/>
        </w:rPr>
        <w:t>The local authority provides Element 1 funding for the schools it is responsible for. The local Schools Forum agrees the formula that determines how much money the school gets for each pupil. The Education Funding Agency provides Element 1 funding for academies and free schools.</w:t>
      </w:r>
    </w:p>
    <w:p w14:paraId="4D9B51F8" w14:textId="77777777" w:rsidR="000145A5" w:rsidRPr="00905CA4" w:rsidRDefault="000145A5" w:rsidP="000145A5">
      <w:pPr>
        <w:pStyle w:val="Heading3"/>
        <w:spacing w:before="0" w:after="0"/>
        <w:rPr>
          <w:rFonts w:ascii="Century Gothic" w:hAnsi="Century Gothic"/>
          <w:b/>
          <w:bCs/>
          <w:color w:val="auto"/>
          <w:sz w:val="24"/>
          <w:szCs w:val="24"/>
        </w:rPr>
      </w:pPr>
      <w:r w:rsidRPr="00905CA4">
        <w:rPr>
          <w:rFonts w:ascii="Century Gothic" w:hAnsi="Century Gothic"/>
          <w:b/>
          <w:bCs/>
          <w:color w:val="auto"/>
          <w:sz w:val="24"/>
          <w:szCs w:val="24"/>
        </w:rPr>
        <w:t>Element 2</w:t>
      </w:r>
    </w:p>
    <w:p w14:paraId="5AA4774D" w14:textId="77777777" w:rsidR="000145A5" w:rsidRPr="00905CA4" w:rsidRDefault="000145A5" w:rsidP="000145A5">
      <w:pPr>
        <w:rPr>
          <w:rFonts w:ascii="Century Gothic" w:hAnsi="Century Gothic" w:cs="Arial"/>
          <w:sz w:val="24"/>
          <w:szCs w:val="24"/>
        </w:rPr>
      </w:pPr>
      <w:r w:rsidRPr="00905CA4">
        <w:rPr>
          <w:rFonts w:ascii="Century Gothic" w:hAnsi="Century Gothic" w:cs="Arial"/>
          <w:sz w:val="24"/>
          <w:szCs w:val="24"/>
        </w:rPr>
        <w:t xml:space="preserve">Element 2 funding is to provide SEND support that is additional to or different from the support that most other children get. Pupils who are identified as requiring this level of support should be registered as at SEN Support. </w:t>
      </w:r>
    </w:p>
    <w:p w14:paraId="74F1C9A6" w14:textId="16058BB5" w:rsidR="000145A5" w:rsidRPr="00905CA4" w:rsidRDefault="000145A5" w:rsidP="000145A5">
      <w:pPr>
        <w:rPr>
          <w:rFonts w:ascii="Century Gothic" w:hAnsi="Century Gothic" w:cs="Arial"/>
          <w:sz w:val="24"/>
          <w:szCs w:val="24"/>
        </w:rPr>
      </w:pPr>
      <w:r w:rsidRPr="00905CA4">
        <w:rPr>
          <w:rFonts w:ascii="Century Gothic" w:hAnsi="Century Gothic" w:cs="Arial"/>
          <w:sz w:val="24"/>
          <w:szCs w:val="24"/>
        </w:rPr>
        <w:t>The local authority provides Element 2 funding for schools it is responsible for. The local Schools Forum agrees the formula that determines the amount of money the school gets. The Education Funding Agency provides Element 2 funding for academies and free schools. Element 2 funding is also part of schools’ delegated budget.</w:t>
      </w:r>
    </w:p>
    <w:p w14:paraId="627DF10A" w14:textId="6DCD6EB3" w:rsidR="000145A5" w:rsidRPr="00905CA4" w:rsidRDefault="000145A5" w:rsidP="000145A5">
      <w:pPr>
        <w:rPr>
          <w:rFonts w:ascii="Century Gothic" w:hAnsi="Century Gothic" w:cs="Arial"/>
          <w:sz w:val="24"/>
          <w:szCs w:val="24"/>
        </w:rPr>
      </w:pPr>
      <w:r w:rsidRPr="00905CA4">
        <w:rPr>
          <w:rFonts w:ascii="Century Gothic" w:hAnsi="Century Gothic" w:cs="Arial"/>
          <w:sz w:val="24"/>
          <w:szCs w:val="24"/>
        </w:rPr>
        <w:t>Government guidance says schools should provide up to the first £6,000 of additional or different support for those children who need it, including those with an Education, Health, and Care plan. This does not mean that the school will spend £6,000 on every child with SEND. Sometimes schools use funds to help groups of children. Some children will need less help – and other children may need more.</w:t>
      </w:r>
    </w:p>
    <w:p w14:paraId="1494F6F6" w14:textId="77777777" w:rsidR="000145A5" w:rsidRPr="00905CA4" w:rsidRDefault="000145A5" w:rsidP="000145A5">
      <w:pPr>
        <w:rPr>
          <w:rFonts w:ascii="Century Gothic" w:hAnsi="Century Gothic" w:cs="Arial"/>
          <w:sz w:val="24"/>
          <w:szCs w:val="24"/>
        </w:rPr>
      </w:pPr>
      <w:r w:rsidRPr="00905CA4">
        <w:rPr>
          <w:rFonts w:ascii="Century Gothic" w:hAnsi="Century Gothic" w:cs="Arial"/>
          <w:sz w:val="24"/>
          <w:szCs w:val="24"/>
        </w:rPr>
        <w:t>You can ask your school how it uses its SEND budget to support your child. This information should be included in the annual SEND report on the school’s website.</w:t>
      </w:r>
    </w:p>
    <w:p w14:paraId="31D2E52E" w14:textId="77777777" w:rsidR="000145A5" w:rsidRPr="00905CA4" w:rsidRDefault="000145A5" w:rsidP="000145A5">
      <w:pPr>
        <w:pStyle w:val="Heading3"/>
        <w:spacing w:before="0" w:after="0"/>
        <w:rPr>
          <w:rFonts w:ascii="Century Gothic" w:hAnsi="Century Gothic"/>
          <w:color w:val="auto"/>
          <w:sz w:val="24"/>
          <w:szCs w:val="24"/>
        </w:rPr>
      </w:pPr>
    </w:p>
    <w:p w14:paraId="02AED6D4" w14:textId="77777777" w:rsidR="000145A5" w:rsidRPr="00905CA4" w:rsidRDefault="000145A5" w:rsidP="000145A5">
      <w:pPr>
        <w:pStyle w:val="Heading3"/>
        <w:spacing w:before="0" w:after="0"/>
        <w:rPr>
          <w:rFonts w:ascii="Century Gothic" w:hAnsi="Century Gothic"/>
          <w:b/>
          <w:bCs/>
          <w:color w:val="auto"/>
          <w:sz w:val="24"/>
          <w:szCs w:val="24"/>
        </w:rPr>
      </w:pPr>
      <w:r w:rsidRPr="00905CA4">
        <w:rPr>
          <w:rFonts w:ascii="Century Gothic" w:hAnsi="Century Gothic"/>
          <w:b/>
          <w:bCs/>
          <w:color w:val="auto"/>
          <w:sz w:val="24"/>
          <w:szCs w:val="24"/>
        </w:rPr>
        <w:t>Element 3</w:t>
      </w:r>
    </w:p>
    <w:p w14:paraId="08743093" w14:textId="77777777" w:rsidR="000145A5" w:rsidRPr="00905CA4" w:rsidRDefault="000145A5" w:rsidP="000145A5">
      <w:pPr>
        <w:rPr>
          <w:rFonts w:ascii="Century Gothic" w:hAnsi="Century Gothic" w:cs="Arial"/>
          <w:sz w:val="24"/>
          <w:szCs w:val="24"/>
        </w:rPr>
      </w:pPr>
      <w:r w:rsidRPr="00905CA4">
        <w:rPr>
          <w:rFonts w:ascii="Century Gothic" w:hAnsi="Century Gothic" w:cs="Arial"/>
          <w:sz w:val="24"/>
          <w:szCs w:val="24"/>
        </w:rPr>
        <w:t>Some children have such complex needs that the school may request some additional funding to ‘top-up’ to Elements 1 and 2. The local authority is responsible for managing Element 3 funding (sometimes called the ‘high needs block’), which can be used to make specific provision for an individual child or a group of children, if the school or academy can show there is an exceptional level of need. Element 3 funding is provided through an EHC plan and if schools identify this level of support is required, they will make a request for a special education needs assessment and if agreed an Education, Health and Care plan may be issued.</w:t>
      </w:r>
    </w:p>
    <w:p w14:paraId="6C783BA9" w14:textId="77777777" w:rsidR="000145A5" w:rsidRPr="00905CA4" w:rsidRDefault="000145A5" w:rsidP="000145A5">
      <w:pPr>
        <w:pStyle w:val="Heading2"/>
        <w:spacing w:before="0" w:after="0"/>
        <w:rPr>
          <w:rFonts w:ascii="Century Gothic" w:hAnsi="Century Gothic"/>
          <w:sz w:val="24"/>
          <w:szCs w:val="24"/>
        </w:rPr>
      </w:pPr>
    </w:p>
    <w:p w14:paraId="5B95C56F" w14:textId="77777777" w:rsidR="000145A5" w:rsidRPr="00905CA4" w:rsidRDefault="000145A5" w:rsidP="000145A5">
      <w:pPr>
        <w:pStyle w:val="Heading2"/>
        <w:spacing w:before="0" w:after="0"/>
        <w:rPr>
          <w:rFonts w:ascii="Century Gothic" w:hAnsi="Century Gothic"/>
          <w:b/>
          <w:bCs/>
          <w:sz w:val="24"/>
          <w:szCs w:val="24"/>
        </w:rPr>
      </w:pPr>
      <w:r w:rsidRPr="00905CA4">
        <w:rPr>
          <w:rFonts w:ascii="Century Gothic" w:hAnsi="Century Gothic"/>
          <w:b/>
          <w:bCs/>
          <w:sz w:val="24"/>
          <w:szCs w:val="24"/>
        </w:rPr>
        <w:t>Who manages the school’s SEND resources?</w:t>
      </w:r>
    </w:p>
    <w:p w14:paraId="1BC41868" w14:textId="77777777" w:rsidR="000145A5" w:rsidRPr="00905CA4" w:rsidRDefault="000145A5" w:rsidP="000145A5">
      <w:pPr>
        <w:rPr>
          <w:rFonts w:ascii="Century Gothic" w:hAnsi="Century Gothic" w:cs="Arial"/>
          <w:sz w:val="24"/>
          <w:szCs w:val="24"/>
        </w:rPr>
      </w:pPr>
      <w:r w:rsidRPr="00905CA4">
        <w:rPr>
          <w:rFonts w:ascii="Century Gothic" w:hAnsi="Century Gothic" w:cs="Arial"/>
          <w:sz w:val="24"/>
          <w:szCs w:val="24"/>
        </w:rPr>
        <w:t>“It is for schools, as part of their normal budget planning, to determine their approach to using their resources to support the progress of pupils with SEND. The SENCO, head teacher and governing body or proprietor should establish a clear picture of the resources that are available to the school. They should consider their strategic approach to meeting SEND in the context of the total resources available, including any resources targeted at particular groups, such as using the pupil premium.”  (6.97)</w:t>
      </w:r>
    </w:p>
    <w:p w14:paraId="4B9F4BD6" w14:textId="1E9FFFE2" w:rsidR="000145A5" w:rsidRPr="00905CA4" w:rsidRDefault="000145A5" w:rsidP="000145A5">
      <w:pPr>
        <w:rPr>
          <w:rFonts w:ascii="Century Gothic" w:hAnsi="Century Gothic" w:cs="Arial"/>
          <w:sz w:val="24"/>
          <w:szCs w:val="24"/>
        </w:rPr>
      </w:pPr>
      <w:r w:rsidRPr="00905CA4">
        <w:rPr>
          <w:rFonts w:ascii="Century Gothic" w:hAnsi="Century Gothic" w:cs="Arial"/>
          <w:sz w:val="24"/>
          <w:szCs w:val="24"/>
        </w:rPr>
        <w:t xml:space="preserve">School governors are responsible for the school’s policy on SEND and how the resources are used. The head teacher and the SENCO ensure that the policy is put into practice. The SENCO organises support for individual children, but every teacher is responsible for making sure that your child’s special educational needs are met in the classroom </w:t>
      </w:r>
      <w:r w:rsidR="00B866D2" w:rsidRPr="00905CA4">
        <w:rPr>
          <w:rFonts w:ascii="Century Gothic" w:hAnsi="Century Gothic" w:cs="Arial"/>
          <w:sz w:val="24"/>
          <w:szCs w:val="24"/>
        </w:rPr>
        <w:t xml:space="preserve">by using </w:t>
      </w:r>
      <w:r w:rsidRPr="00905CA4">
        <w:rPr>
          <w:rFonts w:ascii="Century Gothic" w:hAnsi="Century Gothic" w:cs="Arial"/>
          <w:sz w:val="24"/>
          <w:szCs w:val="24"/>
        </w:rPr>
        <w:t xml:space="preserve">Quality First Teaching approaches, which is about teachers using the resources available to them to deliver high quality and inclusive teaching. At the same time schools’ policies should support the planning, implementing, tracking, monitoring, and reviewing of every child’s progress. </w:t>
      </w:r>
    </w:p>
    <w:p w14:paraId="13FE30DB" w14:textId="7D71690B" w:rsidR="000145A5" w:rsidRPr="00905CA4" w:rsidRDefault="000145A5" w:rsidP="000145A5">
      <w:pPr>
        <w:rPr>
          <w:rFonts w:ascii="Century Gothic" w:hAnsi="Century Gothic" w:cs="Arial"/>
          <w:sz w:val="24"/>
          <w:szCs w:val="24"/>
        </w:rPr>
      </w:pPr>
      <w:r w:rsidRPr="00905CA4">
        <w:rPr>
          <w:rFonts w:ascii="Century Gothic" w:hAnsi="Century Gothic" w:cs="Arial"/>
          <w:sz w:val="24"/>
          <w:szCs w:val="24"/>
        </w:rPr>
        <w:t>The SEND Information Report on the school’s website tells you more about the arrangements for SEND support and how to contact the SENCO.</w:t>
      </w:r>
    </w:p>
    <w:p w14:paraId="02D7D4F1" w14:textId="77777777" w:rsidR="000145A5" w:rsidRPr="00905CA4" w:rsidRDefault="000145A5" w:rsidP="000145A5">
      <w:pPr>
        <w:rPr>
          <w:rFonts w:ascii="Century Gothic" w:hAnsi="Century Gothic" w:cs="Arial"/>
          <w:sz w:val="24"/>
          <w:szCs w:val="24"/>
        </w:rPr>
      </w:pPr>
    </w:p>
    <w:p w14:paraId="19A50885" w14:textId="77777777" w:rsidR="000145A5" w:rsidRPr="00905CA4" w:rsidRDefault="000145A5" w:rsidP="000145A5">
      <w:pPr>
        <w:pStyle w:val="Heading2"/>
        <w:spacing w:before="0" w:after="0"/>
        <w:rPr>
          <w:rFonts w:ascii="Century Gothic" w:hAnsi="Century Gothic"/>
          <w:b/>
          <w:bCs/>
          <w:sz w:val="24"/>
          <w:szCs w:val="24"/>
        </w:rPr>
      </w:pPr>
      <w:r w:rsidRPr="00905CA4">
        <w:rPr>
          <w:rFonts w:ascii="Century Gothic" w:hAnsi="Century Gothic"/>
          <w:b/>
          <w:bCs/>
          <w:sz w:val="24"/>
          <w:szCs w:val="24"/>
        </w:rPr>
        <w:t>How can I find out what support and resources my child is getting?</w:t>
      </w:r>
    </w:p>
    <w:p w14:paraId="3F7B2183" w14:textId="2D10E477" w:rsidR="000145A5" w:rsidRPr="00905CA4" w:rsidRDefault="000145A5" w:rsidP="000145A5">
      <w:pPr>
        <w:rPr>
          <w:rFonts w:ascii="Century Gothic" w:hAnsi="Century Gothic" w:cs="Arial"/>
          <w:sz w:val="24"/>
          <w:szCs w:val="24"/>
        </w:rPr>
      </w:pPr>
      <w:r w:rsidRPr="00905CA4">
        <w:rPr>
          <w:rFonts w:ascii="Century Gothic" w:hAnsi="Century Gothic" w:cs="Arial"/>
          <w:sz w:val="24"/>
          <w:szCs w:val="24"/>
        </w:rPr>
        <w:t>The first step is to talk with your child’s teacher or the SENCO. This may be at a parents’ evening, a support plan meeting, or a review. You can ask for a written copy of any support plan or Provision Map in place for your child.</w:t>
      </w:r>
    </w:p>
    <w:p w14:paraId="279495DB" w14:textId="7C196493" w:rsidR="000145A5" w:rsidRDefault="000145A5" w:rsidP="000145A5">
      <w:pPr>
        <w:rPr>
          <w:rFonts w:ascii="Century Gothic" w:hAnsi="Century Gothic" w:cs="Arial"/>
          <w:sz w:val="24"/>
          <w:szCs w:val="24"/>
        </w:rPr>
      </w:pPr>
      <w:r w:rsidRPr="00905CA4">
        <w:rPr>
          <w:rFonts w:ascii="Century Gothic" w:hAnsi="Century Gothic" w:cs="Arial"/>
          <w:sz w:val="24"/>
          <w:szCs w:val="24"/>
        </w:rPr>
        <w:t xml:space="preserve">If the school feels your child requires additional resources and support at SEND Support level, you should be informed and involved in the planning and review of your child’s progress. </w:t>
      </w: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52495B" w:rsidRPr="007D3FBC" w14:paraId="0CEA6020" w14:textId="77777777" w:rsidTr="00143CF9">
        <w:trPr>
          <w:trHeight w:val="7503"/>
        </w:trPr>
        <w:tc>
          <w:tcPr>
            <w:tcW w:w="9918" w:type="dxa"/>
          </w:tcPr>
          <w:p w14:paraId="6E96AD2F" w14:textId="77777777" w:rsidR="0052495B" w:rsidRPr="004E5B34" w:rsidRDefault="0052495B" w:rsidP="00143CF9">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257EDC69" w14:textId="77777777" w:rsidR="0052495B" w:rsidRPr="004E5B34" w:rsidRDefault="0052495B" w:rsidP="00143CF9">
            <w:pPr>
              <w:spacing w:line="259" w:lineRule="auto"/>
              <w:rPr>
                <w:rFonts w:ascii="Century Gothic" w:hAnsi="Century Gothic" w:cs="Arial"/>
              </w:rPr>
            </w:pPr>
          </w:p>
          <w:p w14:paraId="0EDA770C" w14:textId="77777777" w:rsidR="0052495B" w:rsidRPr="004E5B34" w:rsidRDefault="0052495B" w:rsidP="00143CF9">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6E15C519" w14:textId="77777777" w:rsidR="0052495B" w:rsidRPr="004E5B34" w:rsidRDefault="0052495B" w:rsidP="00143CF9">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543743B2" w14:textId="77777777" w:rsidR="0052495B" w:rsidRPr="004E5B34" w:rsidRDefault="0052495B" w:rsidP="00143CF9">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9"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672CE7FE" w14:textId="77777777" w:rsidR="0052495B" w:rsidRDefault="0052495B" w:rsidP="00143CF9">
            <w:pPr>
              <w:spacing w:line="259" w:lineRule="auto"/>
              <w:rPr>
                <w:rFonts w:ascii="Century Gothic" w:hAnsi="Century Gothic" w:cs="Arial"/>
              </w:rPr>
            </w:pPr>
          </w:p>
          <w:p w14:paraId="40CCDD6E" w14:textId="77777777" w:rsidR="0052495B" w:rsidRPr="004E5B34" w:rsidRDefault="0052495B" w:rsidP="00143CF9">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0" w:history="1">
              <w:r w:rsidRPr="004E5B34">
                <w:rPr>
                  <w:rStyle w:val="Hyperlink"/>
                  <w:rFonts w:ascii="Century Gothic" w:hAnsi="Century Gothic" w:cs="Arial"/>
                  <w:b/>
                  <w:bCs/>
                </w:rPr>
                <w:t>Contact Us (iasmanchester.org)</w:t>
              </w:r>
            </w:hyperlink>
          </w:p>
          <w:p w14:paraId="0E579CDB" w14:textId="77777777" w:rsidR="0052495B" w:rsidRPr="004E5B34" w:rsidRDefault="0052495B" w:rsidP="00143CF9">
            <w:pPr>
              <w:spacing w:after="160" w:line="259" w:lineRule="auto"/>
              <w:rPr>
                <w:rFonts w:ascii="Century Gothic" w:hAnsi="Century Gothic" w:cs="Arial"/>
              </w:rPr>
            </w:pPr>
          </w:p>
          <w:p w14:paraId="52293382" w14:textId="77777777" w:rsidR="0052495B" w:rsidRPr="004E5B34" w:rsidRDefault="0052495B" w:rsidP="00143CF9">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1" w:history="1">
              <w:r w:rsidRPr="004E5B34">
                <w:rPr>
                  <w:rStyle w:val="Hyperlink"/>
                  <w:rFonts w:ascii="Century Gothic" w:hAnsi="Century Gothic" w:cs="Arial"/>
                  <w:b/>
                  <w:bCs/>
                </w:rPr>
                <w:t>About SENDIASS Manchester (iasmanchester.org)</w:t>
              </w:r>
            </w:hyperlink>
          </w:p>
          <w:p w14:paraId="11A9D3AD" w14:textId="77777777" w:rsidR="0052495B" w:rsidRPr="004E5B34" w:rsidRDefault="0052495B" w:rsidP="00143CF9">
            <w:pPr>
              <w:spacing w:after="160" w:line="259" w:lineRule="auto"/>
              <w:rPr>
                <w:rFonts w:ascii="Century Gothic" w:hAnsi="Century Gothic" w:cs="Arial"/>
                <w:b/>
                <w:bCs/>
              </w:rPr>
            </w:pPr>
          </w:p>
          <w:p w14:paraId="3B2A5855" w14:textId="77777777" w:rsidR="0052495B" w:rsidRPr="004E5B34" w:rsidRDefault="0052495B" w:rsidP="00143CF9">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2" w:history="1">
              <w:r w:rsidRPr="004E5B34">
                <w:rPr>
                  <w:rStyle w:val="Hyperlink"/>
                  <w:rFonts w:ascii="Century Gothic" w:hAnsi="Century Gothic" w:cs="Arial"/>
                  <w:b/>
                  <w:bCs/>
                </w:rPr>
                <w:t>Listen to our SEND Talk podcasts</w:t>
              </w:r>
            </w:hyperlink>
          </w:p>
          <w:p w14:paraId="628B8F77" w14:textId="77777777" w:rsidR="0052495B" w:rsidRPr="004E5B34" w:rsidRDefault="0052495B" w:rsidP="00143CF9">
            <w:pPr>
              <w:spacing w:after="160" w:line="259" w:lineRule="auto"/>
              <w:rPr>
                <w:rFonts w:ascii="Century Gothic" w:hAnsi="Century Gothic" w:cs="Arial"/>
                <w:b/>
                <w:bCs/>
              </w:rPr>
            </w:pPr>
          </w:p>
          <w:p w14:paraId="1F0BB93A" w14:textId="77777777" w:rsidR="0052495B" w:rsidRPr="004E5B34" w:rsidRDefault="0052495B" w:rsidP="00143CF9">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3" w:history="1">
              <w:r w:rsidRPr="004E5B34">
                <w:rPr>
                  <w:rStyle w:val="Hyperlink"/>
                  <w:rFonts w:ascii="Century Gothic" w:hAnsi="Century Gothic" w:cs="Arial"/>
                  <w:b/>
                  <w:bCs/>
                </w:rPr>
                <w:t>https://www.youtube.com/@SENDIASSManchester</w:t>
              </w:r>
            </w:hyperlink>
          </w:p>
          <w:p w14:paraId="1FCD9640" w14:textId="77777777" w:rsidR="0052495B" w:rsidRPr="004E5B34" w:rsidRDefault="0052495B" w:rsidP="00143CF9">
            <w:pPr>
              <w:jc w:val="both"/>
              <w:rPr>
                <w:rFonts w:ascii="Century Gothic" w:hAnsi="Century Gothic" w:cs="Arial"/>
              </w:rPr>
            </w:pPr>
          </w:p>
          <w:p w14:paraId="2D09E739" w14:textId="77777777" w:rsidR="0052495B" w:rsidRPr="004E5B34" w:rsidRDefault="0052495B" w:rsidP="00143CF9">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1676554A" wp14:editId="54B2AB0F">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65593A9C" wp14:editId="2B2A5C8C">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132D3397" wp14:editId="4820DB55">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F8449B" w14:textId="77777777" w:rsidR="0052495B" w:rsidRPr="004E5B34" w:rsidRDefault="0052495B" w:rsidP="00143CF9">
            <w:pPr>
              <w:rPr>
                <w:rFonts w:ascii="Century Gothic" w:hAnsi="Century Gothic" w:cs="Arial"/>
              </w:rPr>
            </w:pPr>
          </w:p>
          <w:p w14:paraId="226CD26A" w14:textId="77777777" w:rsidR="0052495B" w:rsidRPr="004E5B34" w:rsidRDefault="0052495B" w:rsidP="00143CF9">
            <w:pPr>
              <w:rPr>
                <w:rStyle w:val="Strong"/>
                <w:rFonts w:ascii="Century Gothic" w:hAnsi="Century Gothic" w:cs="Arial"/>
                <w:b w:val="0"/>
                <w:bCs w:val="0"/>
              </w:rPr>
            </w:pPr>
          </w:p>
          <w:p w14:paraId="43D0F9C2" w14:textId="77777777" w:rsidR="0052495B" w:rsidRPr="004E5B34" w:rsidRDefault="0052495B" w:rsidP="00143CF9">
            <w:pPr>
              <w:rPr>
                <w:rStyle w:val="Strong"/>
                <w:rFonts w:ascii="Century Gothic" w:hAnsi="Century Gothic" w:cs="Arial"/>
                <w:b w:val="0"/>
                <w:bCs w:val="0"/>
              </w:rPr>
            </w:pPr>
          </w:p>
          <w:p w14:paraId="430A6BBB" w14:textId="77777777" w:rsidR="0052495B" w:rsidRPr="004E5B34" w:rsidRDefault="0052495B" w:rsidP="00143CF9">
            <w:pPr>
              <w:rPr>
                <w:rStyle w:val="Strong"/>
                <w:rFonts w:ascii="Century Gothic" w:hAnsi="Century Gothic" w:cs="Arial"/>
                <w:b w:val="0"/>
                <w:bCs w:val="0"/>
              </w:rPr>
            </w:pPr>
          </w:p>
          <w:p w14:paraId="01D3C020" w14:textId="77777777" w:rsidR="0052495B" w:rsidRPr="004E5B34" w:rsidRDefault="0052495B" w:rsidP="00143CF9">
            <w:pPr>
              <w:rPr>
                <w:rStyle w:val="Strong"/>
                <w:rFonts w:ascii="Century Gothic" w:hAnsi="Century Gothic" w:cs="Arial"/>
              </w:rPr>
            </w:pPr>
          </w:p>
          <w:p w14:paraId="337E4146" w14:textId="77777777" w:rsidR="0052495B" w:rsidRPr="004E5B34" w:rsidRDefault="0052495B" w:rsidP="00143CF9">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0D9AF65F" w14:textId="77777777" w:rsidR="0052495B" w:rsidRPr="002F737D" w:rsidRDefault="0052495B" w:rsidP="00143CF9">
            <w:pPr>
              <w:rPr>
                <w:rFonts w:ascii="Arial" w:hAnsi="Arial" w:cs="Arial"/>
                <w:sz w:val="24"/>
                <w:szCs w:val="24"/>
              </w:rPr>
            </w:pPr>
          </w:p>
        </w:tc>
      </w:tr>
    </w:tbl>
    <w:p w14:paraId="3E637BC4" w14:textId="77777777" w:rsidR="00905CA4" w:rsidRPr="00905CA4" w:rsidRDefault="00905CA4" w:rsidP="000145A5">
      <w:pPr>
        <w:rPr>
          <w:rFonts w:ascii="Century Gothic" w:hAnsi="Century Gothic" w:cs="Arial"/>
          <w:sz w:val="24"/>
          <w:szCs w:val="24"/>
        </w:rPr>
      </w:pPr>
    </w:p>
    <w:p w14:paraId="62E2AB4E" w14:textId="77777777" w:rsidR="00BA1FCD" w:rsidRPr="00905CA4" w:rsidRDefault="00BA1FCD">
      <w:pPr>
        <w:rPr>
          <w:rStyle w:val="Strong"/>
          <w:rFonts w:ascii="Century Gothic" w:hAnsi="Century Gothic" w:cs="Arial"/>
          <w:b w:val="0"/>
          <w:bCs w:val="0"/>
          <w:sz w:val="24"/>
          <w:szCs w:val="24"/>
        </w:rPr>
      </w:pPr>
      <w:bookmarkStart w:id="0" w:name="_30j0zll" w:colFirst="0" w:colLast="0"/>
      <w:bookmarkEnd w:id="0"/>
    </w:p>
    <w:p w14:paraId="3EC5ED2B" w14:textId="77777777" w:rsidR="00C10429" w:rsidRPr="00905CA4" w:rsidRDefault="00C10429">
      <w:pPr>
        <w:rPr>
          <w:rStyle w:val="Strong"/>
          <w:rFonts w:ascii="Century Gothic" w:hAnsi="Century Gothic" w:cs="Arial"/>
          <w:b w:val="0"/>
          <w:bCs w:val="0"/>
          <w:sz w:val="24"/>
          <w:szCs w:val="24"/>
        </w:rPr>
      </w:pPr>
    </w:p>
    <w:p w14:paraId="0CCABBB6" w14:textId="77777777" w:rsidR="00C10429" w:rsidRPr="00905CA4" w:rsidRDefault="00C10429">
      <w:pPr>
        <w:rPr>
          <w:rStyle w:val="Strong"/>
          <w:rFonts w:ascii="Century Gothic" w:hAnsi="Century Gothic" w:cs="Arial"/>
          <w:b w:val="0"/>
          <w:bCs w:val="0"/>
          <w:sz w:val="24"/>
          <w:szCs w:val="24"/>
        </w:rPr>
      </w:pPr>
    </w:p>
    <w:p w14:paraId="25F188D7" w14:textId="77777777" w:rsidR="00C10429" w:rsidRPr="000E5BC5" w:rsidRDefault="00C10429">
      <w:pPr>
        <w:rPr>
          <w:rStyle w:val="Strong"/>
          <w:rFonts w:ascii="Century Gothic" w:hAnsi="Century Gothic" w:cs="Arial"/>
          <w:b w:val="0"/>
          <w:bCs w:val="0"/>
          <w:sz w:val="24"/>
          <w:szCs w:val="24"/>
        </w:rPr>
      </w:pPr>
    </w:p>
    <w:sectPr w:rsidR="00C10429" w:rsidRPr="000E5BC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7D16F" w14:textId="77777777" w:rsidR="00E53715" w:rsidRDefault="00E53715" w:rsidP="00BA1FCD">
      <w:pPr>
        <w:spacing w:after="0" w:line="240" w:lineRule="auto"/>
      </w:pPr>
      <w:r>
        <w:separator/>
      </w:r>
    </w:p>
  </w:endnote>
  <w:endnote w:type="continuationSeparator" w:id="0">
    <w:p w14:paraId="7CFF2B0D" w14:textId="77777777" w:rsidR="00E53715" w:rsidRDefault="00E53715"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3320" w14:textId="766F4186" w:rsidR="00335285" w:rsidRDefault="00335285" w:rsidP="000E5BC5">
    <w:pPr>
      <w:pStyle w:val="Footer"/>
    </w:pPr>
  </w:p>
  <w:p w14:paraId="64F636C0" w14:textId="77777777" w:rsidR="000E5BC5" w:rsidRDefault="000E5BC5" w:rsidP="000E5BC5">
    <w:pPr>
      <w:pStyle w:val="Footer"/>
    </w:pPr>
  </w:p>
  <w:p w14:paraId="55F10804" w14:textId="19EE0937" w:rsidR="000E5BC5" w:rsidRDefault="000E5BC5" w:rsidP="000E5BC5">
    <w:pPr>
      <w:pStyle w:val="Footer"/>
    </w:pPr>
    <w:r>
      <w:t xml:space="preserve">Funding for SEND Support                                          </w:t>
    </w:r>
    <w:r w:rsidR="00335285">
      <w:t xml:space="preserve">Page </w:t>
    </w:r>
    <w:r>
      <w:t xml:space="preserve"> </w:t>
    </w:r>
    <w:sdt>
      <w:sdtPr>
        <w:id w:val="-8971315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9C5BD7F" w14:textId="77777777" w:rsidR="0092565D" w:rsidRPr="00BA1FCD" w:rsidRDefault="0092565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A2564" w14:textId="77777777" w:rsidR="00E53715" w:rsidRDefault="00E53715" w:rsidP="00BA1FCD">
      <w:pPr>
        <w:spacing w:after="0" w:line="240" w:lineRule="auto"/>
      </w:pPr>
      <w:r>
        <w:separator/>
      </w:r>
    </w:p>
  </w:footnote>
  <w:footnote w:type="continuationSeparator" w:id="0">
    <w:p w14:paraId="5B82294E" w14:textId="77777777" w:rsidR="00E53715" w:rsidRDefault="00E53715"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4"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6"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8"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9" w15:restartNumberingAfterBreak="0">
    <w:nsid w:val="668A14B6"/>
    <w:multiLevelType w:val="hybridMultilevel"/>
    <w:tmpl w:val="A2E4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616752">
    <w:abstractNumId w:val="4"/>
  </w:num>
  <w:num w:numId="2" w16cid:durableId="1606693702">
    <w:abstractNumId w:val="1"/>
  </w:num>
  <w:num w:numId="3" w16cid:durableId="1992903854">
    <w:abstractNumId w:val="6"/>
  </w:num>
  <w:num w:numId="4" w16cid:durableId="720597256">
    <w:abstractNumId w:val="7"/>
  </w:num>
  <w:num w:numId="5" w16cid:durableId="2065133703">
    <w:abstractNumId w:val="3"/>
  </w:num>
  <w:num w:numId="6" w16cid:durableId="1334528306">
    <w:abstractNumId w:val="5"/>
  </w:num>
  <w:num w:numId="7" w16cid:durableId="185798865">
    <w:abstractNumId w:val="8"/>
  </w:num>
  <w:num w:numId="8" w16cid:durableId="1161852447">
    <w:abstractNumId w:val="2"/>
  </w:num>
  <w:num w:numId="9" w16cid:durableId="2099979322">
    <w:abstractNumId w:val="0"/>
  </w:num>
  <w:num w:numId="10" w16cid:durableId="8371583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03BC5"/>
    <w:rsid w:val="000145A5"/>
    <w:rsid w:val="00016ABE"/>
    <w:rsid w:val="000601A0"/>
    <w:rsid w:val="00085672"/>
    <w:rsid w:val="000E5BC5"/>
    <w:rsid w:val="0011257E"/>
    <w:rsid w:val="001464F7"/>
    <w:rsid w:val="002155B6"/>
    <w:rsid w:val="00264CF8"/>
    <w:rsid w:val="00335285"/>
    <w:rsid w:val="0039446F"/>
    <w:rsid w:val="003A22AA"/>
    <w:rsid w:val="003A3B9B"/>
    <w:rsid w:val="003C4F21"/>
    <w:rsid w:val="00420861"/>
    <w:rsid w:val="0043773B"/>
    <w:rsid w:val="00452010"/>
    <w:rsid w:val="004858EB"/>
    <w:rsid w:val="0048718D"/>
    <w:rsid w:val="004A2AE2"/>
    <w:rsid w:val="004B7109"/>
    <w:rsid w:val="004F3094"/>
    <w:rsid w:val="0052495B"/>
    <w:rsid w:val="0052675E"/>
    <w:rsid w:val="0054556C"/>
    <w:rsid w:val="006479B2"/>
    <w:rsid w:val="006540CE"/>
    <w:rsid w:val="00722919"/>
    <w:rsid w:val="007473CF"/>
    <w:rsid w:val="00751406"/>
    <w:rsid w:val="007927C4"/>
    <w:rsid w:val="00847C45"/>
    <w:rsid w:val="008A3EAC"/>
    <w:rsid w:val="008D5B7D"/>
    <w:rsid w:val="00905CA4"/>
    <w:rsid w:val="0092565D"/>
    <w:rsid w:val="00935C5B"/>
    <w:rsid w:val="00950C2F"/>
    <w:rsid w:val="009855C6"/>
    <w:rsid w:val="009E295F"/>
    <w:rsid w:val="00B866D2"/>
    <w:rsid w:val="00B94460"/>
    <w:rsid w:val="00BA1FCD"/>
    <w:rsid w:val="00C10429"/>
    <w:rsid w:val="00CA23CF"/>
    <w:rsid w:val="00CE089B"/>
    <w:rsid w:val="00D06B3A"/>
    <w:rsid w:val="00D1550B"/>
    <w:rsid w:val="00D61F3F"/>
    <w:rsid w:val="00E4419F"/>
    <w:rsid w:val="00E53715"/>
    <w:rsid w:val="00E84DEB"/>
    <w:rsid w:val="00F32538"/>
    <w:rsid w:val="00F91621"/>
    <w:rsid w:val="00F9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5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45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831803">
      <w:bodyDiv w:val="1"/>
      <w:marLeft w:val="0"/>
      <w:marRight w:val="0"/>
      <w:marTop w:val="0"/>
      <w:marBottom w:val="0"/>
      <w:divBdr>
        <w:top w:val="none" w:sz="0" w:space="0" w:color="auto"/>
        <w:left w:val="none" w:sz="0" w:space="0" w:color="auto"/>
        <w:bottom w:val="none" w:sz="0" w:space="0" w:color="auto"/>
        <w:right w:val="none" w:sz="0" w:space="0" w:color="auto"/>
      </w:divBdr>
      <w:divsChild>
        <w:div w:id="78323380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SENDIASSManches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asmanchester.org/podcas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smanchester.org/"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iasmanchester.org/conta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ndiass@manchester.gov.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11</cp:revision>
  <dcterms:created xsi:type="dcterms:W3CDTF">2025-08-11T13:58:00Z</dcterms:created>
  <dcterms:modified xsi:type="dcterms:W3CDTF">2025-08-29T09:09:00Z</dcterms:modified>
</cp:coreProperties>
</file>