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57FF09C8" w:rsidR="00BA1FCD" w:rsidRPr="003750E1" w:rsidRDefault="009E295F">
      <w:pPr>
        <w:rPr>
          <w:rFonts w:ascii="Century Gothic" w:hAnsi="Century Gothic"/>
        </w:rPr>
      </w:pPr>
      <w:r w:rsidRPr="003750E1">
        <w:rPr>
          <w:rFonts w:ascii="Century Gothic" w:hAnsi="Century Gothic"/>
          <w:noProof/>
        </w:rPr>
        <w:drawing>
          <wp:inline distT="0" distB="0" distL="0" distR="0" wp14:anchorId="164DD66A" wp14:editId="65762E07">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Pr="003750E1" w:rsidRDefault="00BA1FCD">
      <w:pPr>
        <w:rPr>
          <w:rFonts w:ascii="Century Gothic" w:hAnsi="Century Gothic"/>
        </w:rPr>
      </w:pPr>
      <w:r w:rsidRPr="003750E1">
        <w:rPr>
          <w:rFonts w:ascii="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57BFF28E" w14:textId="77777777" w:rsidR="00325FFA" w:rsidRPr="003750E1" w:rsidRDefault="00325FFA" w:rsidP="00325FFA">
      <w:pPr>
        <w:pStyle w:val="Heading1"/>
        <w:spacing w:before="0"/>
        <w:rPr>
          <w:rFonts w:ascii="Century Gothic" w:hAnsi="Century Gothic" w:cs="Arial"/>
          <w:b/>
          <w:bCs/>
          <w:color w:val="auto"/>
          <w:sz w:val="24"/>
          <w:szCs w:val="24"/>
        </w:rPr>
      </w:pPr>
      <w:r w:rsidRPr="003750E1">
        <w:rPr>
          <w:rFonts w:ascii="Century Gothic" w:hAnsi="Century Gothic" w:cs="Arial"/>
          <w:b/>
          <w:bCs/>
          <w:color w:val="auto"/>
          <w:sz w:val="24"/>
          <w:szCs w:val="24"/>
        </w:rPr>
        <w:t xml:space="preserve">Access arrangements for exams </w:t>
      </w:r>
    </w:p>
    <w:p w14:paraId="1FB99B34" w14:textId="77777777" w:rsidR="00BA1FCD" w:rsidRPr="003750E1" w:rsidRDefault="00BA1FCD" w:rsidP="00BA1FCD">
      <w:pPr>
        <w:rPr>
          <w:rFonts w:ascii="Century Gothic" w:hAnsi="Century Gothic"/>
          <w:sz w:val="24"/>
          <w:szCs w:val="24"/>
        </w:rPr>
      </w:pPr>
    </w:p>
    <w:p w14:paraId="220C64D4" w14:textId="051BB8E7" w:rsidR="00BA1FCD" w:rsidRPr="003750E1" w:rsidRDefault="00BA1FCD" w:rsidP="00BA1FCD">
      <w:pPr>
        <w:rPr>
          <w:rFonts w:ascii="Century Gothic" w:hAnsi="Century Gothic" w:cs="Arial"/>
          <w:b/>
          <w:bCs/>
          <w:sz w:val="24"/>
          <w:szCs w:val="24"/>
        </w:rPr>
      </w:pPr>
      <w:r w:rsidRPr="003750E1">
        <w:rPr>
          <w:rFonts w:ascii="Century Gothic" w:hAnsi="Century Gothic" w:cs="Arial"/>
          <w:b/>
          <w:bCs/>
          <w:sz w:val="24"/>
          <w:szCs w:val="24"/>
        </w:rPr>
        <w:t>Factsheet Number</w:t>
      </w:r>
      <w:r w:rsidR="00325FFA" w:rsidRPr="003750E1">
        <w:rPr>
          <w:rFonts w:ascii="Century Gothic" w:hAnsi="Century Gothic" w:cs="Arial"/>
          <w:b/>
          <w:bCs/>
          <w:sz w:val="24"/>
          <w:szCs w:val="24"/>
        </w:rPr>
        <w:t xml:space="preserve"> 11</w:t>
      </w:r>
      <w:r w:rsidRPr="003750E1">
        <w:rPr>
          <w:rFonts w:ascii="Century Gothic" w:hAnsi="Century Gothic" w:cs="Arial"/>
          <w:b/>
          <w:bCs/>
          <w:sz w:val="24"/>
          <w:szCs w:val="24"/>
        </w:rPr>
        <w:t xml:space="preserve">                         </w:t>
      </w:r>
      <w:r w:rsidR="00325FFA" w:rsidRPr="003750E1">
        <w:rPr>
          <w:rFonts w:ascii="Century Gothic" w:hAnsi="Century Gothic" w:cs="Arial"/>
          <w:b/>
          <w:bCs/>
          <w:sz w:val="24"/>
          <w:szCs w:val="24"/>
        </w:rPr>
        <w:t xml:space="preserve">         </w:t>
      </w:r>
      <w:r w:rsidR="00A87B68" w:rsidRPr="003750E1">
        <w:rPr>
          <w:rFonts w:ascii="Century Gothic" w:hAnsi="Century Gothic" w:cs="Arial"/>
          <w:b/>
          <w:bCs/>
          <w:sz w:val="24"/>
          <w:szCs w:val="24"/>
        </w:rPr>
        <w:tab/>
      </w:r>
      <w:r w:rsidR="00C3027D" w:rsidRPr="003750E1">
        <w:rPr>
          <w:rFonts w:ascii="Century Gothic" w:hAnsi="Century Gothic" w:cs="Arial"/>
          <w:b/>
          <w:bCs/>
          <w:sz w:val="24"/>
          <w:szCs w:val="24"/>
        </w:rPr>
        <w:t xml:space="preserve">                  </w:t>
      </w:r>
      <w:r w:rsidR="00401ED4" w:rsidRPr="003750E1">
        <w:rPr>
          <w:rFonts w:ascii="Century Gothic" w:hAnsi="Century Gothic" w:cs="Arial"/>
          <w:b/>
          <w:bCs/>
          <w:sz w:val="24"/>
          <w:szCs w:val="24"/>
        </w:rPr>
        <w:t xml:space="preserve">                 </w:t>
      </w:r>
      <w:r w:rsidR="00D61F3F" w:rsidRPr="003750E1">
        <w:rPr>
          <w:rFonts w:ascii="Century Gothic" w:hAnsi="Century Gothic" w:cs="Arial"/>
          <w:b/>
          <w:bCs/>
          <w:sz w:val="24"/>
          <w:szCs w:val="24"/>
        </w:rPr>
        <w:t>August 202</w:t>
      </w:r>
      <w:r w:rsidR="00FC3D12">
        <w:rPr>
          <w:rFonts w:ascii="Century Gothic" w:hAnsi="Century Gothic" w:cs="Arial"/>
          <w:b/>
          <w:bCs/>
          <w:sz w:val="24"/>
          <w:szCs w:val="24"/>
        </w:rPr>
        <w:t>5</w:t>
      </w:r>
    </w:p>
    <w:p w14:paraId="33469D45" w14:textId="45C3E531" w:rsidR="00BA1FCD" w:rsidRPr="003750E1" w:rsidRDefault="00BA1FCD">
      <w:pPr>
        <w:rPr>
          <w:rStyle w:val="Strong"/>
          <w:rFonts w:ascii="Century Gothic" w:hAnsi="Century Gothic" w:cs="Arial"/>
          <w:sz w:val="24"/>
          <w:szCs w:val="24"/>
        </w:rPr>
      </w:pPr>
      <w:r w:rsidRPr="003750E1">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6922E182" w14:textId="77777777" w:rsidR="00C64208" w:rsidRPr="00C64208" w:rsidRDefault="00C64208" w:rsidP="00C64208">
      <w:pPr>
        <w:tabs>
          <w:tab w:val="left" w:pos="4050"/>
        </w:tabs>
        <w:spacing w:line="240" w:lineRule="auto"/>
        <w:jc w:val="both"/>
        <w:rPr>
          <w:rFonts w:ascii="Century Gothic" w:hAnsi="Century Gothic" w:cs="Arial"/>
          <w:bCs/>
          <w:sz w:val="24"/>
          <w:szCs w:val="24"/>
        </w:rPr>
      </w:pPr>
      <w:r w:rsidRPr="00C64208">
        <w:rPr>
          <w:rFonts w:ascii="Century Gothic" w:hAnsi="Century Gothic" w:cs="Arial"/>
          <w:b/>
          <w:sz w:val="24"/>
          <w:szCs w:val="24"/>
        </w:rPr>
        <w:t>Disclaimer</w:t>
      </w:r>
      <w:r w:rsidRPr="00C64208">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7AA924B6" w14:textId="77777777" w:rsidR="00C64208" w:rsidRDefault="00C64208" w:rsidP="00325FFA">
      <w:pPr>
        <w:pStyle w:val="Heading2"/>
        <w:spacing w:before="0" w:after="0" w:line="240" w:lineRule="auto"/>
        <w:rPr>
          <w:rFonts w:ascii="Century Gothic" w:hAnsi="Century Gothic"/>
          <w:b/>
          <w:bCs/>
          <w:sz w:val="24"/>
          <w:szCs w:val="24"/>
        </w:rPr>
      </w:pPr>
    </w:p>
    <w:p w14:paraId="7E4BE46D" w14:textId="47AACD2F" w:rsidR="00C64208" w:rsidRPr="00C64208" w:rsidRDefault="00C64208" w:rsidP="00325FFA">
      <w:pPr>
        <w:pStyle w:val="Heading2"/>
        <w:spacing w:before="0" w:after="0" w:line="240" w:lineRule="auto"/>
        <w:rPr>
          <w:rFonts w:ascii="Century Gothic" w:hAnsi="Century Gothic"/>
          <w:sz w:val="24"/>
          <w:szCs w:val="24"/>
        </w:rPr>
      </w:pPr>
      <w:r w:rsidRPr="00C64208">
        <w:rPr>
          <w:rFonts w:ascii="Century Gothic" w:hAnsi="Century Gothic"/>
          <w:sz w:val="24"/>
          <w:szCs w:val="24"/>
        </w:rPr>
        <w:t>The hyperlinks in this factsheet are correct as of August 205.</w:t>
      </w:r>
    </w:p>
    <w:p w14:paraId="4129DD6D" w14:textId="45F25FA4" w:rsidR="00325FFA" w:rsidRPr="003750E1" w:rsidRDefault="00325FFA" w:rsidP="00325FFA">
      <w:pPr>
        <w:pStyle w:val="Heading2"/>
        <w:spacing w:before="0" w:after="0" w:line="240" w:lineRule="auto"/>
        <w:rPr>
          <w:rFonts w:ascii="Century Gothic" w:hAnsi="Century Gothic"/>
          <w:b/>
          <w:bCs/>
          <w:sz w:val="24"/>
          <w:szCs w:val="24"/>
        </w:rPr>
      </w:pPr>
      <w:r w:rsidRPr="003750E1">
        <w:rPr>
          <w:rFonts w:ascii="Century Gothic" w:hAnsi="Century Gothic"/>
          <w:b/>
          <w:bCs/>
          <w:sz w:val="24"/>
          <w:szCs w:val="24"/>
        </w:rPr>
        <w:t xml:space="preserve">What are access arrangements? </w:t>
      </w:r>
    </w:p>
    <w:p w14:paraId="2C70B54D" w14:textId="4A8D205B" w:rsidR="00227295" w:rsidRPr="003750E1" w:rsidRDefault="00227295" w:rsidP="00227295">
      <w:pPr>
        <w:spacing w:after="0" w:line="240" w:lineRule="auto"/>
        <w:rPr>
          <w:rFonts w:ascii="Century Gothic" w:eastAsia="Proxima Nova" w:hAnsi="Century Gothic" w:cs="Arial"/>
          <w:sz w:val="24"/>
          <w:szCs w:val="24"/>
        </w:rPr>
      </w:pPr>
      <w:r w:rsidRPr="003750E1">
        <w:rPr>
          <w:rFonts w:ascii="Century Gothic" w:eastAsia="Proxima Nova" w:hAnsi="Century Gothic" w:cs="Arial"/>
          <w:sz w:val="24"/>
          <w:szCs w:val="24"/>
        </w:rPr>
        <w:t xml:space="preserve">Access arrangements allow candidates/learners with special educational needs, disabilities or temporary injuries to access the assessment without </w:t>
      </w:r>
      <w:r w:rsidR="003B3807" w:rsidRPr="003750E1">
        <w:rPr>
          <w:rFonts w:ascii="Century Gothic" w:eastAsia="Proxima Nova" w:hAnsi="Century Gothic" w:cs="Arial"/>
          <w:sz w:val="24"/>
          <w:szCs w:val="24"/>
        </w:rPr>
        <w:t xml:space="preserve">changing the demands of the assessment, for example using readers, scribes and braille question papers. In this way, Awarding Bodies will comply with the duty of the Equality Act 2010 to make reasonable adjustments. </w:t>
      </w:r>
    </w:p>
    <w:p w14:paraId="7B53F8D8" w14:textId="77777777" w:rsidR="003B3807" w:rsidRPr="003750E1" w:rsidRDefault="003B3807" w:rsidP="00227295">
      <w:pPr>
        <w:spacing w:after="0" w:line="240" w:lineRule="auto"/>
        <w:rPr>
          <w:rFonts w:ascii="Century Gothic" w:eastAsia="Proxima Nova" w:hAnsi="Century Gothic" w:cs="Arial"/>
          <w:sz w:val="24"/>
          <w:szCs w:val="24"/>
        </w:rPr>
      </w:pPr>
    </w:p>
    <w:p w14:paraId="7CE463D2" w14:textId="250A1B59" w:rsidR="00DC6F51" w:rsidRPr="003750E1" w:rsidRDefault="00DC6F51" w:rsidP="00227295">
      <w:pPr>
        <w:spacing w:after="0" w:line="240" w:lineRule="auto"/>
        <w:rPr>
          <w:rFonts w:ascii="Century Gothic" w:eastAsia="Proxima Nova" w:hAnsi="Century Gothic" w:cs="Arial"/>
          <w:sz w:val="24"/>
          <w:szCs w:val="24"/>
        </w:rPr>
      </w:pPr>
      <w:r w:rsidRPr="003750E1">
        <w:rPr>
          <w:rFonts w:ascii="Century Gothic" w:eastAsia="Proxima Nova" w:hAnsi="Century Gothic" w:cs="Arial"/>
          <w:sz w:val="24"/>
          <w:szCs w:val="24"/>
        </w:rPr>
        <w:t>Things to consider for access arrangements:</w:t>
      </w:r>
    </w:p>
    <w:p w14:paraId="056A1A1C" w14:textId="77777777" w:rsidR="00DC6F51" w:rsidRPr="003750E1" w:rsidRDefault="00DC6F51" w:rsidP="00227295">
      <w:pPr>
        <w:spacing w:after="0" w:line="240" w:lineRule="auto"/>
        <w:rPr>
          <w:rFonts w:ascii="Century Gothic" w:eastAsia="Proxima Nova" w:hAnsi="Century Gothic" w:cs="Arial"/>
          <w:sz w:val="24"/>
          <w:szCs w:val="24"/>
        </w:rPr>
      </w:pPr>
    </w:p>
    <w:p w14:paraId="2DD12D0D" w14:textId="6483B983" w:rsidR="00325FFA" w:rsidRPr="003750E1" w:rsidRDefault="00325FFA" w:rsidP="00325FFA">
      <w:pPr>
        <w:pStyle w:val="ListParagraph"/>
        <w:numPr>
          <w:ilvl w:val="0"/>
          <w:numId w:val="10"/>
        </w:numPr>
        <w:spacing w:after="0" w:line="240" w:lineRule="auto"/>
        <w:rPr>
          <w:rFonts w:ascii="Century Gothic" w:eastAsia="Proxima Nova" w:hAnsi="Century Gothic" w:cs="Arial"/>
          <w:sz w:val="24"/>
          <w:szCs w:val="24"/>
        </w:rPr>
      </w:pPr>
      <w:r w:rsidRPr="003750E1">
        <w:rPr>
          <w:rFonts w:ascii="Century Gothic" w:eastAsia="Proxima Nova" w:hAnsi="Century Gothic" w:cs="Arial"/>
          <w:sz w:val="24"/>
          <w:szCs w:val="24"/>
        </w:rPr>
        <w:t>Is the learner disabled under the terms of the Equality Act 2010?</w:t>
      </w:r>
    </w:p>
    <w:p w14:paraId="4CBA1CB8" w14:textId="77777777" w:rsidR="00325FFA" w:rsidRPr="003750E1" w:rsidRDefault="00325FFA" w:rsidP="00325FFA">
      <w:pPr>
        <w:pStyle w:val="ListParagraph"/>
        <w:numPr>
          <w:ilvl w:val="0"/>
          <w:numId w:val="10"/>
        </w:numPr>
        <w:spacing w:after="0" w:line="240" w:lineRule="auto"/>
        <w:rPr>
          <w:rFonts w:ascii="Century Gothic" w:eastAsia="Proxima Nova" w:hAnsi="Century Gothic" w:cs="Arial"/>
          <w:sz w:val="24"/>
          <w:szCs w:val="24"/>
        </w:rPr>
      </w:pPr>
      <w:r w:rsidRPr="003750E1">
        <w:rPr>
          <w:rFonts w:ascii="Century Gothic" w:eastAsia="Proxima Nova" w:hAnsi="Century Gothic" w:cs="Arial"/>
          <w:sz w:val="24"/>
          <w:szCs w:val="24"/>
        </w:rPr>
        <w:t>What is the learner’s normal way of working (NWW) in the classroom?</w:t>
      </w:r>
    </w:p>
    <w:p w14:paraId="1AECA63F" w14:textId="4AEAA936" w:rsidR="00325FFA" w:rsidRPr="003750E1" w:rsidRDefault="00325FFA" w:rsidP="00325FFA">
      <w:pPr>
        <w:pStyle w:val="ListParagraph"/>
        <w:numPr>
          <w:ilvl w:val="0"/>
          <w:numId w:val="10"/>
        </w:numPr>
        <w:spacing w:after="0" w:line="240" w:lineRule="auto"/>
        <w:rPr>
          <w:rFonts w:ascii="Century Gothic" w:eastAsia="Proxima Nova" w:hAnsi="Century Gothic" w:cs="Arial"/>
          <w:sz w:val="24"/>
          <w:szCs w:val="24"/>
        </w:rPr>
      </w:pPr>
      <w:r w:rsidRPr="003750E1">
        <w:rPr>
          <w:rFonts w:ascii="Century Gothic" w:eastAsia="Proxima Nova" w:hAnsi="Century Gothic" w:cs="Arial"/>
          <w:sz w:val="24"/>
          <w:szCs w:val="24"/>
        </w:rPr>
        <w:t>Does the learner need access arrangements for all exams or just some exams?</w:t>
      </w:r>
    </w:p>
    <w:p w14:paraId="03B28BD8" w14:textId="77777777" w:rsidR="00325FFA" w:rsidRPr="003750E1" w:rsidRDefault="00325FFA" w:rsidP="00325FFA">
      <w:pPr>
        <w:pStyle w:val="ListParagraph"/>
        <w:spacing w:line="240" w:lineRule="auto"/>
        <w:rPr>
          <w:rFonts w:ascii="Century Gothic" w:eastAsia="Proxima Nova" w:hAnsi="Century Gothic" w:cs="Arial"/>
          <w:sz w:val="24"/>
          <w:szCs w:val="24"/>
        </w:rPr>
      </w:pPr>
    </w:p>
    <w:p w14:paraId="1546A3B9" w14:textId="396BD6F6" w:rsidR="00325FFA" w:rsidRPr="003750E1" w:rsidRDefault="00325FFA" w:rsidP="00325FFA">
      <w:pPr>
        <w:spacing w:line="240" w:lineRule="auto"/>
        <w:jc w:val="both"/>
        <w:rPr>
          <w:rFonts w:ascii="Century Gothic" w:eastAsia="Proxima Nova" w:hAnsi="Century Gothic" w:cs="Arial"/>
          <w:sz w:val="24"/>
          <w:szCs w:val="24"/>
        </w:rPr>
      </w:pPr>
      <w:r w:rsidRPr="003750E1">
        <w:rPr>
          <w:rFonts w:ascii="Century Gothic" w:eastAsia="Proxima Nova" w:hAnsi="Century Gothic" w:cs="Arial"/>
          <w:sz w:val="24"/>
          <w:szCs w:val="24"/>
        </w:rPr>
        <w:t>For most access arrangements, an assessment by a specialist teacher</w:t>
      </w:r>
      <w:r w:rsidR="00D5230E">
        <w:rPr>
          <w:rFonts w:ascii="Century Gothic" w:eastAsia="Proxima Nova" w:hAnsi="Century Gothic" w:cs="Arial"/>
          <w:sz w:val="24"/>
          <w:szCs w:val="24"/>
        </w:rPr>
        <w:t xml:space="preserve"> in school</w:t>
      </w:r>
      <w:r w:rsidR="006E0F69">
        <w:rPr>
          <w:rFonts w:ascii="Century Gothic" w:eastAsia="Proxima Nova" w:hAnsi="Century Gothic" w:cs="Arial"/>
          <w:sz w:val="24"/>
          <w:szCs w:val="24"/>
        </w:rPr>
        <w:t xml:space="preserve"> is required</w:t>
      </w:r>
      <w:r w:rsidRPr="003750E1">
        <w:rPr>
          <w:rFonts w:ascii="Century Gothic" w:eastAsia="Proxima Nova" w:hAnsi="Century Gothic" w:cs="Arial"/>
          <w:sz w:val="24"/>
          <w:szCs w:val="24"/>
        </w:rPr>
        <w:t xml:space="preserve">. Students with known disabilities will only need to provide medical evidence, for example, a student who requires a word processor due to a physical disability. </w:t>
      </w:r>
      <w:r w:rsidR="006E0F69">
        <w:rPr>
          <w:rFonts w:ascii="Century Gothic" w:eastAsia="Proxima Nova" w:hAnsi="Century Gothic" w:cs="Arial"/>
          <w:sz w:val="24"/>
          <w:szCs w:val="24"/>
        </w:rPr>
        <w:t>If your child has a completed Educational Psychologist assessment, the report may recommend exam access arrangements, and this can be passed on the school.</w:t>
      </w:r>
    </w:p>
    <w:p w14:paraId="3611D0CE" w14:textId="1C420CD4" w:rsidR="006E0F69" w:rsidRDefault="006E0F69" w:rsidP="00FC3D12">
      <w:pPr>
        <w:spacing w:line="240" w:lineRule="auto"/>
        <w:jc w:val="both"/>
        <w:rPr>
          <w:rFonts w:ascii="Century Gothic" w:eastAsia="Proxima Nova" w:hAnsi="Century Gothic" w:cs="Arial"/>
          <w:sz w:val="24"/>
          <w:szCs w:val="24"/>
        </w:rPr>
      </w:pPr>
      <w:r>
        <w:rPr>
          <w:rFonts w:ascii="Century Gothic" w:eastAsia="Proxima Nova" w:hAnsi="Century Gothic" w:cs="Arial"/>
          <w:sz w:val="24"/>
          <w:szCs w:val="24"/>
        </w:rPr>
        <w:t>Any</w:t>
      </w:r>
      <w:r w:rsidR="00325FFA" w:rsidRPr="003750E1">
        <w:rPr>
          <w:rFonts w:ascii="Century Gothic" w:eastAsia="Proxima Nova" w:hAnsi="Century Gothic" w:cs="Arial"/>
          <w:sz w:val="24"/>
          <w:szCs w:val="24"/>
        </w:rPr>
        <w:t xml:space="preserve"> access arrangements applied for must </w:t>
      </w:r>
      <w:r>
        <w:rPr>
          <w:rFonts w:ascii="Century Gothic" w:eastAsia="Proxima Nova" w:hAnsi="Century Gothic" w:cs="Arial"/>
          <w:sz w:val="24"/>
          <w:szCs w:val="24"/>
        </w:rPr>
        <w:t xml:space="preserve">either be dependent on need and </w:t>
      </w:r>
      <w:r w:rsidR="00325FFA" w:rsidRPr="003750E1">
        <w:rPr>
          <w:rFonts w:ascii="Century Gothic" w:eastAsia="Proxima Nova" w:hAnsi="Century Gothic" w:cs="Arial"/>
          <w:sz w:val="24"/>
          <w:szCs w:val="24"/>
        </w:rPr>
        <w:t xml:space="preserve">be the student’s normal way of working in the classroom. </w:t>
      </w:r>
      <w:r>
        <w:rPr>
          <w:rFonts w:ascii="Century Gothic" w:eastAsia="Proxima Nova" w:hAnsi="Century Gothic" w:cs="Arial"/>
          <w:sz w:val="24"/>
          <w:szCs w:val="24"/>
        </w:rPr>
        <w:t>For example, if</w:t>
      </w:r>
      <w:r w:rsidR="00325FFA" w:rsidRPr="003750E1">
        <w:rPr>
          <w:rFonts w:ascii="Century Gothic" w:eastAsia="Proxima Nova" w:hAnsi="Century Gothic" w:cs="Arial"/>
          <w:sz w:val="24"/>
          <w:szCs w:val="24"/>
        </w:rPr>
        <w:t xml:space="preserve"> they need any assistive technology e.g., tablet, they should be using this in class too. </w:t>
      </w:r>
    </w:p>
    <w:p w14:paraId="6187F916" w14:textId="79225B34" w:rsidR="00310F96" w:rsidRDefault="00325FFA" w:rsidP="00FC3D12">
      <w:pPr>
        <w:spacing w:line="240" w:lineRule="auto"/>
        <w:jc w:val="both"/>
        <w:rPr>
          <w:rFonts w:ascii="Century Gothic" w:eastAsia="Proxima Nova" w:hAnsi="Century Gothic" w:cs="Arial"/>
          <w:sz w:val="24"/>
          <w:szCs w:val="24"/>
        </w:rPr>
      </w:pPr>
      <w:r w:rsidRPr="003750E1">
        <w:rPr>
          <w:rFonts w:ascii="Century Gothic" w:eastAsia="Proxima Nova" w:hAnsi="Century Gothic" w:cs="Arial"/>
          <w:sz w:val="24"/>
          <w:szCs w:val="24"/>
        </w:rPr>
        <w:lastRenderedPageBreak/>
        <w:t>Parents should speak with the Special Educational Needs Co-ordinator in the school (SENCO) ideally before the student starts their course of study i.e., from the end of Year 9 ready for their General Certificate of Second Education (GCSEs) in Year 11.</w:t>
      </w:r>
      <w:r w:rsidR="00D5230E">
        <w:rPr>
          <w:rFonts w:ascii="Century Gothic" w:eastAsia="Proxima Nova" w:hAnsi="Century Gothic" w:cs="Arial"/>
          <w:sz w:val="24"/>
          <w:szCs w:val="24"/>
        </w:rPr>
        <w:t xml:space="preserve"> </w:t>
      </w:r>
    </w:p>
    <w:p w14:paraId="70C800F3" w14:textId="0333D0A7" w:rsidR="00325FFA" w:rsidRPr="003750E1" w:rsidRDefault="00D5230E" w:rsidP="00FC3D12">
      <w:pPr>
        <w:spacing w:line="240" w:lineRule="auto"/>
        <w:jc w:val="both"/>
        <w:rPr>
          <w:rFonts w:ascii="Century Gothic" w:eastAsia="Proxima Nova" w:hAnsi="Century Gothic" w:cs="Arial"/>
          <w:sz w:val="24"/>
          <w:szCs w:val="24"/>
        </w:rPr>
      </w:pPr>
      <w:r>
        <w:rPr>
          <w:rFonts w:ascii="Century Gothic" w:eastAsia="Proxima Nova" w:hAnsi="Century Gothic" w:cs="Arial"/>
          <w:sz w:val="24"/>
          <w:szCs w:val="24"/>
        </w:rPr>
        <w:t xml:space="preserve">Pupils </w:t>
      </w:r>
      <w:r w:rsidR="00310F96">
        <w:rPr>
          <w:rFonts w:ascii="Century Gothic" w:eastAsia="Proxima Nova" w:hAnsi="Century Gothic" w:cs="Arial"/>
          <w:sz w:val="24"/>
          <w:szCs w:val="24"/>
        </w:rPr>
        <w:t>must</w:t>
      </w:r>
      <w:r>
        <w:rPr>
          <w:rFonts w:ascii="Century Gothic" w:eastAsia="Proxima Nova" w:hAnsi="Century Gothic" w:cs="Arial"/>
          <w:sz w:val="24"/>
          <w:szCs w:val="24"/>
        </w:rPr>
        <w:t xml:space="preserve"> ensure they are </w:t>
      </w:r>
      <w:r w:rsidR="006E0F69">
        <w:rPr>
          <w:rFonts w:ascii="Century Gothic" w:eastAsia="Proxima Nova" w:hAnsi="Century Gothic" w:cs="Arial"/>
          <w:sz w:val="24"/>
          <w:szCs w:val="24"/>
        </w:rPr>
        <w:t>(re)</w:t>
      </w:r>
      <w:r>
        <w:rPr>
          <w:rFonts w:ascii="Century Gothic" w:eastAsia="Proxima Nova" w:hAnsi="Century Gothic" w:cs="Arial"/>
          <w:sz w:val="24"/>
          <w:szCs w:val="24"/>
        </w:rPr>
        <w:t>assessed</w:t>
      </w:r>
      <w:r w:rsidR="00310F96">
        <w:rPr>
          <w:rFonts w:ascii="Century Gothic" w:eastAsia="Proxima Nova" w:hAnsi="Century Gothic" w:cs="Arial"/>
          <w:sz w:val="24"/>
          <w:szCs w:val="24"/>
        </w:rPr>
        <w:t xml:space="preserve"> for exam access arrangements by school in Autumn term of year 11. T</w:t>
      </w:r>
      <w:r>
        <w:rPr>
          <w:rFonts w:ascii="Century Gothic" w:eastAsia="Proxima Nova" w:hAnsi="Century Gothic" w:cs="Arial"/>
          <w:sz w:val="24"/>
          <w:szCs w:val="24"/>
        </w:rPr>
        <w:t xml:space="preserve">his </w:t>
      </w:r>
      <w:r w:rsidR="00310F96">
        <w:rPr>
          <w:rFonts w:ascii="Century Gothic" w:eastAsia="Proxima Nova" w:hAnsi="Century Gothic" w:cs="Arial"/>
          <w:sz w:val="24"/>
          <w:szCs w:val="24"/>
        </w:rPr>
        <w:t>is to give time for the arrangements to be agreed and allows the</w:t>
      </w:r>
      <w:r>
        <w:rPr>
          <w:rFonts w:ascii="Century Gothic" w:eastAsia="Proxima Nova" w:hAnsi="Century Gothic" w:cs="Arial"/>
          <w:sz w:val="24"/>
          <w:szCs w:val="24"/>
        </w:rPr>
        <w:t xml:space="preserve"> SENCO to send the request to the relevant </w:t>
      </w:r>
      <w:r w:rsidR="00310F96">
        <w:rPr>
          <w:rFonts w:ascii="Century Gothic" w:eastAsia="Proxima Nova" w:hAnsi="Century Gothic" w:cs="Arial"/>
          <w:sz w:val="24"/>
          <w:szCs w:val="24"/>
        </w:rPr>
        <w:t>Awarding bodies before the February deadline</w:t>
      </w:r>
      <w:r w:rsidR="00F6417B">
        <w:rPr>
          <w:rFonts w:ascii="Century Gothic" w:eastAsia="Proxima Nova" w:hAnsi="Century Gothic" w:cs="Arial"/>
          <w:sz w:val="24"/>
          <w:szCs w:val="24"/>
        </w:rPr>
        <w:t xml:space="preserve"> before GCSEs</w:t>
      </w:r>
      <w:r w:rsidR="00310F96">
        <w:rPr>
          <w:rFonts w:ascii="Century Gothic" w:eastAsia="Proxima Nova" w:hAnsi="Century Gothic" w:cs="Arial"/>
          <w:sz w:val="24"/>
          <w:szCs w:val="24"/>
        </w:rPr>
        <w:t xml:space="preserve">. Parents of pupils in year 11 can ask the school SENCO of a copy of the agreed exam access arrangements. </w:t>
      </w:r>
    </w:p>
    <w:p w14:paraId="06584820" w14:textId="26464601" w:rsidR="00325FFA" w:rsidRPr="003750E1" w:rsidRDefault="00325FFA" w:rsidP="00325FFA">
      <w:pPr>
        <w:spacing w:line="240" w:lineRule="auto"/>
        <w:rPr>
          <w:rFonts w:ascii="Century Gothic" w:eastAsia="Proxima Nova" w:hAnsi="Century Gothic" w:cs="Arial"/>
          <w:sz w:val="24"/>
          <w:szCs w:val="24"/>
        </w:rPr>
      </w:pPr>
      <w:r w:rsidRPr="003750E1">
        <w:rPr>
          <w:rFonts w:ascii="Century Gothic" w:eastAsia="Proxima Nova" w:hAnsi="Century Gothic" w:cs="Arial"/>
          <w:sz w:val="24"/>
          <w:szCs w:val="24"/>
        </w:rPr>
        <w:t>Colleges do not have to have a SENCO, but they should have an equivalent. The earlier the discussion the better so that access arrangements can be trialled and become the student’s normal way of working.</w:t>
      </w:r>
    </w:p>
    <w:p w14:paraId="03D3A322" w14:textId="77777777" w:rsidR="00325FFA" w:rsidRPr="003750E1" w:rsidRDefault="00325FFA" w:rsidP="00325FFA">
      <w:pPr>
        <w:pStyle w:val="Heading2"/>
        <w:spacing w:before="0" w:after="0" w:line="240" w:lineRule="auto"/>
        <w:rPr>
          <w:rFonts w:ascii="Century Gothic" w:hAnsi="Century Gothic"/>
          <w:b/>
          <w:bCs/>
          <w:sz w:val="24"/>
          <w:szCs w:val="24"/>
        </w:rPr>
      </w:pPr>
      <w:r w:rsidRPr="003750E1">
        <w:rPr>
          <w:rFonts w:ascii="Century Gothic" w:hAnsi="Century Gothic"/>
          <w:b/>
          <w:bCs/>
          <w:sz w:val="24"/>
          <w:szCs w:val="24"/>
        </w:rPr>
        <w:t>What Access Arrangements are possible?</w:t>
      </w:r>
    </w:p>
    <w:p w14:paraId="692608F8" w14:textId="77777777" w:rsidR="00325FFA" w:rsidRPr="003750E1" w:rsidRDefault="00325FFA" w:rsidP="00325FFA">
      <w:pPr>
        <w:spacing w:line="240" w:lineRule="auto"/>
        <w:rPr>
          <w:rFonts w:ascii="Century Gothic" w:eastAsia="Open Sans" w:hAnsi="Century Gothic" w:cs="Arial"/>
          <w:sz w:val="24"/>
          <w:szCs w:val="24"/>
        </w:rPr>
      </w:pPr>
      <w:r w:rsidRPr="003750E1">
        <w:rPr>
          <w:rFonts w:ascii="Century Gothic" w:eastAsia="Open Sans" w:hAnsi="Century Gothic" w:cs="Arial"/>
          <w:sz w:val="24"/>
          <w:szCs w:val="24"/>
        </w:rPr>
        <w:t>Access arrangements might include:</w:t>
      </w:r>
    </w:p>
    <w:p w14:paraId="73330614" w14:textId="77777777" w:rsidR="00325FFA" w:rsidRPr="003750E1" w:rsidRDefault="00325FFA" w:rsidP="00325FFA">
      <w:pPr>
        <w:pStyle w:val="ListParagraph"/>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Additional time</w:t>
      </w:r>
    </w:p>
    <w:p w14:paraId="077D345D" w14:textId="1807129A" w:rsidR="00325FFA" w:rsidRPr="003750E1" w:rsidRDefault="00325FFA" w:rsidP="00325FFA">
      <w:pPr>
        <w:pStyle w:val="ListParagraph"/>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Reader (human or computer</w:t>
      </w:r>
      <w:r w:rsidR="003750E1" w:rsidRPr="003750E1">
        <w:rPr>
          <w:rFonts w:ascii="Century Gothic" w:eastAsia="Open Sans" w:hAnsi="Century Gothic" w:cs="Arial"/>
          <w:sz w:val="24"/>
          <w:szCs w:val="24"/>
        </w:rPr>
        <w:t>, e.g. a reader pen</w:t>
      </w:r>
      <w:r w:rsidRPr="003750E1">
        <w:rPr>
          <w:rFonts w:ascii="Century Gothic" w:eastAsia="Open Sans" w:hAnsi="Century Gothic" w:cs="Arial"/>
          <w:sz w:val="24"/>
          <w:szCs w:val="24"/>
        </w:rPr>
        <w:t>)</w:t>
      </w:r>
    </w:p>
    <w:p w14:paraId="694E9A71" w14:textId="77777777" w:rsidR="00325FFA" w:rsidRPr="003750E1" w:rsidRDefault="00325FFA" w:rsidP="00325FFA">
      <w:pPr>
        <w:pStyle w:val="ListParagraph"/>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Word processor</w:t>
      </w:r>
    </w:p>
    <w:p w14:paraId="0787C5E8" w14:textId="77777777" w:rsidR="00325FFA" w:rsidRPr="003750E1" w:rsidRDefault="00325FFA" w:rsidP="00325FFA">
      <w:pPr>
        <w:pStyle w:val="ListParagraph"/>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Scribe</w:t>
      </w:r>
    </w:p>
    <w:p w14:paraId="7EC01B7C" w14:textId="77777777" w:rsidR="00325FFA" w:rsidRPr="003750E1" w:rsidRDefault="00325FFA" w:rsidP="00325FFA">
      <w:pPr>
        <w:pStyle w:val="ListParagraph"/>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Prompter</w:t>
      </w:r>
    </w:p>
    <w:p w14:paraId="2AEB6BD2" w14:textId="77777777" w:rsidR="00325FFA" w:rsidRPr="003750E1" w:rsidRDefault="00325FFA" w:rsidP="00325FFA">
      <w:pPr>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Practical assistant</w:t>
      </w:r>
    </w:p>
    <w:p w14:paraId="24940FDD" w14:textId="29A648B9" w:rsidR="00325FFA" w:rsidRPr="003750E1" w:rsidRDefault="00325FFA" w:rsidP="00325FFA">
      <w:pPr>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 xml:space="preserve">Enlarged </w:t>
      </w:r>
      <w:r w:rsidR="002F7EB8" w:rsidRPr="003750E1">
        <w:rPr>
          <w:rFonts w:ascii="Century Gothic" w:eastAsia="Open Sans" w:hAnsi="Century Gothic" w:cs="Arial"/>
          <w:sz w:val="24"/>
          <w:szCs w:val="24"/>
        </w:rPr>
        <w:t>papers.</w:t>
      </w:r>
    </w:p>
    <w:p w14:paraId="5F314A14" w14:textId="77777777" w:rsidR="00325FFA" w:rsidRPr="003750E1" w:rsidRDefault="00325FFA" w:rsidP="00325FFA">
      <w:pPr>
        <w:numPr>
          <w:ilvl w:val="0"/>
          <w:numId w:val="11"/>
        </w:numPr>
        <w:spacing w:after="0" w:line="240" w:lineRule="auto"/>
        <w:rPr>
          <w:rFonts w:ascii="Century Gothic" w:eastAsia="Open Sans" w:hAnsi="Century Gothic" w:cs="Arial"/>
          <w:sz w:val="24"/>
          <w:szCs w:val="24"/>
          <w:lang w:val="fr-FR"/>
        </w:rPr>
      </w:pPr>
      <w:r w:rsidRPr="003750E1">
        <w:rPr>
          <w:rFonts w:ascii="Century Gothic" w:eastAsia="Open Sans" w:hAnsi="Century Gothic" w:cs="Arial"/>
          <w:sz w:val="24"/>
          <w:szCs w:val="24"/>
          <w:lang w:val="fr-FR"/>
        </w:rPr>
        <w:t>Modified paper (colour, font size, braille, language etc.)</w:t>
      </w:r>
    </w:p>
    <w:p w14:paraId="00F3D555" w14:textId="77777777" w:rsidR="00325FFA" w:rsidRPr="003750E1" w:rsidRDefault="00325FFA" w:rsidP="00325FFA">
      <w:pPr>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Smaller/individual room</w:t>
      </w:r>
    </w:p>
    <w:p w14:paraId="254BDF38" w14:textId="4C073C30" w:rsidR="00325FFA" w:rsidRPr="003750E1" w:rsidRDefault="00325FFA" w:rsidP="00325FFA">
      <w:pPr>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 xml:space="preserve">Read </w:t>
      </w:r>
      <w:r w:rsidR="002F7EB8" w:rsidRPr="003750E1">
        <w:rPr>
          <w:rFonts w:ascii="Century Gothic" w:eastAsia="Open Sans" w:hAnsi="Century Gothic" w:cs="Arial"/>
          <w:sz w:val="24"/>
          <w:szCs w:val="24"/>
        </w:rPr>
        <w:t>aloud</w:t>
      </w:r>
    </w:p>
    <w:p w14:paraId="6ABF29CE" w14:textId="62615BAF" w:rsidR="00325FFA" w:rsidRPr="003750E1" w:rsidRDefault="00325FFA" w:rsidP="00325FFA">
      <w:pPr>
        <w:numPr>
          <w:ilvl w:val="0"/>
          <w:numId w:val="11"/>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 xml:space="preserve">Rest </w:t>
      </w:r>
      <w:r w:rsidR="002F7EB8" w:rsidRPr="003750E1">
        <w:rPr>
          <w:rFonts w:ascii="Century Gothic" w:eastAsia="Open Sans" w:hAnsi="Century Gothic" w:cs="Arial"/>
          <w:sz w:val="24"/>
          <w:szCs w:val="24"/>
        </w:rPr>
        <w:t>breaks</w:t>
      </w:r>
    </w:p>
    <w:p w14:paraId="42B3AD99" w14:textId="77777777" w:rsidR="00325FFA" w:rsidRPr="003750E1" w:rsidRDefault="00325FFA" w:rsidP="00325FFA">
      <w:pPr>
        <w:spacing w:line="240" w:lineRule="auto"/>
        <w:rPr>
          <w:rFonts w:ascii="Century Gothic" w:eastAsia="Open Sans" w:hAnsi="Century Gothic" w:cs="Arial"/>
          <w:sz w:val="24"/>
          <w:szCs w:val="24"/>
        </w:rPr>
      </w:pPr>
    </w:p>
    <w:p w14:paraId="5EC88889" w14:textId="397A63F6" w:rsidR="00325FFA" w:rsidRPr="003750E1"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The access arrangement must be appropriate to the exam and the student. It would be inappropriate to have a reader for an exam testing reading skills (although a computer reader is allowed if this is the student’s normal way of working). Likewise, a student with dyslexia may require additional time for a written exam but not for a practical one.</w:t>
      </w:r>
    </w:p>
    <w:p w14:paraId="4E2AD620" w14:textId="4CF145AA" w:rsidR="00325FFA"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If a parent/carer believes that their child/young person is likely to fall within the remit of access arrangements, it would be perfectly reasonable to ask the school or college to assess for this, giving reasons why. Alternatively, a parent could commission an independent report and ask the school/college to act on this.</w:t>
      </w:r>
      <w:r w:rsidR="00D5230E">
        <w:rPr>
          <w:rFonts w:ascii="Century Gothic" w:eastAsia="Open Sans" w:hAnsi="Century Gothic" w:cs="Arial"/>
          <w:sz w:val="24"/>
          <w:szCs w:val="24"/>
        </w:rPr>
        <w:t xml:space="preserve"> </w:t>
      </w:r>
    </w:p>
    <w:p w14:paraId="5C6558BF" w14:textId="17FFB247" w:rsidR="00325FFA" w:rsidRPr="003750E1" w:rsidRDefault="00325FFA" w:rsidP="00325FFA">
      <w:pPr>
        <w:pStyle w:val="Heading2"/>
        <w:rPr>
          <w:rFonts w:ascii="Century Gothic" w:hAnsi="Century Gothic"/>
          <w:b/>
          <w:bCs/>
          <w:sz w:val="24"/>
          <w:szCs w:val="24"/>
        </w:rPr>
      </w:pPr>
      <w:r w:rsidRPr="003750E1">
        <w:rPr>
          <w:rFonts w:ascii="Century Gothic" w:hAnsi="Century Gothic"/>
          <w:b/>
          <w:bCs/>
          <w:sz w:val="24"/>
          <w:szCs w:val="24"/>
        </w:rPr>
        <w:t xml:space="preserve">What may </w:t>
      </w:r>
      <w:r w:rsidR="003750E1" w:rsidRPr="003750E1">
        <w:rPr>
          <w:rFonts w:ascii="Century Gothic" w:hAnsi="Century Gothic"/>
          <w:b/>
          <w:bCs/>
          <w:sz w:val="24"/>
          <w:szCs w:val="24"/>
        </w:rPr>
        <w:t>prompt a request for access arrangements</w:t>
      </w:r>
      <w:r w:rsidRPr="003750E1">
        <w:rPr>
          <w:rFonts w:ascii="Century Gothic" w:hAnsi="Century Gothic"/>
          <w:b/>
          <w:bCs/>
          <w:sz w:val="24"/>
          <w:szCs w:val="24"/>
        </w:rPr>
        <w:t>?</w:t>
      </w:r>
    </w:p>
    <w:p w14:paraId="370A9066"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Making frequent spelling/grammatical errors</w:t>
      </w:r>
    </w:p>
    <w:p w14:paraId="2B5259F2" w14:textId="32E25A1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 xml:space="preserve">Reading a passage but unable to answer questions about </w:t>
      </w:r>
      <w:r w:rsidR="008C02A9" w:rsidRPr="003750E1">
        <w:rPr>
          <w:rFonts w:ascii="Century Gothic" w:eastAsia="Open Sans" w:hAnsi="Century Gothic" w:cs="Arial"/>
          <w:sz w:val="24"/>
          <w:szCs w:val="24"/>
        </w:rPr>
        <w:t>it</w:t>
      </w:r>
    </w:p>
    <w:p w14:paraId="115157EF"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Struggling with reading/slow reading</w:t>
      </w:r>
    </w:p>
    <w:p w14:paraId="78A71615"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Words moving around on the page or blurring (check eyesight first)</w:t>
      </w:r>
    </w:p>
    <w:p w14:paraId="3D070E8D" w14:textId="58042A94"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lastRenderedPageBreak/>
        <w:t xml:space="preserve">Running out of time to copy work off the </w:t>
      </w:r>
      <w:r w:rsidR="008C02A9" w:rsidRPr="003750E1">
        <w:rPr>
          <w:rFonts w:ascii="Century Gothic" w:eastAsia="Open Sans" w:hAnsi="Century Gothic" w:cs="Arial"/>
          <w:sz w:val="24"/>
          <w:szCs w:val="24"/>
        </w:rPr>
        <w:t>whiteboard</w:t>
      </w:r>
    </w:p>
    <w:p w14:paraId="52C618DA" w14:textId="47671101"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 xml:space="preserve">Unable to keep up with taking </w:t>
      </w:r>
      <w:r w:rsidR="008C02A9" w:rsidRPr="003750E1">
        <w:rPr>
          <w:rFonts w:ascii="Century Gothic" w:eastAsia="Open Sans" w:hAnsi="Century Gothic" w:cs="Arial"/>
          <w:sz w:val="24"/>
          <w:szCs w:val="24"/>
        </w:rPr>
        <w:t>notes</w:t>
      </w:r>
    </w:p>
    <w:p w14:paraId="14B4570A"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Untidy/slow handwriting</w:t>
      </w:r>
    </w:p>
    <w:p w14:paraId="657BC710" w14:textId="30A6F488"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 xml:space="preserve">Pain when writing for prolonged </w:t>
      </w:r>
      <w:r w:rsidR="008C02A9" w:rsidRPr="003750E1">
        <w:rPr>
          <w:rFonts w:ascii="Century Gothic" w:eastAsia="Open Sans" w:hAnsi="Century Gothic" w:cs="Arial"/>
          <w:sz w:val="24"/>
          <w:szCs w:val="24"/>
        </w:rPr>
        <w:t>periods</w:t>
      </w:r>
    </w:p>
    <w:p w14:paraId="5890A600"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Generalised exam anxiety</w:t>
      </w:r>
    </w:p>
    <w:p w14:paraId="403D2B23"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Reading questions and thinking aloud</w:t>
      </w:r>
    </w:p>
    <w:p w14:paraId="05ACAF17" w14:textId="77777777"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Having problems getting ideas down on paper, despite doing an essay plan</w:t>
      </w:r>
    </w:p>
    <w:p w14:paraId="4CC5C2DF" w14:textId="0FFFC686" w:rsidR="00325FFA" w:rsidRPr="003750E1" w:rsidRDefault="00325FFA"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Getting “stuck” and unable to move on</w:t>
      </w:r>
    </w:p>
    <w:p w14:paraId="71C8D86B" w14:textId="6578A0A3" w:rsidR="003750E1" w:rsidRPr="003750E1" w:rsidRDefault="003750E1" w:rsidP="00325FFA">
      <w:pPr>
        <w:pStyle w:val="ListParagraph"/>
        <w:numPr>
          <w:ilvl w:val="0"/>
          <w:numId w:val="12"/>
        </w:numPr>
        <w:spacing w:after="0" w:line="240" w:lineRule="auto"/>
        <w:rPr>
          <w:rFonts w:ascii="Century Gothic" w:eastAsia="Open Sans" w:hAnsi="Century Gothic" w:cs="Arial"/>
          <w:sz w:val="24"/>
          <w:szCs w:val="24"/>
        </w:rPr>
      </w:pPr>
      <w:r w:rsidRPr="003750E1">
        <w:rPr>
          <w:rFonts w:ascii="Century Gothic" w:eastAsia="Open Sans" w:hAnsi="Century Gothic" w:cs="Arial"/>
          <w:sz w:val="24"/>
          <w:szCs w:val="24"/>
        </w:rPr>
        <w:t>Sensory needs, difficulty sitting a busy exam hall</w:t>
      </w:r>
    </w:p>
    <w:p w14:paraId="59D1C3B8" w14:textId="77777777" w:rsidR="00325FFA" w:rsidRPr="003750E1" w:rsidRDefault="00325FFA" w:rsidP="00325FFA">
      <w:pPr>
        <w:pStyle w:val="Heading2"/>
        <w:spacing w:before="0" w:after="0" w:line="240" w:lineRule="auto"/>
        <w:rPr>
          <w:rFonts w:ascii="Century Gothic" w:hAnsi="Century Gothic"/>
          <w:sz w:val="24"/>
          <w:szCs w:val="24"/>
        </w:rPr>
      </w:pPr>
    </w:p>
    <w:p w14:paraId="5F4E5A76" w14:textId="77777777" w:rsidR="00325FFA" w:rsidRPr="003750E1" w:rsidRDefault="00325FFA" w:rsidP="00325FFA">
      <w:pPr>
        <w:pStyle w:val="Heading2"/>
        <w:spacing w:before="0" w:after="0" w:line="240" w:lineRule="auto"/>
        <w:rPr>
          <w:rFonts w:ascii="Century Gothic" w:hAnsi="Century Gothic"/>
          <w:b/>
          <w:bCs/>
          <w:sz w:val="24"/>
          <w:szCs w:val="24"/>
        </w:rPr>
      </w:pPr>
      <w:r w:rsidRPr="003750E1">
        <w:rPr>
          <w:rFonts w:ascii="Century Gothic" w:hAnsi="Century Gothic"/>
          <w:b/>
          <w:bCs/>
          <w:sz w:val="24"/>
          <w:szCs w:val="24"/>
        </w:rPr>
        <w:t>Hidden Access Needs</w:t>
      </w:r>
    </w:p>
    <w:p w14:paraId="506EA309" w14:textId="140A8D2E" w:rsidR="00325FFA" w:rsidRDefault="00325FFA" w:rsidP="00FC3D12">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Many students are quite adept at covering up any issues they may have, so while they may look all calm in class, they may be really struggling. Alternatively, they may be exhibiting disruptive behaviour to avoid work they cannot access. It is hard to hide during an assessment and better to find a problem before sitting a GCSE than after whenever possible.</w:t>
      </w:r>
    </w:p>
    <w:p w14:paraId="3DDAC125" w14:textId="77777777" w:rsidR="00FC3D12" w:rsidRPr="00FC3D12" w:rsidRDefault="00FC3D12" w:rsidP="00FC3D12">
      <w:pPr>
        <w:spacing w:line="240" w:lineRule="auto"/>
        <w:jc w:val="both"/>
        <w:rPr>
          <w:rFonts w:ascii="Century Gothic" w:eastAsia="Open Sans" w:hAnsi="Century Gothic" w:cs="Arial"/>
          <w:b/>
          <w:bCs/>
          <w:sz w:val="24"/>
          <w:szCs w:val="24"/>
        </w:rPr>
      </w:pPr>
      <w:r w:rsidRPr="00FC3D12">
        <w:rPr>
          <w:rFonts w:ascii="Century Gothic" w:eastAsia="Open Sans" w:hAnsi="Century Gothic" w:cs="Arial"/>
          <w:b/>
          <w:bCs/>
          <w:sz w:val="24"/>
          <w:szCs w:val="24"/>
        </w:rPr>
        <w:t>Special consideration</w:t>
      </w:r>
    </w:p>
    <w:p w14:paraId="78EDD578" w14:textId="416348B7" w:rsidR="00FC3D12" w:rsidRPr="003750E1" w:rsidRDefault="00FC3D12" w:rsidP="00FC3D12">
      <w:pPr>
        <w:spacing w:line="240" w:lineRule="auto"/>
        <w:jc w:val="both"/>
        <w:rPr>
          <w:rFonts w:ascii="Century Gothic" w:eastAsia="Open Sans" w:hAnsi="Century Gothic" w:cs="Arial"/>
          <w:sz w:val="24"/>
          <w:szCs w:val="24"/>
        </w:rPr>
      </w:pPr>
      <w:r>
        <w:rPr>
          <w:rFonts w:ascii="Century Gothic" w:eastAsia="Open Sans" w:hAnsi="Century Gothic" w:cs="Arial"/>
          <w:sz w:val="24"/>
          <w:szCs w:val="24"/>
        </w:rPr>
        <w:t>Special consideration is a post examination adjustment to a candidate’s mark or grade to reflect temporary injury, illness or other indisposition at the time of the examination / assessment.</w:t>
      </w:r>
    </w:p>
    <w:p w14:paraId="3F7183A9" w14:textId="77777777" w:rsidR="00325FFA" w:rsidRPr="003750E1" w:rsidRDefault="00325FFA" w:rsidP="00325FFA">
      <w:pPr>
        <w:pStyle w:val="Heading2"/>
        <w:spacing w:before="0" w:after="0" w:line="240" w:lineRule="auto"/>
        <w:jc w:val="both"/>
        <w:rPr>
          <w:rFonts w:ascii="Century Gothic" w:hAnsi="Century Gothic"/>
          <w:b/>
          <w:bCs/>
          <w:sz w:val="24"/>
          <w:szCs w:val="24"/>
        </w:rPr>
      </w:pPr>
      <w:r w:rsidRPr="003750E1">
        <w:rPr>
          <w:rFonts w:ascii="Century Gothic" w:hAnsi="Century Gothic"/>
          <w:b/>
          <w:bCs/>
          <w:sz w:val="24"/>
          <w:szCs w:val="24"/>
        </w:rPr>
        <w:t>Post 16 Access Arrangements</w:t>
      </w:r>
    </w:p>
    <w:p w14:paraId="56761668" w14:textId="7A8F7A4A" w:rsidR="00FC3D12"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 xml:space="preserve">For students who move to college post-16, a new assessment will normally be needed unless there is an established working relationship between the school and college and the Form 8 has been transferred over. A form </w:t>
      </w:r>
      <w:r w:rsidR="003750E1" w:rsidRPr="003750E1">
        <w:rPr>
          <w:rFonts w:ascii="Century Gothic" w:eastAsia="Open Sans" w:hAnsi="Century Gothic" w:cs="Arial"/>
          <w:sz w:val="24"/>
          <w:szCs w:val="24"/>
        </w:rPr>
        <w:t>8</w:t>
      </w:r>
      <w:r w:rsidRPr="003750E1">
        <w:rPr>
          <w:rFonts w:ascii="Century Gothic" w:eastAsia="Open Sans" w:hAnsi="Century Gothic" w:cs="Arial"/>
          <w:sz w:val="24"/>
          <w:szCs w:val="24"/>
        </w:rPr>
        <w:t xml:space="preserve"> is the document required to apply for access arrangements.</w:t>
      </w:r>
    </w:p>
    <w:p w14:paraId="5805034A" w14:textId="16264D74" w:rsidR="00325FFA" w:rsidRPr="003750E1"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 xml:space="preserve">Form </w:t>
      </w:r>
      <w:r w:rsidR="003750E1" w:rsidRPr="003750E1">
        <w:rPr>
          <w:rFonts w:ascii="Century Gothic" w:eastAsia="Open Sans" w:hAnsi="Century Gothic" w:cs="Arial"/>
          <w:sz w:val="24"/>
          <w:szCs w:val="24"/>
        </w:rPr>
        <w:t>8</w:t>
      </w:r>
      <w:r w:rsidRPr="003750E1">
        <w:rPr>
          <w:rFonts w:ascii="Century Gothic" w:eastAsia="Open Sans" w:hAnsi="Century Gothic" w:cs="Arial"/>
          <w:sz w:val="24"/>
          <w:szCs w:val="24"/>
        </w:rPr>
        <w:t xml:space="preserve"> must be completed correctly and appended to an EHC plan. It must be hand signed by someone qualified to do so and be in date. It is wise to be careful regarding access arrangements written into Education, Health, and Care Plans (EHC plans). </w:t>
      </w:r>
    </w:p>
    <w:p w14:paraId="10446BFB" w14:textId="5F0A7109" w:rsidR="00325FFA" w:rsidRPr="003750E1" w:rsidRDefault="00325FFA" w:rsidP="00D5230E">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 xml:space="preserve">The SENCO or specialist advisor will still need to ensure that these are appropriate and write a statement to confirm this. It can be frustrating for both student and parent to find that no access arrangements are in place despite any being written on the EHC plans. </w:t>
      </w:r>
    </w:p>
    <w:p w14:paraId="2BEF36B4" w14:textId="77777777" w:rsidR="00325FFA" w:rsidRPr="003750E1"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An appointment should be made with the appropriate person in the education setting. Form eight covers GCSE and many other level 1/2/3/ exams and must be submitted in February for exams in June.</w:t>
      </w:r>
    </w:p>
    <w:p w14:paraId="13126BEA" w14:textId="77777777" w:rsidR="00325FFA" w:rsidRPr="003750E1" w:rsidRDefault="00325FFA" w:rsidP="00325FFA">
      <w:pPr>
        <w:spacing w:line="240" w:lineRule="auto"/>
        <w:jc w:val="both"/>
        <w:rPr>
          <w:rFonts w:ascii="Century Gothic" w:eastAsia="Open Sans" w:hAnsi="Century Gothic" w:cs="Arial"/>
          <w:sz w:val="24"/>
          <w:szCs w:val="24"/>
        </w:rPr>
      </w:pPr>
    </w:p>
    <w:p w14:paraId="44C29F4A" w14:textId="77777777" w:rsidR="00325FFA" w:rsidRPr="003750E1" w:rsidRDefault="00325FFA" w:rsidP="00325FFA">
      <w:pPr>
        <w:pStyle w:val="Heading2"/>
        <w:spacing w:before="0" w:after="0" w:line="240" w:lineRule="auto"/>
        <w:rPr>
          <w:rFonts w:ascii="Century Gothic" w:hAnsi="Century Gothic"/>
          <w:b/>
          <w:bCs/>
          <w:sz w:val="24"/>
          <w:szCs w:val="24"/>
        </w:rPr>
      </w:pPr>
      <w:r w:rsidRPr="003750E1">
        <w:rPr>
          <w:rFonts w:ascii="Century Gothic" w:hAnsi="Century Gothic"/>
          <w:b/>
          <w:bCs/>
          <w:sz w:val="24"/>
          <w:szCs w:val="24"/>
        </w:rPr>
        <w:t>Reasonable Adjustments</w:t>
      </w:r>
    </w:p>
    <w:p w14:paraId="7965A4F5" w14:textId="77777777" w:rsidR="00325FFA" w:rsidRPr="003750E1"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Parent/carers should keep a copy of all requests for reasonable adjustments including access arrangements and the response received. Email is preferable.</w:t>
      </w:r>
    </w:p>
    <w:p w14:paraId="2BCDB18F" w14:textId="35D6E671" w:rsidR="00FC3D12" w:rsidRPr="003750E1"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lastRenderedPageBreak/>
        <w:t>If access arrangements have been granted in school, the parent/carer should ask for a copy of the Form 8 and send it to the next post 16 placement. Even if a new one is required, it can give valuable information to the next placement. Reports expire after 26 months and must be in date at the time the exam is taken. The Governors or equivalent have a duty to use their” best endeavours” to secure the special educational provision required. This includes auxiliary aids such as a tablet.</w:t>
      </w:r>
    </w:p>
    <w:p w14:paraId="1435C1BF" w14:textId="776A739A" w:rsidR="00325FFA" w:rsidRPr="003750E1" w:rsidRDefault="00401ED4" w:rsidP="00325FFA">
      <w:pPr>
        <w:spacing w:line="240" w:lineRule="auto"/>
        <w:jc w:val="both"/>
        <w:rPr>
          <w:rFonts w:ascii="Century Gothic" w:eastAsia="Open Sans" w:hAnsi="Century Gothic" w:cs="Arial"/>
          <w:sz w:val="24"/>
          <w:szCs w:val="24"/>
        </w:rPr>
      </w:pPr>
      <w:r w:rsidRPr="00F6417B">
        <w:rPr>
          <w:rFonts w:ascii="Century Gothic" w:hAnsi="Century Gothic" w:cs="Arial"/>
          <w:b/>
          <w:bCs/>
          <w:sz w:val="24"/>
          <w:szCs w:val="24"/>
        </w:rPr>
        <w:t>IPSEA</w:t>
      </w:r>
      <w:r w:rsidR="00F6417B" w:rsidRPr="00F6417B">
        <w:rPr>
          <w:rFonts w:ascii="Century Gothic" w:hAnsi="Century Gothic" w:cs="Arial"/>
          <w:b/>
          <w:bCs/>
          <w:sz w:val="24"/>
          <w:szCs w:val="24"/>
        </w:rPr>
        <w:t xml:space="preserve"> </w:t>
      </w:r>
      <w:r w:rsidR="00F6417B">
        <w:rPr>
          <w:rFonts w:ascii="Century Gothic" w:hAnsi="Century Gothic" w:cs="Arial"/>
          <w:sz w:val="24"/>
          <w:szCs w:val="24"/>
        </w:rPr>
        <w:t>(Independent Provider of Special Education Advice)</w:t>
      </w:r>
      <w:r w:rsidRPr="003750E1">
        <w:rPr>
          <w:rFonts w:ascii="Century Gothic" w:hAnsi="Century Gothic" w:cs="Arial"/>
          <w:sz w:val="24"/>
          <w:szCs w:val="24"/>
        </w:rPr>
        <w:t xml:space="preserve"> have a model letter 13 on their website: </w:t>
      </w:r>
      <w:hyperlink r:id="rId10" w:history="1">
        <w:r w:rsidRPr="003750E1">
          <w:rPr>
            <w:rStyle w:val="Hyperlink"/>
            <w:rFonts w:ascii="Century Gothic" w:hAnsi="Century Gothic" w:cs="Arial"/>
            <w:sz w:val="24"/>
            <w:szCs w:val="24"/>
          </w:rPr>
          <w:t>IPSEA Model Letter - Asking for help with exams</w:t>
        </w:r>
      </w:hyperlink>
      <w:r w:rsidRPr="003750E1">
        <w:rPr>
          <w:rFonts w:ascii="Century Gothic" w:hAnsi="Century Gothic" w:cs="Arial"/>
          <w:sz w:val="24"/>
          <w:szCs w:val="24"/>
        </w:rPr>
        <w:t>.</w:t>
      </w:r>
    </w:p>
    <w:p w14:paraId="6D566E23" w14:textId="77777777" w:rsidR="00325FFA" w:rsidRDefault="00325FFA" w:rsidP="00325FFA">
      <w:pPr>
        <w:spacing w:line="240" w:lineRule="auto"/>
        <w:jc w:val="both"/>
        <w:rPr>
          <w:rFonts w:ascii="Century Gothic" w:eastAsia="Open Sans" w:hAnsi="Century Gothic" w:cs="Arial"/>
          <w:sz w:val="24"/>
          <w:szCs w:val="24"/>
        </w:rPr>
      </w:pPr>
      <w:r w:rsidRPr="003750E1">
        <w:rPr>
          <w:rFonts w:ascii="Century Gothic" w:eastAsia="Open Sans" w:hAnsi="Century Gothic" w:cs="Arial"/>
          <w:sz w:val="24"/>
          <w:szCs w:val="24"/>
        </w:rPr>
        <w:t>Resits are not the end of the world and students do them alongside other higher-level or vocational qualifications.</w:t>
      </w:r>
    </w:p>
    <w:p w14:paraId="621F0986" w14:textId="0760F5C2" w:rsidR="00F6417B" w:rsidRDefault="00F6417B" w:rsidP="00325FFA">
      <w:pPr>
        <w:spacing w:line="240" w:lineRule="auto"/>
        <w:jc w:val="both"/>
        <w:rPr>
          <w:rFonts w:ascii="Century Gothic" w:eastAsia="Open Sans" w:hAnsi="Century Gothic" w:cs="Arial"/>
          <w:sz w:val="24"/>
          <w:szCs w:val="24"/>
        </w:rPr>
      </w:pPr>
      <w:r>
        <w:rPr>
          <w:rFonts w:ascii="Century Gothic" w:eastAsia="Open Sans" w:hAnsi="Century Gothic" w:cs="Arial"/>
          <w:sz w:val="24"/>
          <w:szCs w:val="24"/>
        </w:rPr>
        <w:t xml:space="preserve">Joint council for Qualifications (JCQ) information sheet for parents: </w:t>
      </w:r>
      <w:r w:rsidR="00FC3D12">
        <w:rPr>
          <w:rFonts w:ascii="Century Gothic" w:eastAsia="Open Sans" w:hAnsi="Century Gothic" w:cs="Arial"/>
          <w:sz w:val="24"/>
          <w:szCs w:val="24"/>
        </w:rPr>
        <w:t xml:space="preserve"> </w:t>
      </w:r>
      <w:hyperlink r:id="rId11" w:history="1">
        <w:r w:rsidRPr="00F6417B">
          <w:rPr>
            <w:color w:val="0000FF"/>
            <w:u w:val="single"/>
          </w:rPr>
          <w:t>PLMR JCQ1799 Parent EAA JCQ Info sheet A4 1pp PDF v2.indd</w:t>
        </w:r>
      </w:hyperlink>
    </w:p>
    <w:p w14:paraId="364C1B20" w14:textId="6DD366E3" w:rsidR="00FC3D12" w:rsidRDefault="00FC3D12" w:rsidP="00325FFA">
      <w:pPr>
        <w:spacing w:line="240" w:lineRule="auto"/>
        <w:jc w:val="both"/>
      </w:pPr>
      <w:hyperlink r:id="rId12" w:history="1">
        <w:r w:rsidRPr="00FC3D12">
          <w:rPr>
            <w:color w:val="0000FF"/>
            <w:u w:val="single"/>
          </w:rPr>
          <w:t>Access Arrangements, Reasonable Adjustments and Special Consideration - JCQ Joint Council for Qualifications</w:t>
        </w:r>
      </w:hyperlink>
      <w:r>
        <w:t xml:space="preserve"> </w:t>
      </w:r>
    </w:p>
    <w:p w14:paraId="059E5F40" w14:textId="38E8A6B0" w:rsidR="00F6417B" w:rsidRPr="003750E1" w:rsidRDefault="00F6417B" w:rsidP="00325FFA">
      <w:pPr>
        <w:spacing w:line="240" w:lineRule="auto"/>
        <w:jc w:val="both"/>
        <w:rPr>
          <w:rFonts w:ascii="Century Gothic" w:eastAsia="Open Sans" w:hAnsi="Century Gothic" w:cs="Arial"/>
          <w:sz w:val="24"/>
          <w:szCs w:val="24"/>
        </w:rPr>
      </w:pPr>
      <w:hyperlink r:id="rId13" w:history="1">
        <w:r w:rsidRPr="00F6417B">
          <w:rPr>
            <w:color w:val="0000FF"/>
            <w:u w:val="single"/>
          </w:rPr>
          <w:t>Key stage 2 tests: access arrangements - GOV.UK</w:t>
        </w:r>
      </w:hyperlink>
    </w:p>
    <w:p w14:paraId="0F230ED3" w14:textId="77777777" w:rsidR="00401ED4" w:rsidRPr="003750E1" w:rsidRDefault="00401ED4" w:rsidP="00325FFA">
      <w:pPr>
        <w:spacing w:line="240" w:lineRule="auto"/>
        <w:jc w:val="both"/>
        <w:rPr>
          <w:rFonts w:ascii="Century Gothic" w:eastAsia="Open Sans" w:hAnsi="Century Gothic" w:cs="Arial"/>
          <w:sz w:val="24"/>
          <w:szCs w:val="24"/>
        </w:rPr>
      </w:pPr>
    </w:p>
    <w:p w14:paraId="27CC25EF" w14:textId="77777777" w:rsidR="00325FFA" w:rsidRPr="003750E1" w:rsidRDefault="00325FFA" w:rsidP="00325FFA">
      <w:pPr>
        <w:spacing w:line="240" w:lineRule="auto"/>
        <w:jc w:val="both"/>
        <w:rPr>
          <w:rFonts w:ascii="Century Gothic" w:hAnsi="Century Gothic" w:cs="Arial"/>
          <w:sz w:val="24"/>
          <w:szCs w:val="24"/>
        </w:rPr>
      </w:pPr>
    </w:p>
    <w:p w14:paraId="5DD806FB" w14:textId="068E71E4" w:rsidR="00325FFA" w:rsidRPr="003750E1" w:rsidRDefault="00325FFA" w:rsidP="00325FFA">
      <w:pPr>
        <w:spacing w:line="240" w:lineRule="auto"/>
        <w:jc w:val="both"/>
        <w:rPr>
          <w:rFonts w:ascii="Century Gothic" w:eastAsia="Open Sans"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EC4A5C" w:rsidRPr="007D3FBC" w14:paraId="05EFDD1F" w14:textId="77777777" w:rsidTr="008A3816">
        <w:trPr>
          <w:trHeight w:val="7503"/>
        </w:trPr>
        <w:tc>
          <w:tcPr>
            <w:tcW w:w="9918" w:type="dxa"/>
          </w:tcPr>
          <w:p w14:paraId="248F4417" w14:textId="77777777" w:rsidR="00EC4A5C" w:rsidRPr="004E5B34" w:rsidRDefault="00EC4A5C" w:rsidP="008A3816">
            <w:pPr>
              <w:spacing w:line="259" w:lineRule="auto"/>
              <w:jc w:val="center"/>
              <w:rPr>
                <w:rFonts w:ascii="Century Gothic" w:hAnsi="Century Gothic" w:cs="Arial"/>
                <w:b/>
                <w:bCs/>
                <w:u w:val="single"/>
              </w:rPr>
            </w:pPr>
            <w:bookmarkStart w:id="0" w:name="gjdgxs" w:colFirst="0" w:colLast="0"/>
            <w:bookmarkEnd w:id="0"/>
            <w:r w:rsidRPr="004E5B34">
              <w:rPr>
                <w:rFonts w:ascii="Century Gothic" w:hAnsi="Century Gothic" w:cs="Arial"/>
                <w:b/>
                <w:bCs/>
                <w:u w:val="single"/>
              </w:rPr>
              <w:lastRenderedPageBreak/>
              <w:t>Contact Details for SENDIASS Manchester</w:t>
            </w:r>
          </w:p>
          <w:p w14:paraId="2733F9C1" w14:textId="77777777" w:rsidR="00EC4A5C" w:rsidRPr="004E5B34" w:rsidRDefault="00EC4A5C" w:rsidP="008A3816">
            <w:pPr>
              <w:spacing w:line="259" w:lineRule="auto"/>
              <w:rPr>
                <w:rFonts w:ascii="Century Gothic" w:hAnsi="Century Gothic" w:cs="Arial"/>
              </w:rPr>
            </w:pPr>
          </w:p>
          <w:p w14:paraId="10011AF6" w14:textId="77777777" w:rsidR="00EC4A5C" w:rsidRPr="004E5B34" w:rsidRDefault="00EC4A5C"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15740B8A" w14:textId="77777777" w:rsidR="00EC4A5C" w:rsidRPr="004E5B34" w:rsidRDefault="00EC4A5C"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1FEB5B24" w14:textId="77777777" w:rsidR="00EC4A5C" w:rsidRPr="004E5B34" w:rsidRDefault="00EC4A5C"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23143BC9" w14:textId="77777777" w:rsidR="00EC4A5C" w:rsidRDefault="00EC4A5C" w:rsidP="008A3816">
            <w:pPr>
              <w:spacing w:line="259" w:lineRule="auto"/>
              <w:rPr>
                <w:rFonts w:ascii="Century Gothic" w:hAnsi="Century Gothic" w:cs="Arial"/>
              </w:rPr>
            </w:pPr>
          </w:p>
          <w:p w14:paraId="5A466157" w14:textId="77777777" w:rsidR="00EC4A5C" w:rsidRPr="004E5B34" w:rsidRDefault="00EC4A5C"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5" w:history="1">
              <w:r w:rsidRPr="004E5B34">
                <w:rPr>
                  <w:rStyle w:val="Hyperlink"/>
                  <w:rFonts w:ascii="Century Gothic" w:hAnsi="Century Gothic" w:cs="Arial"/>
                  <w:b/>
                  <w:bCs/>
                </w:rPr>
                <w:t>Contact Us (iasmanchester.org)</w:t>
              </w:r>
            </w:hyperlink>
          </w:p>
          <w:p w14:paraId="59111FD8" w14:textId="77777777" w:rsidR="00EC4A5C" w:rsidRPr="004E5B34" w:rsidRDefault="00EC4A5C" w:rsidP="008A3816">
            <w:pPr>
              <w:spacing w:after="160" w:line="259" w:lineRule="auto"/>
              <w:rPr>
                <w:rFonts w:ascii="Century Gothic" w:hAnsi="Century Gothic" w:cs="Arial"/>
              </w:rPr>
            </w:pPr>
          </w:p>
          <w:p w14:paraId="00FF8820" w14:textId="77777777" w:rsidR="00EC4A5C" w:rsidRPr="004E5B34" w:rsidRDefault="00EC4A5C"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6" w:history="1">
              <w:r w:rsidRPr="004E5B34">
                <w:rPr>
                  <w:rStyle w:val="Hyperlink"/>
                  <w:rFonts w:ascii="Century Gothic" w:hAnsi="Century Gothic" w:cs="Arial"/>
                  <w:b/>
                  <w:bCs/>
                </w:rPr>
                <w:t>About SENDIASS Manchester (iasmanchester.org)</w:t>
              </w:r>
            </w:hyperlink>
          </w:p>
          <w:p w14:paraId="6615E141" w14:textId="77777777" w:rsidR="00EC4A5C" w:rsidRPr="004E5B34" w:rsidRDefault="00EC4A5C" w:rsidP="008A3816">
            <w:pPr>
              <w:spacing w:after="160" w:line="259" w:lineRule="auto"/>
              <w:rPr>
                <w:rFonts w:ascii="Century Gothic" w:hAnsi="Century Gothic" w:cs="Arial"/>
                <w:b/>
                <w:bCs/>
              </w:rPr>
            </w:pPr>
          </w:p>
          <w:p w14:paraId="706F6C34" w14:textId="77777777" w:rsidR="00EC4A5C" w:rsidRPr="004E5B34" w:rsidRDefault="00EC4A5C"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7" w:history="1">
              <w:r w:rsidRPr="004E5B34">
                <w:rPr>
                  <w:rStyle w:val="Hyperlink"/>
                  <w:rFonts w:ascii="Century Gothic" w:hAnsi="Century Gothic" w:cs="Arial"/>
                  <w:b/>
                  <w:bCs/>
                </w:rPr>
                <w:t>Listen to our SEND Talk podcasts</w:t>
              </w:r>
            </w:hyperlink>
          </w:p>
          <w:p w14:paraId="7D96FA47" w14:textId="77777777" w:rsidR="00EC4A5C" w:rsidRPr="004E5B34" w:rsidRDefault="00EC4A5C" w:rsidP="008A3816">
            <w:pPr>
              <w:spacing w:after="160" w:line="259" w:lineRule="auto"/>
              <w:rPr>
                <w:rFonts w:ascii="Century Gothic" w:hAnsi="Century Gothic" w:cs="Arial"/>
                <w:b/>
                <w:bCs/>
              </w:rPr>
            </w:pPr>
          </w:p>
          <w:p w14:paraId="240C6B82" w14:textId="77777777" w:rsidR="00EC4A5C" w:rsidRPr="004E5B34" w:rsidRDefault="00EC4A5C"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8" w:history="1">
              <w:r w:rsidRPr="004E5B34">
                <w:rPr>
                  <w:rStyle w:val="Hyperlink"/>
                  <w:rFonts w:ascii="Century Gothic" w:hAnsi="Century Gothic" w:cs="Arial"/>
                  <w:b/>
                  <w:bCs/>
                </w:rPr>
                <w:t>https://www.youtube.com/@SENDIASSManchester</w:t>
              </w:r>
            </w:hyperlink>
          </w:p>
          <w:p w14:paraId="0B851B7E" w14:textId="77777777" w:rsidR="00EC4A5C" w:rsidRPr="004E5B34" w:rsidRDefault="00EC4A5C" w:rsidP="008A3816">
            <w:pPr>
              <w:jc w:val="both"/>
              <w:rPr>
                <w:rFonts w:ascii="Century Gothic" w:hAnsi="Century Gothic" w:cs="Arial"/>
              </w:rPr>
            </w:pPr>
          </w:p>
          <w:p w14:paraId="0C7C6C45" w14:textId="77777777" w:rsidR="00EC4A5C" w:rsidRPr="004E5B34" w:rsidRDefault="00EC4A5C"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5E029EAB" wp14:editId="258DDDA2">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4E7C680B" wp14:editId="15B03FD2">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258D1C41" wp14:editId="3181AF99">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24F16" w14:textId="77777777" w:rsidR="00EC4A5C" w:rsidRPr="004E5B34" w:rsidRDefault="00EC4A5C" w:rsidP="008A3816">
            <w:pPr>
              <w:rPr>
                <w:rFonts w:ascii="Century Gothic" w:hAnsi="Century Gothic" w:cs="Arial"/>
              </w:rPr>
            </w:pPr>
          </w:p>
          <w:p w14:paraId="1CB0C56D" w14:textId="77777777" w:rsidR="00EC4A5C" w:rsidRPr="004E5B34" w:rsidRDefault="00EC4A5C" w:rsidP="008A3816">
            <w:pPr>
              <w:rPr>
                <w:rStyle w:val="Strong"/>
                <w:rFonts w:ascii="Century Gothic" w:hAnsi="Century Gothic" w:cs="Arial"/>
                <w:b w:val="0"/>
                <w:bCs w:val="0"/>
              </w:rPr>
            </w:pPr>
          </w:p>
          <w:p w14:paraId="4492B68C" w14:textId="77777777" w:rsidR="00EC4A5C" w:rsidRPr="004E5B34" w:rsidRDefault="00EC4A5C" w:rsidP="008A3816">
            <w:pPr>
              <w:rPr>
                <w:rStyle w:val="Strong"/>
                <w:rFonts w:ascii="Century Gothic" w:hAnsi="Century Gothic" w:cs="Arial"/>
                <w:b w:val="0"/>
                <w:bCs w:val="0"/>
              </w:rPr>
            </w:pPr>
          </w:p>
          <w:p w14:paraId="4B71EB6E" w14:textId="77777777" w:rsidR="00EC4A5C" w:rsidRPr="004E5B34" w:rsidRDefault="00EC4A5C" w:rsidP="008A3816">
            <w:pPr>
              <w:rPr>
                <w:rStyle w:val="Strong"/>
                <w:rFonts w:ascii="Century Gothic" w:hAnsi="Century Gothic" w:cs="Arial"/>
                <w:b w:val="0"/>
                <w:bCs w:val="0"/>
              </w:rPr>
            </w:pPr>
          </w:p>
          <w:p w14:paraId="6C61BB3E" w14:textId="77777777" w:rsidR="00EC4A5C" w:rsidRPr="004E5B34" w:rsidRDefault="00EC4A5C" w:rsidP="008A3816">
            <w:pPr>
              <w:rPr>
                <w:rStyle w:val="Strong"/>
                <w:rFonts w:ascii="Century Gothic" w:hAnsi="Century Gothic" w:cs="Arial"/>
              </w:rPr>
            </w:pPr>
          </w:p>
          <w:p w14:paraId="7C592305" w14:textId="77777777" w:rsidR="00EC4A5C" w:rsidRPr="004E5B34" w:rsidRDefault="00EC4A5C"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02A16D6F" w14:textId="77777777" w:rsidR="00EC4A5C" w:rsidRPr="002F737D" w:rsidRDefault="00EC4A5C" w:rsidP="008A3816">
            <w:pPr>
              <w:rPr>
                <w:rFonts w:ascii="Arial" w:hAnsi="Arial" w:cs="Arial"/>
                <w:sz w:val="24"/>
                <w:szCs w:val="24"/>
              </w:rPr>
            </w:pPr>
          </w:p>
        </w:tc>
      </w:tr>
    </w:tbl>
    <w:p w14:paraId="4390BE20" w14:textId="77777777" w:rsidR="00325FFA" w:rsidRPr="003750E1" w:rsidRDefault="00325FFA" w:rsidP="00325FFA">
      <w:pPr>
        <w:spacing w:line="240" w:lineRule="auto"/>
        <w:rPr>
          <w:rFonts w:ascii="Century Gothic" w:eastAsia="Open Sans" w:hAnsi="Century Gothic" w:cs="Arial"/>
          <w:sz w:val="24"/>
          <w:szCs w:val="24"/>
        </w:rPr>
      </w:pPr>
    </w:p>
    <w:p w14:paraId="32755716" w14:textId="22110348" w:rsidR="00BA1FCD" w:rsidRPr="003750E1" w:rsidRDefault="00BA1FCD">
      <w:pPr>
        <w:rPr>
          <w:rStyle w:val="Strong"/>
          <w:rFonts w:ascii="Century Gothic" w:hAnsi="Century Gothic" w:cs="Arial"/>
          <w:b w:val="0"/>
          <w:bCs w:val="0"/>
          <w:sz w:val="24"/>
          <w:szCs w:val="24"/>
        </w:rPr>
      </w:pPr>
    </w:p>
    <w:p w14:paraId="7C3EF0AC" w14:textId="77777777" w:rsidR="00847C45" w:rsidRPr="003750E1"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3750E1" w:rsidRDefault="00847C45" w:rsidP="00847C45">
      <w:pPr>
        <w:spacing w:after="0" w:line="240" w:lineRule="auto"/>
        <w:rPr>
          <w:rFonts w:ascii="Century Gothic" w:eastAsia="Times New Roman" w:hAnsi="Century Gothic" w:cs="Arial"/>
          <w:b/>
          <w:sz w:val="24"/>
          <w:szCs w:val="24"/>
          <w:lang w:eastAsia="en-GB"/>
        </w:rPr>
      </w:pPr>
      <w:bookmarkStart w:id="1" w:name="_30j0zll" w:colFirst="0" w:colLast="0"/>
      <w:bookmarkEnd w:id="1"/>
    </w:p>
    <w:p w14:paraId="69F60E4A" w14:textId="5E382790" w:rsidR="00847C45" w:rsidRPr="003750E1"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3750E1" w:rsidRDefault="006540CE" w:rsidP="00BA1FCD">
      <w:pPr>
        <w:spacing w:line="240" w:lineRule="auto"/>
        <w:rPr>
          <w:rFonts w:ascii="Century Gothic" w:hAnsi="Century Gothic" w:cs="Arial"/>
          <w:sz w:val="24"/>
          <w:szCs w:val="24"/>
        </w:rPr>
      </w:pPr>
    </w:p>
    <w:p w14:paraId="62E2AB4E" w14:textId="77777777" w:rsidR="00BA1FCD" w:rsidRPr="003750E1" w:rsidRDefault="00BA1FCD">
      <w:pPr>
        <w:rPr>
          <w:rStyle w:val="Strong"/>
          <w:rFonts w:ascii="Century Gothic" w:hAnsi="Century Gothic" w:cs="Arial"/>
          <w:b w:val="0"/>
          <w:bCs w:val="0"/>
          <w:sz w:val="24"/>
          <w:szCs w:val="24"/>
        </w:rPr>
      </w:pPr>
    </w:p>
    <w:sectPr w:rsidR="00BA1FCD" w:rsidRPr="003750E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A8F0" w14:textId="77777777" w:rsidR="00397075" w:rsidRDefault="00397075" w:rsidP="00BA1FCD">
      <w:pPr>
        <w:spacing w:after="0" w:line="240" w:lineRule="auto"/>
      </w:pPr>
      <w:r>
        <w:separator/>
      </w:r>
    </w:p>
  </w:endnote>
  <w:endnote w:type="continuationSeparator" w:id="0">
    <w:p w14:paraId="4E23158F" w14:textId="77777777" w:rsidR="00397075" w:rsidRDefault="00397075"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CBEF" w14:textId="762D2DC5" w:rsidR="004A3546" w:rsidRPr="0044048C" w:rsidRDefault="004A3546" w:rsidP="004A3546">
    <w:pPr>
      <w:tabs>
        <w:tab w:val="left" w:pos="4050"/>
      </w:tabs>
      <w:spacing w:line="240" w:lineRule="auto"/>
      <w:rPr>
        <w:rFonts w:ascii="Century Gothic" w:hAnsi="Century Gothic" w:cs="Arial"/>
        <w:bCs/>
        <w:sz w:val="20"/>
        <w:szCs w:val="20"/>
      </w:rPr>
    </w:pPr>
    <w:r w:rsidRPr="0044048C">
      <w:rPr>
        <w:rFonts w:ascii="Century Gothic" w:hAnsi="Century Gothic" w:cs="Arial"/>
        <w:bCs/>
        <w:sz w:val="20"/>
        <w:szCs w:val="20"/>
      </w:rPr>
      <w:t>Access arrangements for Exams</w:t>
    </w:r>
    <w:r w:rsidRPr="0044048C">
      <w:rPr>
        <w:rFonts w:ascii="Century Gothic" w:hAnsi="Century Gothic" w:cs="Arial"/>
        <w:bCs/>
        <w:sz w:val="20"/>
        <w:szCs w:val="20"/>
      </w:rPr>
      <w:tab/>
      <w:t xml:space="preserve">Page </w:t>
    </w:r>
    <w:r w:rsidRPr="0044048C">
      <w:rPr>
        <w:rFonts w:ascii="Century Gothic" w:hAnsi="Century Gothic" w:cs="Arial"/>
        <w:bCs/>
        <w:sz w:val="20"/>
        <w:szCs w:val="20"/>
      </w:rPr>
      <w:fldChar w:fldCharType="begin"/>
    </w:r>
    <w:r w:rsidRPr="0044048C">
      <w:rPr>
        <w:rFonts w:ascii="Century Gothic" w:hAnsi="Century Gothic" w:cs="Arial"/>
        <w:bCs/>
        <w:sz w:val="20"/>
        <w:szCs w:val="20"/>
      </w:rPr>
      <w:instrText xml:space="preserve"> PAGE   \* MERGEFORMAT </w:instrText>
    </w:r>
    <w:r w:rsidRPr="0044048C">
      <w:rPr>
        <w:rFonts w:ascii="Century Gothic" w:hAnsi="Century Gothic" w:cs="Arial"/>
        <w:bCs/>
        <w:sz w:val="20"/>
        <w:szCs w:val="20"/>
      </w:rPr>
      <w:fldChar w:fldCharType="separate"/>
    </w:r>
    <w:r w:rsidRPr="0044048C">
      <w:rPr>
        <w:rFonts w:ascii="Century Gothic" w:hAnsi="Century Gothic" w:cs="Arial"/>
        <w:bCs/>
        <w:sz w:val="20"/>
        <w:szCs w:val="20"/>
      </w:rPr>
      <w:t>2</w:t>
    </w:r>
    <w:r w:rsidRPr="0044048C">
      <w:rPr>
        <w:rFonts w:ascii="Century Gothic" w:hAnsi="Century Gothic" w:cs="Arial"/>
        <w:bCs/>
        <w:noProof/>
        <w:sz w:val="20"/>
        <w:szCs w:val="20"/>
      </w:rPr>
      <w:fldChar w:fldCharType="end"/>
    </w:r>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51C8" w14:textId="77777777" w:rsidR="00397075" w:rsidRDefault="00397075" w:rsidP="00BA1FCD">
      <w:pPr>
        <w:spacing w:after="0" w:line="240" w:lineRule="auto"/>
      </w:pPr>
      <w:r>
        <w:separator/>
      </w:r>
    </w:p>
  </w:footnote>
  <w:footnote w:type="continuationSeparator" w:id="0">
    <w:p w14:paraId="6C603F48" w14:textId="77777777" w:rsidR="00397075" w:rsidRDefault="00397075"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907DF"/>
    <w:multiLevelType w:val="multilevel"/>
    <w:tmpl w:val="03FAF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0" w15:restartNumberingAfterBreak="0">
    <w:nsid w:val="6C9A1EA5"/>
    <w:multiLevelType w:val="hybridMultilevel"/>
    <w:tmpl w:val="B5AE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55BC9"/>
    <w:multiLevelType w:val="multilevel"/>
    <w:tmpl w:val="03FAF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0821957">
    <w:abstractNumId w:val="4"/>
  </w:num>
  <w:num w:numId="2" w16cid:durableId="423302887">
    <w:abstractNumId w:val="1"/>
  </w:num>
  <w:num w:numId="3" w16cid:durableId="1735007176">
    <w:abstractNumId w:val="7"/>
  </w:num>
  <w:num w:numId="4" w16cid:durableId="2009137895">
    <w:abstractNumId w:val="8"/>
  </w:num>
  <w:num w:numId="5" w16cid:durableId="422722417">
    <w:abstractNumId w:val="3"/>
  </w:num>
  <w:num w:numId="6" w16cid:durableId="1589389542">
    <w:abstractNumId w:val="6"/>
  </w:num>
  <w:num w:numId="7" w16cid:durableId="1910771937">
    <w:abstractNumId w:val="9"/>
  </w:num>
  <w:num w:numId="8" w16cid:durableId="751971286">
    <w:abstractNumId w:val="2"/>
  </w:num>
  <w:num w:numId="9" w16cid:durableId="821576866">
    <w:abstractNumId w:val="0"/>
  </w:num>
  <w:num w:numId="10" w16cid:durableId="945229817">
    <w:abstractNumId w:val="10"/>
  </w:num>
  <w:num w:numId="11" w16cid:durableId="1811554120">
    <w:abstractNumId w:val="11"/>
  </w:num>
  <w:num w:numId="12" w16cid:durableId="1426147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15C3C"/>
    <w:rsid w:val="00044502"/>
    <w:rsid w:val="000748C4"/>
    <w:rsid w:val="00122BCB"/>
    <w:rsid w:val="001910BD"/>
    <w:rsid w:val="001B05F0"/>
    <w:rsid w:val="001B3D9B"/>
    <w:rsid w:val="00227295"/>
    <w:rsid w:val="00264CF8"/>
    <w:rsid w:val="002F7EB8"/>
    <w:rsid w:val="00310F96"/>
    <w:rsid w:val="00323A3A"/>
    <w:rsid w:val="00325FFA"/>
    <w:rsid w:val="003750E1"/>
    <w:rsid w:val="00397075"/>
    <w:rsid w:val="003A22AA"/>
    <w:rsid w:val="003A3B9B"/>
    <w:rsid w:val="003B3807"/>
    <w:rsid w:val="003D786C"/>
    <w:rsid w:val="00401ED4"/>
    <w:rsid w:val="0044048C"/>
    <w:rsid w:val="004A3546"/>
    <w:rsid w:val="004B7109"/>
    <w:rsid w:val="0052675E"/>
    <w:rsid w:val="005366A8"/>
    <w:rsid w:val="005846EC"/>
    <w:rsid w:val="005C6004"/>
    <w:rsid w:val="0060529A"/>
    <w:rsid w:val="006479B2"/>
    <w:rsid w:val="006540CE"/>
    <w:rsid w:val="006E0F69"/>
    <w:rsid w:val="0078442B"/>
    <w:rsid w:val="00847C45"/>
    <w:rsid w:val="008C02A9"/>
    <w:rsid w:val="008C541A"/>
    <w:rsid w:val="008D271B"/>
    <w:rsid w:val="00934BD9"/>
    <w:rsid w:val="00995CB2"/>
    <w:rsid w:val="009E295F"/>
    <w:rsid w:val="00A01E2E"/>
    <w:rsid w:val="00A71D84"/>
    <w:rsid w:val="00A87B68"/>
    <w:rsid w:val="00AE08F1"/>
    <w:rsid w:val="00B153B7"/>
    <w:rsid w:val="00BA1FCD"/>
    <w:rsid w:val="00BD5556"/>
    <w:rsid w:val="00BE5876"/>
    <w:rsid w:val="00C3027D"/>
    <w:rsid w:val="00C64208"/>
    <w:rsid w:val="00CA23CF"/>
    <w:rsid w:val="00CD30DC"/>
    <w:rsid w:val="00CE089B"/>
    <w:rsid w:val="00D5230E"/>
    <w:rsid w:val="00D61F3F"/>
    <w:rsid w:val="00D63F5B"/>
    <w:rsid w:val="00DC6F51"/>
    <w:rsid w:val="00E24C58"/>
    <w:rsid w:val="00EC4A5C"/>
    <w:rsid w:val="00F02A97"/>
    <w:rsid w:val="00F6417B"/>
    <w:rsid w:val="00F97691"/>
    <w:rsid w:val="00FC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5F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y-stage-2-tests-access-arrangements" TargetMode="External"/><Relationship Id="rId18" Type="http://schemas.openxmlformats.org/officeDocument/2006/relationships/hyperlink" Target="https://www.youtube.com/@SENDIASSMancheste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jcq.org.uk/exams-office/access-arrangements-and-special-consideration/" TargetMode="External"/><Relationship Id="rId17" Type="http://schemas.openxmlformats.org/officeDocument/2006/relationships/hyperlink" Target="https://www.iasmanchester.org/podcasts" TargetMode="External"/><Relationship Id="rId2" Type="http://schemas.openxmlformats.org/officeDocument/2006/relationships/numbering" Target="numbering.xml"/><Relationship Id="rId16" Type="http://schemas.openxmlformats.org/officeDocument/2006/relationships/hyperlink" Target="https://www.iasmanchester.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bdadyslexia.org.uk/uploads/documents/About/Policy/JCQ-Parent-guidance-information-sheet-2024.pdf?v=17085223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asmanchester.org/contact" TargetMode="External"/><Relationship Id="rId23" Type="http://schemas.openxmlformats.org/officeDocument/2006/relationships/fontTable" Target="fontTable.xml"/><Relationship Id="rId10" Type="http://schemas.openxmlformats.org/officeDocument/2006/relationships/hyperlink" Target="https://www.ipsea.org.uk/asking-for-help-in-exam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ndiass@manchester.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8330-9F79-410E-951F-113C9140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4</cp:revision>
  <dcterms:created xsi:type="dcterms:W3CDTF">2025-08-27T10:39:00Z</dcterms:created>
  <dcterms:modified xsi:type="dcterms:W3CDTF">2025-08-29T09:16:00Z</dcterms:modified>
</cp:coreProperties>
</file>