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1499" w14:textId="1E719C4D" w:rsidR="001A1490" w:rsidRDefault="001A1490" w:rsidP="00507279">
      <w:pPr>
        <w:spacing w:after="0"/>
        <w:rPr>
          <w:b/>
          <w:bCs/>
        </w:rPr>
      </w:pPr>
      <w:r w:rsidRPr="001A1490">
        <w:rPr>
          <w:b/>
          <w:bCs/>
        </w:rPr>
        <w:t>EXECUTIVE SUMMARY: Tallassee Mill Sites Redevelopment</w:t>
      </w:r>
    </w:p>
    <w:p w14:paraId="5C9427A0" w14:textId="517C27A8" w:rsidR="00507279" w:rsidRPr="00507279" w:rsidRDefault="00507279" w:rsidP="00507279">
      <w:pPr>
        <w:spacing w:after="0"/>
      </w:pPr>
      <w:r w:rsidRPr="00507279">
        <w:t>(derived from TRA Sponsored studies)</w:t>
      </w:r>
    </w:p>
    <w:p w14:paraId="6CB332C2" w14:textId="0785EE19" w:rsidR="001A1490" w:rsidRPr="001A1490" w:rsidRDefault="001A1490" w:rsidP="001A149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117368D" wp14:editId="5068469C">
            <wp:simplePos x="0" y="0"/>
            <wp:positionH relativeFrom="column">
              <wp:posOffset>-352425</wp:posOffset>
            </wp:positionH>
            <wp:positionV relativeFrom="paragraph">
              <wp:posOffset>330835</wp:posOffset>
            </wp:positionV>
            <wp:extent cx="2362200" cy="1574800"/>
            <wp:effectExtent l="0" t="0" r="0" b="6350"/>
            <wp:wrapSquare wrapText="bothSides"/>
            <wp:docPr id="2070407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07586" name="Picture 2070407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1490">
        <w:rPr>
          <w:b/>
          <w:bCs/>
        </w:rPr>
        <w:t>The Opportunity</w:t>
      </w:r>
    </w:p>
    <w:p w14:paraId="31AF1C03" w14:textId="72BD571D" w:rsidR="001A1490" w:rsidRPr="001A1490" w:rsidRDefault="001A1490" w:rsidP="001A1490">
      <w:r w:rsidRPr="001A1490">
        <w:t xml:space="preserve">The historic Tallassee Mill sites represent a premier </w:t>
      </w:r>
      <w:r w:rsidRPr="001A1490">
        <w:rPr>
          <w:b/>
          <w:bCs/>
        </w:rPr>
        <w:t>4.9-acre riverfront investment opportunity</w:t>
      </w:r>
      <w:r w:rsidRPr="001A1490">
        <w:t xml:space="preserve"> to transform Alabama’s oldest continuously operating textile mill complex (</w:t>
      </w:r>
      <w:r w:rsidRPr="001A1490">
        <w:rPr>
          <w:b/>
          <w:bCs/>
        </w:rPr>
        <w:t>1844–2005</w:t>
      </w:r>
      <w:r w:rsidRPr="001A1490">
        <w:t>) into a world-class mixed-use destination. Located at the heart of the Montgomery-Auburn corridor, the site offers exceptional historic significance combined with established community support and regional highway access.</w:t>
      </w:r>
    </w:p>
    <w:p w14:paraId="25D26959" w14:textId="77777777" w:rsidR="001A1490" w:rsidRPr="001A1490" w:rsidRDefault="001A1490" w:rsidP="001A1490">
      <w:pPr>
        <w:rPr>
          <w:b/>
          <w:bCs/>
        </w:rPr>
      </w:pPr>
      <w:r w:rsidRPr="001A1490">
        <w:rPr>
          <w:b/>
          <w:bCs/>
        </w:rPr>
        <w:t>Strategic Development Options</w:t>
      </w:r>
    </w:p>
    <w:p w14:paraId="14202F09" w14:textId="77777777" w:rsidR="001A1490" w:rsidRPr="001A1490" w:rsidRDefault="001A1490" w:rsidP="001A1490">
      <w:r w:rsidRPr="001A1490">
        <w:t>Current market analysis identifies three high-yield tracks designed to fill existing regional gaps in cultural and community amenities:</w:t>
      </w:r>
    </w:p>
    <w:p w14:paraId="31B92C7C" w14:textId="77777777" w:rsidR="001A1490" w:rsidRPr="001A1490" w:rsidRDefault="001A1490" w:rsidP="001A1490">
      <w:pPr>
        <w:numPr>
          <w:ilvl w:val="0"/>
          <w:numId w:val="6"/>
        </w:numPr>
      </w:pPr>
      <w:r w:rsidRPr="001A1490">
        <w:rPr>
          <w:b/>
          <w:bCs/>
        </w:rPr>
        <w:t>Option 1: Heritage Tourism &amp; Creative Hub:</w:t>
      </w:r>
      <w:r w:rsidRPr="001A1490">
        <w:t xml:space="preserve"> Leveraging the unique Civil War Armory history to create artist studios, maker spaces, and a flagship farm-to-table riverfront restaurant.</w:t>
      </w:r>
    </w:p>
    <w:p w14:paraId="27EC5E13" w14:textId="77777777" w:rsidR="001A1490" w:rsidRPr="001A1490" w:rsidRDefault="001A1490" w:rsidP="001A1490">
      <w:pPr>
        <w:numPr>
          <w:ilvl w:val="0"/>
          <w:numId w:val="6"/>
        </w:numPr>
      </w:pPr>
      <w:r w:rsidRPr="001A1490">
        <w:rPr>
          <w:b/>
          <w:bCs/>
        </w:rPr>
        <w:t>Option 2: Community Event &amp; Recreation Hub:</w:t>
      </w:r>
      <w:r w:rsidRPr="001A1490">
        <w:t xml:space="preserve"> A focused entry point for premium wedding/event venues and outdoor river recreation programming, such as kayak launches.</w:t>
      </w:r>
    </w:p>
    <w:p w14:paraId="31E1CE41" w14:textId="77777777" w:rsidR="001A1490" w:rsidRPr="001A1490" w:rsidRDefault="001A1490" w:rsidP="001A1490">
      <w:pPr>
        <w:numPr>
          <w:ilvl w:val="0"/>
          <w:numId w:val="6"/>
        </w:numPr>
      </w:pPr>
      <w:r w:rsidRPr="001A1490">
        <w:rPr>
          <w:b/>
          <w:bCs/>
        </w:rPr>
        <w:t>Option 3: Mixed-Use Innovation District:</w:t>
      </w:r>
      <w:r w:rsidRPr="001A1490">
        <w:t xml:space="preserve"> Coworking and prototyping facilities targeting </w:t>
      </w:r>
      <w:proofErr w:type="gramStart"/>
      <w:r w:rsidRPr="001A1490">
        <w:t xml:space="preserve">the </w:t>
      </w:r>
      <w:r w:rsidRPr="001A1490">
        <w:rPr>
          <w:b/>
          <w:bCs/>
        </w:rPr>
        <w:t>63</w:t>
      </w:r>
      <w:proofErr w:type="gramEnd"/>
      <w:r w:rsidRPr="001A1490">
        <w:rPr>
          <w:b/>
          <w:bCs/>
        </w:rPr>
        <w:t>% of residents</w:t>
      </w:r>
      <w:r w:rsidRPr="001A1490">
        <w:t xml:space="preserve"> who currently work outside the county.</w:t>
      </w:r>
    </w:p>
    <w:p w14:paraId="3EB254CD" w14:textId="77777777" w:rsidR="001A1490" w:rsidRPr="001A1490" w:rsidRDefault="001A1490" w:rsidP="001A1490">
      <w:pPr>
        <w:rPr>
          <w:b/>
          <w:bCs/>
        </w:rPr>
      </w:pPr>
      <w:r w:rsidRPr="001A1490">
        <w:rPr>
          <w:b/>
          <w:bCs/>
        </w:rPr>
        <w:t>Financial &amp; Economic Highlights</w:t>
      </w:r>
    </w:p>
    <w:p w14:paraId="5A6C175C" w14:textId="77777777" w:rsidR="001A1490" w:rsidRPr="001A1490" w:rsidRDefault="001A1490" w:rsidP="001A1490">
      <w:pPr>
        <w:numPr>
          <w:ilvl w:val="0"/>
          <w:numId w:val="7"/>
        </w:numPr>
      </w:pPr>
      <w:r w:rsidRPr="001A1490">
        <w:rPr>
          <w:b/>
          <w:bCs/>
        </w:rPr>
        <w:t>Narrative Arbitrage:</w:t>
      </w:r>
      <w:r w:rsidRPr="001A1490">
        <w:t xml:space="preserve"> The site’s historic character justifies premium rental rates of </w:t>
      </w:r>
      <w:r w:rsidRPr="001A1490">
        <w:rPr>
          <w:b/>
          <w:bCs/>
        </w:rPr>
        <w:t>$12–$18/SF</w:t>
      </w:r>
      <w:r w:rsidRPr="001A1490">
        <w:t xml:space="preserve">, compared to the local conventional retail market of </w:t>
      </w:r>
      <w:r w:rsidRPr="001A1490">
        <w:rPr>
          <w:b/>
          <w:bCs/>
        </w:rPr>
        <w:t>$5–$10/SF</w:t>
      </w:r>
      <w:r w:rsidRPr="001A1490">
        <w:t>.</w:t>
      </w:r>
    </w:p>
    <w:p w14:paraId="7FC90AEC" w14:textId="77777777" w:rsidR="001A1490" w:rsidRPr="001A1490" w:rsidRDefault="001A1490" w:rsidP="001A1490">
      <w:pPr>
        <w:numPr>
          <w:ilvl w:val="0"/>
          <w:numId w:val="7"/>
        </w:numPr>
      </w:pPr>
      <w:r w:rsidRPr="001A1490">
        <w:rPr>
          <w:b/>
          <w:bCs/>
        </w:rPr>
        <w:t>Job Creation:</w:t>
      </w:r>
      <w:r w:rsidRPr="001A1490">
        <w:t xml:space="preserve"> Projected to create </w:t>
      </w:r>
      <w:r w:rsidRPr="001A1490">
        <w:rPr>
          <w:b/>
          <w:bCs/>
        </w:rPr>
        <w:t>75–125 permanent full-time positions</w:t>
      </w:r>
      <w:r w:rsidRPr="001A1490">
        <w:t>.</w:t>
      </w:r>
    </w:p>
    <w:p w14:paraId="5EB4EC27" w14:textId="77777777" w:rsidR="001A1490" w:rsidRPr="001A1490" w:rsidRDefault="001A1490" w:rsidP="001A1490">
      <w:pPr>
        <w:numPr>
          <w:ilvl w:val="0"/>
          <w:numId w:val="7"/>
        </w:numPr>
      </w:pPr>
      <w:r w:rsidRPr="001A1490">
        <w:rPr>
          <w:b/>
          <w:bCs/>
        </w:rPr>
        <w:t>Economic Impact:</w:t>
      </w:r>
      <w:r w:rsidRPr="001A1490">
        <w:t xml:space="preserve"> Estimated </w:t>
      </w:r>
      <w:r w:rsidRPr="001A1490">
        <w:rPr>
          <w:b/>
          <w:bCs/>
        </w:rPr>
        <w:t>$8–$12 million annual impact</w:t>
      </w:r>
      <w:r w:rsidRPr="001A1490">
        <w:t xml:space="preserve"> over a 10-year horizon.</w:t>
      </w:r>
    </w:p>
    <w:p w14:paraId="5DD48E13" w14:textId="77777777" w:rsidR="001A1490" w:rsidRPr="001A1490" w:rsidRDefault="001A1490" w:rsidP="001A1490">
      <w:pPr>
        <w:numPr>
          <w:ilvl w:val="0"/>
          <w:numId w:val="7"/>
        </w:numPr>
      </w:pPr>
      <w:r w:rsidRPr="001A1490">
        <w:rPr>
          <w:b/>
          <w:bCs/>
        </w:rPr>
        <w:t>Investment Tiers:</w:t>
      </w:r>
      <w:r w:rsidRPr="001A1490">
        <w:t xml:space="preserve"> Conceptual estimates range from </w:t>
      </w:r>
      <w:r w:rsidRPr="001A1490">
        <w:rPr>
          <w:b/>
          <w:bCs/>
        </w:rPr>
        <w:t>$1.5M to $7M</w:t>
      </w:r>
      <w:r w:rsidRPr="001A1490">
        <w:t xml:space="preserve"> depending on the selected development track.</w:t>
      </w:r>
    </w:p>
    <w:p w14:paraId="4FC9BC0C" w14:textId="77777777" w:rsidR="001A1490" w:rsidRDefault="001A1490" w:rsidP="001A1490">
      <w:pPr>
        <w:rPr>
          <w:b/>
          <w:bCs/>
        </w:rPr>
      </w:pPr>
    </w:p>
    <w:p w14:paraId="76CDCE17" w14:textId="77777777" w:rsidR="001A1490" w:rsidRDefault="001A1490" w:rsidP="001A1490">
      <w:pPr>
        <w:rPr>
          <w:b/>
          <w:bCs/>
        </w:rPr>
      </w:pPr>
    </w:p>
    <w:p w14:paraId="3E5B5D0C" w14:textId="093FFCB1" w:rsidR="001A1490" w:rsidRPr="001A1490" w:rsidRDefault="001A1490" w:rsidP="001A1490">
      <w:pPr>
        <w:rPr>
          <w:b/>
          <w:bCs/>
        </w:rPr>
      </w:pPr>
      <w:r w:rsidRPr="001A1490">
        <w:rPr>
          <w:b/>
          <w:bCs/>
        </w:rPr>
        <w:lastRenderedPageBreak/>
        <w:t>Asset Specifics: Building Inventory</w:t>
      </w:r>
    </w:p>
    <w:p w14:paraId="520D6FA6" w14:textId="77777777" w:rsidR="001A1490" w:rsidRPr="001A1490" w:rsidRDefault="001A1490" w:rsidP="001A1490">
      <w:r w:rsidRPr="001A1490">
        <w:t xml:space="preserve">The site features approximately </w:t>
      </w:r>
      <w:r w:rsidRPr="001A1490">
        <w:rPr>
          <w:b/>
          <w:bCs/>
        </w:rPr>
        <w:t>126,500 GSF</w:t>
      </w:r>
      <w:r w:rsidRPr="001A1490">
        <w:t xml:space="preserve"> of high-volume stone and brick structures ideal for adaptive reuse:</w:t>
      </w:r>
    </w:p>
    <w:p w14:paraId="6881086C" w14:textId="77777777" w:rsidR="001A1490" w:rsidRPr="001A1490" w:rsidRDefault="001A1490" w:rsidP="001A1490">
      <w:pPr>
        <w:numPr>
          <w:ilvl w:val="0"/>
          <w:numId w:val="8"/>
        </w:numPr>
      </w:pPr>
      <w:r w:rsidRPr="001A1490">
        <w:rPr>
          <w:b/>
          <w:bCs/>
        </w:rPr>
        <w:t>Main Mill (1852):</w:t>
      </w:r>
      <w:r w:rsidRPr="001A1490">
        <w:t xml:space="preserve"> Approximately </w:t>
      </w:r>
      <w:r w:rsidRPr="001A1490">
        <w:rPr>
          <w:b/>
          <w:bCs/>
        </w:rPr>
        <w:t>80,000 GSF</w:t>
      </w:r>
      <w:r w:rsidRPr="001A1490">
        <w:t xml:space="preserve"> proposed for hotel, restaurant, and office use.</w:t>
      </w:r>
    </w:p>
    <w:p w14:paraId="392CFE43" w14:textId="3C59DD7C" w:rsidR="001A1490" w:rsidRPr="001A1490" w:rsidRDefault="001A1490" w:rsidP="001A1490">
      <w:pPr>
        <w:numPr>
          <w:ilvl w:val="0"/>
          <w:numId w:val="8"/>
        </w:numPr>
      </w:pPr>
      <w:r w:rsidRPr="001A1490">
        <w:rPr>
          <w:b/>
          <w:bCs/>
        </w:rPr>
        <w:t>Duck Mill (1878</w:t>
      </w:r>
      <w:r w:rsidR="00BE2C77">
        <w:rPr>
          <w:b/>
          <w:bCs/>
        </w:rPr>
        <w:t xml:space="preserve"> attached to Main Mill</w:t>
      </w:r>
      <w:r w:rsidRPr="001A1490">
        <w:rPr>
          <w:b/>
          <w:bCs/>
        </w:rPr>
        <w:t>):</w:t>
      </w:r>
      <w:r w:rsidRPr="001A1490">
        <w:t xml:space="preserve"> Approximately </w:t>
      </w:r>
      <w:r w:rsidRPr="001A1490">
        <w:rPr>
          <w:b/>
          <w:bCs/>
        </w:rPr>
        <w:t>30,000 GSF</w:t>
      </w:r>
      <w:r w:rsidRPr="001A1490">
        <w:t xml:space="preserve"> planned for a conference center, meeting rooms, or additional lodging.</w:t>
      </w:r>
    </w:p>
    <w:p w14:paraId="0E2320D1" w14:textId="77777777" w:rsidR="001A1490" w:rsidRPr="001A1490" w:rsidRDefault="001A1490" w:rsidP="001A1490">
      <w:pPr>
        <w:numPr>
          <w:ilvl w:val="0"/>
          <w:numId w:val="8"/>
        </w:numPr>
      </w:pPr>
      <w:r w:rsidRPr="001A1490">
        <w:rPr>
          <w:b/>
          <w:bCs/>
        </w:rPr>
        <w:t>The Armory (1844):</w:t>
      </w:r>
      <w:r w:rsidRPr="001A1490">
        <w:t xml:space="preserve"> Approximately </w:t>
      </w:r>
      <w:r w:rsidRPr="001A1490">
        <w:rPr>
          <w:b/>
          <w:bCs/>
        </w:rPr>
        <w:t>12,200 GSF</w:t>
      </w:r>
      <w:r w:rsidRPr="001A1490">
        <w:t>; the only standing Confederate Armory, proposed for museum and gallery space.</w:t>
      </w:r>
    </w:p>
    <w:p w14:paraId="74AEA88C" w14:textId="77777777" w:rsidR="001A1490" w:rsidRPr="001A1490" w:rsidRDefault="001A1490" w:rsidP="001A1490">
      <w:pPr>
        <w:numPr>
          <w:ilvl w:val="0"/>
          <w:numId w:val="8"/>
        </w:numPr>
      </w:pPr>
      <w:r w:rsidRPr="001A1490">
        <w:rPr>
          <w:b/>
          <w:bCs/>
        </w:rPr>
        <w:t>Warehouse (1884):</w:t>
      </w:r>
      <w:r w:rsidRPr="001A1490">
        <w:t xml:space="preserve"> A </w:t>
      </w:r>
      <w:r w:rsidRPr="001A1490">
        <w:rPr>
          <w:b/>
          <w:bCs/>
        </w:rPr>
        <w:t>4,300 GSF</w:t>
      </w:r>
      <w:r w:rsidRPr="001A1490">
        <w:t xml:space="preserve"> single-story structure with stone bearing walls. Proposed uses include a </w:t>
      </w:r>
      <w:r w:rsidRPr="001A1490">
        <w:rPr>
          <w:b/>
          <w:bCs/>
        </w:rPr>
        <w:t>brewery, coworking areas, small-scale manufacturing</w:t>
      </w:r>
      <w:r w:rsidRPr="001A1490">
        <w:t>, or a farmer’s market.</w:t>
      </w:r>
    </w:p>
    <w:p w14:paraId="6B84ECA8" w14:textId="77777777" w:rsidR="001A1490" w:rsidRPr="001A1490" w:rsidRDefault="001A1490" w:rsidP="001A1490">
      <w:pPr>
        <w:rPr>
          <w:b/>
          <w:bCs/>
        </w:rPr>
      </w:pPr>
      <w:r w:rsidRPr="001A1490">
        <w:rPr>
          <w:b/>
          <w:bCs/>
        </w:rPr>
        <w:t>Incentives &amp; De-risking Strategy</w:t>
      </w:r>
    </w:p>
    <w:p w14:paraId="6577D527" w14:textId="77777777" w:rsidR="001A1490" w:rsidRPr="001A1490" w:rsidRDefault="001A1490" w:rsidP="001A1490">
      <w:pPr>
        <w:numPr>
          <w:ilvl w:val="0"/>
          <w:numId w:val="9"/>
        </w:numPr>
      </w:pPr>
      <w:r w:rsidRPr="001A1490">
        <w:rPr>
          <w:b/>
          <w:bCs/>
        </w:rPr>
        <w:t>Capital Stack Optimization:</w:t>
      </w:r>
      <w:r w:rsidRPr="001A1490">
        <w:t xml:space="preserve"> Direct access to a </w:t>
      </w:r>
      <w:r w:rsidRPr="001A1490">
        <w:rPr>
          <w:b/>
          <w:bCs/>
        </w:rPr>
        <w:t>45% Historic Tax Credit</w:t>
      </w:r>
      <w:r w:rsidRPr="001A1490">
        <w:t xml:space="preserve"> (20% Federal, 25% State) for qualified rehabilitation costs.</w:t>
      </w:r>
    </w:p>
    <w:p w14:paraId="41391734" w14:textId="77777777" w:rsidR="001A1490" w:rsidRPr="001A1490" w:rsidRDefault="001A1490" w:rsidP="001A1490">
      <w:pPr>
        <w:numPr>
          <w:ilvl w:val="0"/>
          <w:numId w:val="9"/>
        </w:numPr>
      </w:pPr>
      <w:r w:rsidRPr="001A1490">
        <w:rPr>
          <w:b/>
          <w:bCs/>
        </w:rPr>
        <w:t>Environmental Management:</w:t>
      </w:r>
      <w:r w:rsidRPr="001A1490">
        <w:t xml:space="preserve"> Manageable contamination typical of historic textile sites with an estimated remediation cost of </w:t>
      </w:r>
      <w:r w:rsidRPr="001A1490">
        <w:rPr>
          <w:b/>
          <w:bCs/>
        </w:rPr>
        <w:t>$275,000–$650,000</w:t>
      </w:r>
      <w:r w:rsidRPr="001A1490">
        <w:t>.</w:t>
      </w:r>
    </w:p>
    <w:p w14:paraId="463BFE28" w14:textId="77777777" w:rsidR="001A1490" w:rsidRPr="001A1490" w:rsidRDefault="001A1490" w:rsidP="001A1490">
      <w:pPr>
        <w:numPr>
          <w:ilvl w:val="0"/>
          <w:numId w:val="9"/>
        </w:numPr>
      </w:pPr>
      <w:r w:rsidRPr="001A1490">
        <w:rPr>
          <w:b/>
          <w:bCs/>
        </w:rPr>
        <w:t>Grant Eligibility:</w:t>
      </w:r>
      <w:r w:rsidRPr="001A1490">
        <w:t xml:space="preserve"> The site is eligible for </w:t>
      </w:r>
      <w:r w:rsidRPr="001A1490">
        <w:rPr>
          <w:b/>
          <w:bCs/>
        </w:rPr>
        <w:t>EPA Brownfields Grants</w:t>
      </w:r>
      <w:r w:rsidRPr="001A1490">
        <w:t xml:space="preserve"> ($200k–$500k) and </w:t>
      </w:r>
      <w:r w:rsidRPr="001A1490">
        <w:rPr>
          <w:b/>
          <w:bCs/>
        </w:rPr>
        <w:t>USDA Rural Development</w:t>
      </w:r>
      <w:r w:rsidRPr="001A1490">
        <w:t xml:space="preserve"> funding.</w:t>
      </w:r>
    </w:p>
    <w:p w14:paraId="06921D53" w14:textId="77777777" w:rsidR="001A1490" w:rsidRPr="001A1490" w:rsidRDefault="001A1490" w:rsidP="001A1490">
      <w:pPr>
        <w:rPr>
          <w:b/>
          <w:bCs/>
        </w:rPr>
      </w:pPr>
      <w:r w:rsidRPr="001A1490">
        <w:rPr>
          <w:b/>
          <w:bCs/>
        </w:rPr>
        <w:t>Market Dynamics</w:t>
      </w:r>
    </w:p>
    <w:p w14:paraId="2E7BB5FF" w14:textId="77777777" w:rsidR="001A1490" w:rsidRPr="001A1490" w:rsidRDefault="001A1490" w:rsidP="001A1490">
      <w:pPr>
        <w:numPr>
          <w:ilvl w:val="0"/>
          <w:numId w:val="10"/>
        </w:numPr>
      </w:pPr>
      <w:r w:rsidRPr="001A1490">
        <w:rPr>
          <w:b/>
          <w:bCs/>
        </w:rPr>
        <w:t>Regional Reach:</w:t>
      </w:r>
      <w:r w:rsidRPr="001A1490">
        <w:t xml:space="preserve"> Accessible to </w:t>
      </w:r>
      <w:r w:rsidRPr="001A1490">
        <w:rPr>
          <w:b/>
          <w:bCs/>
        </w:rPr>
        <w:t>750,000+ residents</w:t>
      </w:r>
      <w:r w:rsidRPr="001A1490">
        <w:t xml:space="preserve"> within a 45-minute drive (Montgomery/Auburn/Birmingham).</w:t>
      </w:r>
    </w:p>
    <w:p w14:paraId="5B01BDFE" w14:textId="77777777" w:rsidR="001A1490" w:rsidRPr="001A1490" w:rsidRDefault="001A1490" w:rsidP="001A1490">
      <w:pPr>
        <w:numPr>
          <w:ilvl w:val="0"/>
          <w:numId w:val="10"/>
        </w:numPr>
      </w:pPr>
      <w:r w:rsidRPr="001A1490">
        <w:rPr>
          <w:b/>
          <w:bCs/>
        </w:rPr>
        <w:t>Tourism Synergy:</w:t>
      </w:r>
      <w:r w:rsidRPr="001A1490">
        <w:t xml:space="preserve"> Strategic proximity to Lake Martin, which draws over </w:t>
      </w:r>
      <w:r w:rsidRPr="001A1490">
        <w:rPr>
          <w:b/>
          <w:bCs/>
        </w:rPr>
        <w:t>100,000 annual tourists</w:t>
      </w:r>
      <w:r w:rsidRPr="001A1490">
        <w:t xml:space="preserve"> seeking cultural activities beyond water recreation.</w:t>
      </w:r>
    </w:p>
    <w:p w14:paraId="6CE2A89D" w14:textId="77777777" w:rsidR="001A1490" w:rsidRPr="001A1490" w:rsidRDefault="002911E9" w:rsidP="001A1490">
      <w:r>
        <w:pict w14:anchorId="13754F91">
          <v:rect id="_x0000_i1025" style="width:0;height:1.5pt" o:hralign="center" o:hrstd="t" o:hrnoshade="t" o:hr="t" fillcolor="gray" stroked="f"/>
        </w:pict>
      </w:r>
    </w:p>
    <w:p w14:paraId="4E6B8C17" w14:textId="77777777" w:rsidR="001A1490" w:rsidRPr="001A1490" w:rsidRDefault="001A1490" w:rsidP="001A1490">
      <w:r w:rsidRPr="001A1490">
        <w:rPr>
          <w:b/>
          <w:bCs/>
        </w:rPr>
        <w:t>Strategic Readiness:</w:t>
      </w:r>
      <w:r w:rsidRPr="001A1490">
        <w:t xml:space="preserve"> The City of Tallassee and the Tallassee Redevelopment Authority (TRA) have established a phased implementation roadmap, prioritizing environmental clearance and professional partnership development with entities like </w:t>
      </w:r>
      <w:r w:rsidRPr="001A1490">
        <w:rPr>
          <w:b/>
          <w:bCs/>
        </w:rPr>
        <w:t>Auburn University</w:t>
      </w:r>
      <w:r w:rsidRPr="001A1490">
        <w:t xml:space="preserve">. For full prospectus and site access, visit </w:t>
      </w:r>
      <w:proofErr w:type="gramStart"/>
      <w:r w:rsidRPr="001A1490">
        <w:rPr>
          <w:b/>
          <w:bCs/>
        </w:rPr>
        <w:t>tallasseeredevelopment.com</w:t>
      </w:r>
      <w:proofErr w:type="gramEnd"/>
      <w:r w:rsidRPr="001A1490">
        <w:t>.</w:t>
      </w:r>
    </w:p>
    <w:p w14:paraId="7F67F7DA" w14:textId="23D5C085" w:rsidR="001A1490" w:rsidRPr="001A1490" w:rsidRDefault="001A1490" w:rsidP="001A1490"/>
    <w:sectPr w:rsidR="001A1490" w:rsidRPr="001A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D8C"/>
    <w:multiLevelType w:val="multilevel"/>
    <w:tmpl w:val="335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06881"/>
    <w:multiLevelType w:val="multilevel"/>
    <w:tmpl w:val="EE46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82DD4"/>
    <w:multiLevelType w:val="multilevel"/>
    <w:tmpl w:val="B4C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E5DF3"/>
    <w:multiLevelType w:val="multilevel"/>
    <w:tmpl w:val="DDF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978B4"/>
    <w:multiLevelType w:val="multilevel"/>
    <w:tmpl w:val="A2F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0341"/>
    <w:multiLevelType w:val="multilevel"/>
    <w:tmpl w:val="067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61C85"/>
    <w:multiLevelType w:val="multilevel"/>
    <w:tmpl w:val="BDD6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2187B"/>
    <w:multiLevelType w:val="multilevel"/>
    <w:tmpl w:val="DE84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97336"/>
    <w:multiLevelType w:val="multilevel"/>
    <w:tmpl w:val="83B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A68B5"/>
    <w:multiLevelType w:val="multilevel"/>
    <w:tmpl w:val="66D6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430602">
    <w:abstractNumId w:val="2"/>
  </w:num>
  <w:num w:numId="2" w16cid:durableId="1354334010">
    <w:abstractNumId w:val="3"/>
  </w:num>
  <w:num w:numId="3" w16cid:durableId="1365864282">
    <w:abstractNumId w:val="5"/>
  </w:num>
  <w:num w:numId="4" w16cid:durableId="530923742">
    <w:abstractNumId w:val="1"/>
  </w:num>
  <w:num w:numId="5" w16cid:durableId="375279510">
    <w:abstractNumId w:val="4"/>
  </w:num>
  <w:num w:numId="6" w16cid:durableId="963119657">
    <w:abstractNumId w:val="0"/>
  </w:num>
  <w:num w:numId="7" w16cid:durableId="1995179780">
    <w:abstractNumId w:val="8"/>
  </w:num>
  <w:num w:numId="8" w16cid:durableId="814953004">
    <w:abstractNumId w:val="6"/>
  </w:num>
  <w:num w:numId="9" w16cid:durableId="601377669">
    <w:abstractNumId w:val="9"/>
  </w:num>
  <w:num w:numId="10" w16cid:durableId="425152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0"/>
    <w:rsid w:val="001A1490"/>
    <w:rsid w:val="0024749D"/>
    <w:rsid w:val="002D0C04"/>
    <w:rsid w:val="00507279"/>
    <w:rsid w:val="00B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0E2F"/>
  <w15:chartTrackingRefBased/>
  <w15:docId w15:val="{4CB3263F-26FF-450D-A62A-99EC8AE9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3849fc-269b-41c1-84ec-7286958bcd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3CF8245B7EB41999FD7A38B43510F" ma:contentTypeVersion="12" ma:contentTypeDescription="Create a new document." ma:contentTypeScope="" ma:versionID="912dbb8df4f347002cd6b8317d5e9a8c">
  <xsd:schema xmlns:xsd="http://www.w3.org/2001/XMLSchema" xmlns:xs="http://www.w3.org/2001/XMLSchema" xmlns:p="http://schemas.microsoft.com/office/2006/metadata/properties" xmlns:ns3="613849fc-269b-41c1-84ec-7286958bcd0a" targetNamespace="http://schemas.microsoft.com/office/2006/metadata/properties" ma:root="true" ma:fieldsID="f314ae4c04868acd79900f744bddbcb9" ns3:_="">
    <xsd:import namespace="613849fc-269b-41c1-84ec-7286958bcd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849fc-269b-41c1-84ec-7286958b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091C7-2327-455E-8B64-5F4B08A9BB7E}">
  <ds:schemaRefs>
    <ds:schemaRef ds:uri="http://schemas.microsoft.com/office/2006/metadata/properties"/>
    <ds:schemaRef ds:uri="http://schemas.microsoft.com/office/infopath/2007/PartnerControls"/>
    <ds:schemaRef ds:uri="613849fc-269b-41c1-84ec-7286958bcd0a"/>
  </ds:schemaRefs>
</ds:datastoreItem>
</file>

<file path=customXml/itemProps2.xml><?xml version="1.0" encoding="utf-8"?>
<ds:datastoreItem xmlns:ds="http://schemas.openxmlformats.org/officeDocument/2006/customXml" ds:itemID="{2AA94B94-8B6B-418C-802C-0DD8E74BD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90CEF-ACFF-4933-BCC9-1DD99A094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849fc-269b-41c1-84ec-7286958b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2888</Characters>
  <Application>Microsoft Office Word</Application>
  <DocSecurity>0</DocSecurity>
  <Lines>57</Lines>
  <Paragraphs>31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Easterling</dc:creator>
  <cp:keywords/>
  <dc:description/>
  <cp:lastModifiedBy>Carpenter, Easterling</cp:lastModifiedBy>
  <cp:revision>2</cp:revision>
  <dcterms:created xsi:type="dcterms:W3CDTF">2026-03-25T13:17:00Z</dcterms:created>
  <dcterms:modified xsi:type="dcterms:W3CDTF">2026-03-25T13:17:00Z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0x010100EC73CF8245B7EB41999FD7A38B43510F</vt:lpwstr>
  </property>
</Properties>
</file>