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36E0" w14:textId="77777777" w:rsidR="007070E5" w:rsidRPr="007070E5" w:rsidRDefault="007070E5" w:rsidP="007070E5">
      <w:pPr>
        <w:pStyle w:val="Heading1"/>
      </w:pPr>
      <w:r w:rsidRPr="007070E5">
        <w:t>Tallassee Mill Sites Redevelopment</w:t>
      </w:r>
    </w:p>
    <w:p w14:paraId="23C00505" w14:textId="77777777" w:rsidR="007070E5" w:rsidRPr="007070E5" w:rsidRDefault="007070E5" w:rsidP="007070E5">
      <w:pPr>
        <w:pStyle w:val="Heading2"/>
      </w:pPr>
      <w:r w:rsidRPr="007070E5">
        <w:t>A 120,000+ SF Historic Riverfront Adaptive Reuse Opportunity</w:t>
      </w:r>
    </w:p>
    <w:p w14:paraId="188D5BE6" w14:textId="77777777" w:rsidR="007070E5" w:rsidRPr="007070E5" w:rsidRDefault="007070E5" w:rsidP="007070E5">
      <w:pPr>
        <w:rPr>
          <w:rStyle w:val="SubtleEmphasis"/>
        </w:rPr>
      </w:pPr>
      <w:r w:rsidRPr="007070E5">
        <w:rPr>
          <w:rStyle w:val="SubtleEmphasis"/>
        </w:rPr>
        <w:t>Tallassee, Alabama | Auburn–Montgomery Growth Corridor</w:t>
      </w:r>
    </w:p>
    <w:p w14:paraId="020B3A2F" w14:textId="77777777" w:rsidR="007070E5" w:rsidRPr="007070E5" w:rsidRDefault="007070E5" w:rsidP="007070E5">
      <w:pPr>
        <w:rPr>
          <w:b/>
          <w:bCs/>
        </w:rPr>
      </w:pPr>
      <w:r w:rsidRPr="007070E5">
        <w:rPr>
          <w:b/>
          <w:bCs/>
        </w:rPr>
        <w:pict w14:anchorId="0D7BA8B6">
          <v:rect id="_x0000_i1078" style="width:0;height:1.5pt" o:hralign="center" o:hrstd="t" o:hr="t" fillcolor="#a0a0a0" stroked="f"/>
        </w:pict>
      </w:r>
    </w:p>
    <w:p w14:paraId="03C3D653" w14:textId="77777777" w:rsidR="007070E5" w:rsidRPr="007070E5" w:rsidRDefault="007070E5" w:rsidP="007070E5">
      <w:pPr>
        <w:pStyle w:val="Heading3"/>
      </w:pPr>
      <w:r w:rsidRPr="007070E5">
        <w:t>The Opportunity</w:t>
      </w:r>
    </w:p>
    <w:p w14:paraId="0B01D8F1" w14:textId="77777777" w:rsidR="007070E5" w:rsidRPr="007070E5" w:rsidRDefault="007070E5" w:rsidP="007070E5">
      <w:r w:rsidRPr="007070E5">
        <w:t>The Tallassee Mill Sites represent one of the largest intact historic industrial redevelopment opportunities currently available in Central Alabama. Situated on 4.9 acres along the Tallapoosa River, the property combines landmark historic architecture, verified redevelopment feasibility, and substantial public-sector groundwork already completed.</w:t>
      </w:r>
    </w:p>
    <w:p w14:paraId="60EC5527" w14:textId="77777777" w:rsidR="007070E5" w:rsidRPr="007070E5" w:rsidRDefault="007070E5" w:rsidP="007070E5">
      <w:r w:rsidRPr="007070E5">
        <w:t>Originally operating continuously from 1844–2005, the site now enters its redevelopment phase under ownership of the Tallassee Redevelopment Authority (TRA), which is actively seeking private development partners.</w:t>
      </w:r>
    </w:p>
    <w:p w14:paraId="658BB247" w14:textId="77777777" w:rsidR="007070E5" w:rsidRPr="007070E5" w:rsidRDefault="007070E5" w:rsidP="007070E5">
      <w:r w:rsidRPr="007070E5">
        <w:t>Institutional planning studies confirm strong positioning for destination hospitality, mixed-use activation, and experiential tourism development.</w:t>
      </w:r>
    </w:p>
    <w:p w14:paraId="3B43436E" w14:textId="77777777" w:rsidR="007070E5" w:rsidRPr="007070E5" w:rsidRDefault="007070E5" w:rsidP="007070E5">
      <w:pPr>
        <w:rPr>
          <w:b/>
          <w:bCs/>
        </w:rPr>
      </w:pPr>
      <w:r w:rsidRPr="007070E5">
        <w:rPr>
          <w:b/>
          <w:bCs/>
        </w:rPr>
        <w:pict w14:anchorId="5C040197">
          <v:rect id="_x0000_i1079" style="width:0;height:1.5pt" o:hralign="center" o:hrstd="t" o:hr="t" fillcolor="#a0a0a0" stroked="f"/>
        </w:pict>
      </w:r>
    </w:p>
    <w:p w14:paraId="1E7EB38C" w14:textId="77777777" w:rsidR="007070E5" w:rsidRPr="007070E5" w:rsidRDefault="007070E5" w:rsidP="007070E5">
      <w:pPr>
        <w:pStyle w:val="Heading4"/>
      </w:pPr>
      <w:r w:rsidRPr="007070E5">
        <w:t>Why This Opportunity Stands Out</w:t>
      </w:r>
    </w:p>
    <w:p w14:paraId="7DBABA80" w14:textId="77777777" w:rsidR="007070E5" w:rsidRPr="007070E5" w:rsidRDefault="007070E5" w:rsidP="007070E5">
      <w:pPr>
        <w:pStyle w:val="Heading5"/>
      </w:pPr>
      <w:r w:rsidRPr="007070E5">
        <w:t>Scale + Scarcity</w:t>
      </w:r>
    </w:p>
    <w:p w14:paraId="7F91CCFD" w14:textId="77777777" w:rsidR="007070E5" w:rsidRPr="007070E5" w:rsidRDefault="007070E5" w:rsidP="007070E5">
      <w:pPr>
        <w:numPr>
          <w:ilvl w:val="0"/>
          <w:numId w:val="11"/>
        </w:numPr>
      </w:pPr>
      <w:r w:rsidRPr="007070E5">
        <w:t xml:space="preserve">~126,500 GSF across four historic masonry structures </w:t>
      </w:r>
    </w:p>
    <w:p w14:paraId="1771F5EE" w14:textId="77777777" w:rsidR="007070E5" w:rsidRPr="007070E5" w:rsidRDefault="007070E5" w:rsidP="007070E5">
      <w:pPr>
        <w:numPr>
          <w:ilvl w:val="0"/>
          <w:numId w:val="11"/>
        </w:numPr>
      </w:pPr>
      <w:r w:rsidRPr="007070E5">
        <w:t xml:space="preserve">Large-scale riverfront adaptive reuse opportunities of this type are increasingly rare in the Southeast </w:t>
      </w:r>
    </w:p>
    <w:p w14:paraId="09F47438" w14:textId="77777777" w:rsidR="007070E5" w:rsidRPr="007070E5" w:rsidRDefault="007070E5" w:rsidP="007070E5">
      <w:pPr>
        <w:pStyle w:val="Heading5"/>
      </w:pPr>
      <w:r w:rsidRPr="007070E5">
        <w:t>Capital Stack Advantage</w:t>
      </w:r>
    </w:p>
    <w:p w14:paraId="021B4A23" w14:textId="77777777" w:rsidR="007070E5" w:rsidRPr="007070E5" w:rsidRDefault="007070E5" w:rsidP="007070E5">
      <w:pPr>
        <w:numPr>
          <w:ilvl w:val="0"/>
          <w:numId w:val="12"/>
        </w:numPr>
      </w:pPr>
      <w:r w:rsidRPr="007070E5">
        <w:t xml:space="preserve">Up to </w:t>
      </w:r>
      <w:r w:rsidRPr="007070E5">
        <w:rPr>
          <w:b/>
          <w:bCs/>
        </w:rPr>
        <w:t>45% Historic Tax Credits</w:t>
      </w:r>
      <w:r w:rsidRPr="007070E5">
        <w:t xml:space="preserve"> (20% Federal + 25% Alabama) </w:t>
      </w:r>
    </w:p>
    <w:p w14:paraId="6BF7C042" w14:textId="77777777" w:rsidR="007070E5" w:rsidRPr="007070E5" w:rsidRDefault="007070E5" w:rsidP="007070E5">
      <w:pPr>
        <w:numPr>
          <w:ilvl w:val="0"/>
          <w:numId w:val="12"/>
        </w:numPr>
      </w:pPr>
      <w:r w:rsidRPr="007070E5">
        <w:t xml:space="preserve">Eligible for Brownfield and rural development funding programs </w:t>
      </w:r>
    </w:p>
    <w:p w14:paraId="1A978FE1" w14:textId="77777777" w:rsidR="007070E5" w:rsidRPr="007070E5" w:rsidRDefault="007070E5" w:rsidP="007070E5">
      <w:pPr>
        <w:numPr>
          <w:ilvl w:val="0"/>
          <w:numId w:val="12"/>
        </w:numPr>
      </w:pPr>
      <w:r w:rsidRPr="007070E5">
        <w:t xml:space="preserve">Significant reduction in effective redevelopment basis </w:t>
      </w:r>
    </w:p>
    <w:p w14:paraId="43776482" w14:textId="77777777" w:rsidR="007070E5" w:rsidRPr="007070E5" w:rsidRDefault="007070E5" w:rsidP="007070E5">
      <w:pPr>
        <w:pStyle w:val="Heading5"/>
      </w:pPr>
      <w:r w:rsidRPr="007070E5">
        <w:t>Pre-Development Work Completed</w:t>
      </w:r>
    </w:p>
    <w:p w14:paraId="5657AACA" w14:textId="77777777" w:rsidR="007070E5" w:rsidRPr="007070E5" w:rsidRDefault="007070E5" w:rsidP="007070E5">
      <w:pPr>
        <w:numPr>
          <w:ilvl w:val="0"/>
          <w:numId w:val="13"/>
        </w:numPr>
      </w:pPr>
      <w:r w:rsidRPr="007070E5">
        <w:t xml:space="preserve">Professional redevelopment studies commissioned </w:t>
      </w:r>
    </w:p>
    <w:p w14:paraId="7C3FDFDF" w14:textId="77777777" w:rsidR="007070E5" w:rsidRPr="007070E5" w:rsidRDefault="007070E5" w:rsidP="007070E5">
      <w:pPr>
        <w:numPr>
          <w:ilvl w:val="0"/>
          <w:numId w:val="13"/>
        </w:numPr>
      </w:pPr>
      <w:r w:rsidRPr="007070E5">
        <w:t xml:space="preserve">Environmental scope quantified ($275k–$650k remediation estimate) </w:t>
      </w:r>
    </w:p>
    <w:p w14:paraId="397C5BB5" w14:textId="77777777" w:rsidR="007070E5" w:rsidRPr="007070E5" w:rsidRDefault="007070E5" w:rsidP="007070E5">
      <w:pPr>
        <w:numPr>
          <w:ilvl w:val="0"/>
          <w:numId w:val="13"/>
        </w:numPr>
      </w:pPr>
      <w:r w:rsidRPr="007070E5">
        <w:t xml:space="preserve">Structural stabilization completed on multiple buildings </w:t>
      </w:r>
    </w:p>
    <w:p w14:paraId="72D70598" w14:textId="77777777" w:rsidR="007070E5" w:rsidRPr="007070E5" w:rsidRDefault="007070E5" w:rsidP="007070E5">
      <w:pPr>
        <w:numPr>
          <w:ilvl w:val="0"/>
          <w:numId w:val="13"/>
        </w:numPr>
      </w:pPr>
      <w:r w:rsidRPr="007070E5">
        <w:lastRenderedPageBreak/>
        <w:t xml:space="preserve">Utilities confirmed on-site (power, fiber, water) </w:t>
      </w:r>
    </w:p>
    <w:p w14:paraId="3DFE8610" w14:textId="77777777" w:rsidR="007070E5" w:rsidRPr="007070E5" w:rsidRDefault="007070E5" w:rsidP="007070E5">
      <w:pPr>
        <w:pStyle w:val="Heading5"/>
      </w:pPr>
      <w:r w:rsidRPr="007070E5">
        <w:t>Strategic Regional Position</w:t>
      </w:r>
    </w:p>
    <w:p w14:paraId="6869F8BD" w14:textId="77777777" w:rsidR="007070E5" w:rsidRPr="007070E5" w:rsidRDefault="007070E5" w:rsidP="007070E5">
      <w:pPr>
        <w:numPr>
          <w:ilvl w:val="0"/>
          <w:numId w:val="14"/>
        </w:numPr>
      </w:pPr>
      <w:r w:rsidRPr="007070E5">
        <w:t xml:space="preserve">10 minutes from I-85 </w:t>
      </w:r>
    </w:p>
    <w:p w14:paraId="44785E33" w14:textId="77777777" w:rsidR="007070E5" w:rsidRPr="007070E5" w:rsidRDefault="007070E5" w:rsidP="007070E5">
      <w:pPr>
        <w:numPr>
          <w:ilvl w:val="0"/>
          <w:numId w:val="14"/>
        </w:numPr>
      </w:pPr>
      <w:r w:rsidRPr="007070E5">
        <w:t xml:space="preserve">Between Auburn and Montgomery </w:t>
      </w:r>
    </w:p>
    <w:p w14:paraId="58C2A7D0" w14:textId="77777777" w:rsidR="007070E5" w:rsidRPr="007070E5" w:rsidRDefault="007070E5" w:rsidP="007070E5">
      <w:pPr>
        <w:numPr>
          <w:ilvl w:val="0"/>
          <w:numId w:val="14"/>
        </w:numPr>
        <w:rPr>
          <w:b/>
          <w:bCs/>
        </w:rPr>
      </w:pPr>
      <w:r w:rsidRPr="007070E5">
        <w:t xml:space="preserve">Access to </w:t>
      </w:r>
      <w:r w:rsidRPr="007070E5">
        <w:rPr>
          <w:b/>
          <w:bCs/>
        </w:rPr>
        <w:t xml:space="preserve">750,000+ residents within 45 minutes </w:t>
      </w:r>
    </w:p>
    <w:p w14:paraId="3EACB5DF" w14:textId="77777777" w:rsidR="007070E5" w:rsidRPr="007070E5" w:rsidRDefault="007070E5" w:rsidP="007070E5">
      <w:pPr>
        <w:rPr>
          <w:b/>
          <w:bCs/>
        </w:rPr>
      </w:pPr>
      <w:r w:rsidRPr="007070E5">
        <w:rPr>
          <w:b/>
          <w:bCs/>
        </w:rPr>
        <w:pict w14:anchorId="20BDF5E5">
          <v:rect id="_x0000_i1080" style="width:0;height:1.5pt" o:hralign="center" o:hrstd="t" o:hr="t" fillcolor="#a0a0a0" stroked="f"/>
        </w:pict>
      </w:r>
    </w:p>
    <w:p w14:paraId="02CA07A7" w14:textId="77777777" w:rsidR="007070E5" w:rsidRPr="007070E5" w:rsidRDefault="007070E5" w:rsidP="007070E5">
      <w:pPr>
        <w:pStyle w:val="Heading3"/>
      </w:pPr>
      <w:r w:rsidRPr="007070E5">
        <w:t>Market Drivers</w:t>
      </w:r>
    </w:p>
    <w:p w14:paraId="1B944AC4" w14:textId="77777777" w:rsidR="007070E5" w:rsidRPr="007070E5" w:rsidRDefault="007070E5" w:rsidP="007070E5">
      <w:pPr>
        <w:numPr>
          <w:ilvl w:val="0"/>
          <w:numId w:val="15"/>
        </w:numPr>
        <w:spacing w:after="0"/>
      </w:pPr>
      <w:r w:rsidRPr="007070E5">
        <w:t xml:space="preserve">Auburn University growth (+34% population growth 2015–2023) creating regional spillover demand </w:t>
      </w:r>
    </w:p>
    <w:p w14:paraId="2305046B" w14:textId="77777777" w:rsidR="007070E5" w:rsidRPr="007070E5" w:rsidRDefault="007070E5" w:rsidP="007070E5">
      <w:pPr>
        <w:numPr>
          <w:ilvl w:val="0"/>
          <w:numId w:val="15"/>
        </w:numPr>
        <w:spacing w:after="0"/>
      </w:pPr>
      <w:r w:rsidRPr="007070E5">
        <w:t xml:space="preserve">Limited riverfront lodging inventory in Central Alabama </w:t>
      </w:r>
    </w:p>
    <w:p w14:paraId="128744BB" w14:textId="77777777" w:rsidR="007070E5" w:rsidRPr="007070E5" w:rsidRDefault="007070E5" w:rsidP="007070E5">
      <w:pPr>
        <w:numPr>
          <w:ilvl w:val="0"/>
          <w:numId w:val="15"/>
        </w:numPr>
        <w:spacing w:after="0"/>
      </w:pPr>
      <w:r w:rsidRPr="007070E5">
        <w:t xml:space="preserve">Proximity to Lake Martin tourism market (100,000+ annual visitors) </w:t>
      </w:r>
    </w:p>
    <w:p w14:paraId="6A6474D3" w14:textId="77777777" w:rsidR="007070E5" w:rsidRPr="007070E5" w:rsidRDefault="007070E5" w:rsidP="007070E5">
      <w:pPr>
        <w:numPr>
          <w:ilvl w:val="0"/>
          <w:numId w:val="15"/>
        </w:numPr>
        <w:spacing w:after="0"/>
      </w:pPr>
      <w:r w:rsidRPr="007070E5">
        <w:t xml:space="preserve">Event-driven visitation including Auburn athletics and regional recreation destinations </w:t>
      </w:r>
    </w:p>
    <w:p w14:paraId="2AE2BA04" w14:textId="77777777" w:rsidR="007070E5" w:rsidRPr="007070E5" w:rsidRDefault="007070E5" w:rsidP="007070E5">
      <w:pPr>
        <w:numPr>
          <w:ilvl w:val="0"/>
          <w:numId w:val="15"/>
        </w:numPr>
        <w:spacing w:after="0"/>
      </w:pPr>
      <w:r w:rsidRPr="007070E5">
        <w:t xml:space="preserve">Established industrial employment base supporting weekday demand </w:t>
      </w:r>
    </w:p>
    <w:p w14:paraId="5706EC7D" w14:textId="77777777" w:rsidR="007070E5" w:rsidRPr="007070E5" w:rsidRDefault="007070E5" w:rsidP="007070E5">
      <w:pPr>
        <w:rPr>
          <w:b/>
          <w:bCs/>
        </w:rPr>
      </w:pPr>
      <w:r w:rsidRPr="007070E5">
        <w:pict w14:anchorId="328F0538">
          <v:rect id="_x0000_i1081" style="width:0;height:1.5pt" o:hralign="center" o:hrstd="t" o:hr="t" fillcolor="#a0a0a0" stroked="f"/>
        </w:pict>
      </w:r>
    </w:p>
    <w:p w14:paraId="3FAB6ABA" w14:textId="77777777" w:rsidR="007070E5" w:rsidRPr="007070E5" w:rsidRDefault="007070E5" w:rsidP="007070E5">
      <w:pPr>
        <w:pStyle w:val="Heading3"/>
      </w:pPr>
      <w:r w:rsidRPr="007070E5">
        <w:t>Development Pathways (Validated by Study)</w:t>
      </w:r>
    </w:p>
    <w:p w14:paraId="2E2A29F4" w14:textId="77777777" w:rsidR="007070E5" w:rsidRPr="007070E5" w:rsidRDefault="007070E5" w:rsidP="007070E5">
      <w:pPr>
        <w:pStyle w:val="Heading4"/>
      </w:pPr>
      <w:r w:rsidRPr="007070E5">
        <w:t>Destination Hospitality Anchor</w:t>
      </w:r>
    </w:p>
    <w:p w14:paraId="22983AF4" w14:textId="77777777" w:rsidR="007070E5" w:rsidRPr="007070E5" w:rsidRDefault="007070E5" w:rsidP="007070E5">
      <w:r w:rsidRPr="007070E5">
        <w:t>Boutique hotel with conference center utilizing the 1852 Mill and Duck Mill structures, leveraging riverfront visibility and historic character.</w:t>
      </w:r>
    </w:p>
    <w:p w14:paraId="451A56CA" w14:textId="77777777" w:rsidR="007070E5" w:rsidRPr="007070E5" w:rsidRDefault="007070E5" w:rsidP="007070E5">
      <w:pPr>
        <w:pStyle w:val="Heading4"/>
      </w:pPr>
      <w:r w:rsidRPr="007070E5">
        <w:t>Heritage &amp; Creative District</w:t>
      </w:r>
    </w:p>
    <w:p w14:paraId="1E806D69" w14:textId="77777777" w:rsidR="007070E5" w:rsidRPr="007070E5" w:rsidRDefault="007070E5" w:rsidP="007070E5">
      <w:r w:rsidRPr="007070E5">
        <w:t>Adaptive reuse of the Armory and Warehouse into galleries, maker spaces, food &amp; beverage venues, and cultural programming.</w:t>
      </w:r>
    </w:p>
    <w:p w14:paraId="3FF20972" w14:textId="77777777" w:rsidR="007070E5" w:rsidRPr="007070E5" w:rsidRDefault="007070E5" w:rsidP="007070E5">
      <w:pPr>
        <w:pStyle w:val="Heading4"/>
      </w:pPr>
      <w:r w:rsidRPr="007070E5">
        <w:t>Event &amp; Recreation Hub</w:t>
      </w:r>
    </w:p>
    <w:p w14:paraId="43612C03" w14:textId="77777777" w:rsidR="007070E5" w:rsidRPr="007070E5" w:rsidRDefault="007070E5" w:rsidP="007070E5">
      <w:r w:rsidRPr="007070E5">
        <w:t xml:space="preserve">River-oriented experiential </w:t>
      </w:r>
      <w:proofErr w:type="gramStart"/>
      <w:r w:rsidRPr="007070E5">
        <w:t>destination including</w:t>
      </w:r>
      <w:proofErr w:type="gramEnd"/>
      <w:r w:rsidRPr="007070E5">
        <w:t xml:space="preserve"> weddings, outdoor recreation, and community gathering spaces.</w:t>
      </w:r>
    </w:p>
    <w:p w14:paraId="01E24184" w14:textId="77777777" w:rsidR="007070E5" w:rsidRPr="007070E5" w:rsidRDefault="007070E5" w:rsidP="007070E5">
      <w:r w:rsidRPr="007070E5">
        <w:t>Phased development allows early revenue activation while larger components are completed.</w:t>
      </w:r>
    </w:p>
    <w:p w14:paraId="5FF810EF" w14:textId="77777777" w:rsidR="007070E5" w:rsidRPr="007070E5" w:rsidRDefault="007070E5" w:rsidP="007070E5">
      <w:pPr>
        <w:rPr>
          <w:b/>
          <w:bCs/>
        </w:rPr>
      </w:pPr>
      <w:r w:rsidRPr="007070E5">
        <w:rPr>
          <w:b/>
          <w:bCs/>
        </w:rPr>
        <w:pict w14:anchorId="33C80392">
          <v:rect id="_x0000_i1082" style="width:0;height:1.5pt" o:hralign="center" o:hrstd="t" o:hr="t" fillcolor="#a0a0a0" stroked="f"/>
        </w:pict>
      </w:r>
    </w:p>
    <w:p w14:paraId="4AAE9291" w14:textId="77777777" w:rsidR="007070E5" w:rsidRPr="007070E5" w:rsidRDefault="007070E5" w:rsidP="007070E5">
      <w:pPr>
        <w:pStyle w:val="Heading2"/>
      </w:pPr>
      <w:r w:rsidRPr="007070E5">
        <w:lastRenderedPageBreak/>
        <w:t>Asset Portfolio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2"/>
        <w:gridCol w:w="1223"/>
        <w:gridCol w:w="2097"/>
        <w:gridCol w:w="3406"/>
      </w:tblGrid>
      <w:tr w:rsidR="007070E5" w:rsidRPr="007070E5" w14:paraId="56D401D3" w14:textId="77777777">
        <w:trPr>
          <w:tblHeader/>
          <w:tblCellSpacing w:w="15" w:type="dxa"/>
        </w:trPr>
        <w:tc>
          <w:tcPr>
            <w:tcW w:w="0" w:type="auto"/>
            <w:vAlign w:val="center"/>
            <w:hideMark/>
          </w:tcPr>
          <w:p w14:paraId="2639AB2E" w14:textId="77777777" w:rsidR="007070E5" w:rsidRPr="007070E5" w:rsidRDefault="007070E5" w:rsidP="007070E5">
            <w:pPr>
              <w:rPr>
                <w:b/>
                <w:bCs/>
              </w:rPr>
            </w:pPr>
            <w:r w:rsidRPr="007070E5">
              <w:rPr>
                <w:b/>
                <w:bCs/>
              </w:rPr>
              <w:t>Structure</w:t>
            </w:r>
          </w:p>
        </w:tc>
        <w:tc>
          <w:tcPr>
            <w:tcW w:w="0" w:type="auto"/>
            <w:vAlign w:val="center"/>
            <w:hideMark/>
          </w:tcPr>
          <w:p w14:paraId="0D68C9C6" w14:textId="77777777" w:rsidR="007070E5" w:rsidRPr="007070E5" w:rsidRDefault="007070E5" w:rsidP="007070E5">
            <w:pPr>
              <w:rPr>
                <w:b/>
                <w:bCs/>
              </w:rPr>
            </w:pPr>
            <w:r w:rsidRPr="007070E5">
              <w:rPr>
                <w:b/>
                <w:bCs/>
              </w:rPr>
              <w:t>Size</w:t>
            </w:r>
          </w:p>
        </w:tc>
        <w:tc>
          <w:tcPr>
            <w:tcW w:w="0" w:type="auto"/>
            <w:vAlign w:val="center"/>
            <w:hideMark/>
          </w:tcPr>
          <w:p w14:paraId="08115E0A" w14:textId="77777777" w:rsidR="007070E5" w:rsidRPr="007070E5" w:rsidRDefault="007070E5" w:rsidP="007070E5">
            <w:pPr>
              <w:rPr>
                <w:b/>
                <w:bCs/>
              </w:rPr>
            </w:pPr>
            <w:r w:rsidRPr="007070E5">
              <w:rPr>
                <w:b/>
                <w:bCs/>
              </w:rPr>
              <w:t>Status</w:t>
            </w:r>
          </w:p>
        </w:tc>
        <w:tc>
          <w:tcPr>
            <w:tcW w:w="0" w:type="auto"/>
            <w:vAlign w:val="center"/>
            <w:hideMark/>
          </w:tcPr>
          <w:p w14:paraId="1D516673" w14:textId="77777777" w:rsidR="007070E5" w:rsidRPr="007070E5" w:rsidRDefault="007070E5" w:rsidP="007070E5">
            <w:pPr>
              <w:rPr>
                <w:b/>
                <w:bCs/>
              </w:rPr>
            </w:pPr>
            <w:r w:rsidRPr="007070E5">
              <w:rPr>
                <w:b/>
                <w:bCs/>
              </w:rPr>
              <w:t>Opportunity</w:t>
            </w:r>
          </w:p>
        </w:tc>
      </w:tr>
      <w:tr w:rsidR="007070E5" w:rsidRPr="007070E5" w14:paraId="51251779" w14:textId="77777777">
        <w:trPr>
          <w:tblCellSpacing w:w="15" w:type="dxa"/>
        </w:trPr>
        <w:tc>
          <w:tcPr>
            <w:tcW w:w="0" w:type="auto"/>
            <w:vAlign w:val="center"/>
            <w:hideMark/>
          </w:tcPr>
          <w:p w14:paraId="1E56D066" w14:textId="77777777" w:rsidR="007070E5" w:rsidRPr="007070E5" w:rsidRDefault="007070E5" w:rsidP="007070E5">
            <w:pPr>
              <w:rPr>
                <w:b/>
                <w:bCs/>
              </w:rPr>
            </w:pPr>
            <w:r w:rsidRPr="007070E5">
              <w:rPr>
                <w:b/>
                <w:bCs/>
              </w:rPr>
              <w:t>1852 Mill</w:t>
            </w:r>
          </w:p>
        </w:tc>
        <w:tc>
          <w:tcPr>
            <w:tcW w:w="0" w:type="auto"/>
            <w:vAlign w:val="center"/>
            <w:hideMark/>
          </w:tcPr>
          <w:p w14:paraId="03859D3E" w14:textId="77777777" w:rsidR="007070E5" w:rsidRPr="007070E5" w:rsidRDefault="007070E5" w:rsidP="007070E5">
            <w:pPr>
              <w:rPr>
                <w:b/>
                <w:bCs/>
              </w:rPr>
            </w:pPr>
            <w:r w:rsidRPr="007070E5">
              <w:rPr>
                <w:b/>
                <w:bCs/>
              </w:rPr>
              <w:t>~80,000 SF</w:t>
            </w:r>
          </w:p>
        </w:tc>
        <w:tc>
          <w:tcPr>
            <w:tcW w:w="0" w:type="auto"/>
            <w:vAlign w:val="center"/>
            <w:hideMark/>
          </w:tcPr>
          <w:p w14:paraId="37EE123D" w14:textId="77777777" w:rsidR="007070E5" w:rsidRPr="007070E5" w:rsidRDefault="007070E5" w:rsidP="007070E5">
            <w:pPr>
              <w:rPr>
                <w:b/>
                <w:bCs/>
              </w:rPr>
            </w:pPr>
            <w:r w:rsidRPr="007070E5">
              <w:rPr>
                <w:b/>
                <w:bCs/>
              </w:rPr>
              <w:t>Stabilized shell</w:t>
            </w:r>
          </w:p>
        </w:tc>
        <w:tc>
          <w:tcPr>
            <w:tcW w:w="0" w:type="auto"/>
            <w:vAlign w:val="center"/>
            <w:hideMark/>
          </w:tcPr>
          <w:p w14:paraId="433E8946" w14:textId="77777777" w:rsidR="007070E5" w:rsidRPr="007070E5" w:rsidRDefault="007070E5" w:rsidP="007070E5">
            <w:pPr>
              <w:rPr>
                <w:b/>
                <w:bCs/>
              </w:rPr>
            </w:pPr>
            <w:r w:rsidRPr="007070E5">
              <w:rPr>
                <w:b/>
                <w:bCs/>
              </w:rPr>
              <w:t>Hospitality / Mixed-use anchor</w:t>
            </w:r>
          </w:p>
        </w:tc>
      </w:tr>
      <w:tr w:rsidR="007070E5" w:rsidRPr="007070E5" w14:paraId="5FCF12DF" w14:textId="77777777">
        <w:trPr>
          <w:tblCellSpacing w:w="15" w:type="dxa"/>
        </w:trPr>
        <w:tc>
          <w:tcPr>
            <w:tcW w:w="0" w:type="auto"/>
            <w:vAlign w:val="center"/>
            <w:hideMark/>
          </w:tcPr>
          <w:p w14:paraId="17025D05" w14:textId="77777777" w:rsidR="007070E5" w:rsidRPr="007070E5" w:rsidRDefault="007070E5" w:rsidP="007070E5">
            <w:pPr>
              <w:rPr>
                <w:b/>
                <w:bCs/>
              </w:rPr>
            </w:pPr>
            <w:r w:rsidRPr="007070E5">
              <w:rPr>
                <w:b/>
                <w:bCs/>
              </w:rPr>
              <w:t>Duck Mill</w:t>
            </w:r>
          </w:p>
        </w:tc>
        <w:tc>
          <w:tcPr>
            <w:tcW w:w="0" w:type="auto"/>
            <w:vAlign w:val="center"/>
            <w:hideMark/>
          </w:tcPr>
          <w:p w14:paraId="50B7370C" w14:textId="77777777" w:rsidR="007070E5" w:rsidRPr="007070E5" w:rsidRDefault="007070E5" w:rsidP="007070E5">
            <w:pPr>
              <w:rPr>
                <w:b/>
                <w:bCs/>
              </w:rPr>
            </w:pPr>
            <w:r w:rsidRPr="007070E5">
              <w:rPr>
                <w:b/>
                <w:bCs/>
              </w:rPr>
              <w:t>~30,000 SF</w:t>
            </w:r>
          </w:p>
        </w:tc>
        <w:tc>
          <w:tcPr>
            <w:tcW w:w="0" w:type="auto"/>
            <w:vAlign w:val="center"/>
            <w:hideMark/>
          </w:tcPr>
          <w:p w14:paraId="1FC7A3F9" w14:textId="77777777" w:rsidR="007070E5" w:rsidRPr="007070E5" w:rsidRDefault="007070E5" w:rsidP="007070E5">
            <w:pPr>
              <w:rPr>
                <w:b/>
                <w:bCs/>
              </w:rPr>
            </w:pPr>
            <w:r w:rsidRPr="007070E5">
              <w:rPr>
                <w:b/>
                <w:bCs/>
              </w:rPr>
              <w:t>Adjacent structure</w:t>
            </w:r>
          </w:p>
        </w:tc>
        <w:tc>
          <w:tcPr>
            <w:tcW w:w="0" w:type="auto"/>
            <w:vAlign w:val="center"/>
            <w:hideMark/>
          </w:tcPr>
          <w:p w14:paraId="48EA4E6A" w14:textId="77777777" w:rsidR="007070E5" w:rsidRPr="007070E5" w:rsidRDefault="007070E5" w:rsidP="007070E5">
            <w:pPr>
              <w:rPr>
                <w:b/>
                <w:bCs/>
              </w:rPr>
            </w:pPr>
            <w:r w:rsidRPr="007070E5">
              <w:rPr>
                <w:b/>
                <w:bCs/>
              </w:rPr>
              <w:t>Conference / event space</w:t>
            </w:r>
          </w:p>
        </w:tc>
      </w:tr>
      <w:tr w:rsidR="007070E5" w:rsidRPr="007070E5" w14:paraId="2DD321BF" w14:textId="77777777">
        <w:trPr>
          <w:tblCellSpacing w:w="15" w:type="dxa"/>
        </w:trPr>
        <w:tc>
          <w:tcPr>
            <w:tcW w:w="0" w:type="auto"/>
            <w:vAlign w:val="center"/>
            <w:hideMark/>
          </w:tcPr>
          <w:p w14:paraId="2613D11A" w14:textId="77777777" w:rsidR="007070E5" w:rsidRPr="007070E5" w:rsidRDefault="007070E5" w:rsidP="007070E5">
            <w:pPr>
              <w:rPr>
                <w:b/>
                <w:bCs/>
              </w:rPr>
            </w:pPr>
            <w:r w:rsidRPr="007070E5">
              <w:rPr>
                <w:b/>
                <w:bCs/>
              </w:rPr>
              <w:t>Armory (1844)</w:t>
            </w:r>
          </w:p>
        </w:tc>
        <w:tc>
          <w:tcPr>
            <w:tcW w:w="0" w:type="auto"/>
            <w:vAlign w:val="center"/>
            <w:hideMark/>
          </w:tcPr>
          <w:p w14:paraId="61498EFC" w14:textId="77777777" w:rsidR="007070E5" w:rsidRPr="007070E5" w:rsidRDefault="007070E5" w:rsidP="007070E5">
            <w:pPr>
              <w:rPr>
                <w:b/>
                <w:bCs/>
              </w:rPr>
            </w:pPr>
            <w:r w:rsidRPr="007070E5">
              <w:rPr>
                <w:b/>
                <w:bCs/>
              </w:rPr>
              <w:t>12,200 SF</w:t>
            </w:r>
          </w:p>
        </w:tc>
        <w:tc>
          <w:tcPr>
            <w:tcW w:w="0" w:type="auto"/>
            <w:vAlign w:val="center"/>
            <w:hideMark/>
          </w:tcPr>
          <w:p w14:paraId="5DFF50C2" w14:textId="77777777" w:rsidR="007070E5" w:rsidRPr="007070E5" w:rsidRDefault="007070E5" w:rsidP="007070E5">
            <w:pPr>
              <w:rPr>
                <w:b/>
                <w:bCs/>
              </w:rPr>
            </w:pPr>
            <w:r w:rsidRPr="007070E5">
              <w:rPr>
                <w:b/>
                <w:bCs/>
              </w:rPr>
              <w:t>Stabilized</w:t>
            </w:r>
          </w:p>
        </w:tc>
        <w:tc>
          <w:tcPr>
            <w:tcW w:w="0" w:type="auto"/>
            <w:vAlign w:val="center"/>
            <w:hideMark/>
          </w:tcPr>
          <w:p w14:paraId="26C9FBF1" w14:textId="77777777" w:rsidR="007070E5" w:rsidRPr="007070E5" w:rsidRDefault="007070E5" w:rsidP="007070E5">
            <w:pPr>
              <w:rPr>
                <w:b/>
                <w:bCs/>
              </w:rPr>
            </w:pPr>
            <w:r w:rsidRPr="007070E5">
              <w:rPr>
                <w:b/>
                <w:bCs/>
              </w:rPr>
              <w:t>Museum / experiential venue</w:t>
            </w:r>
          </w:p>
        </w:tc>
      </w:tr>
      <w:tr w:rsidR="007070E5" w:rsidRPr="007070E5" w14:paraId="4D3BBB62" w14:textId="77777777">
        <w:trPr>
          <w:tblCellSpacing w:w="15" w:type="dxa"/>
        </w:trPr>
        <w:tc>
          <w:tcPr>
            <w:tcW w:w="0" w:type="auto"/>
            <w:vAlign w:val="center"/>
            <w:hideMark/>
          </w:tcPr>
          <w:p w14:paraId="17C26405" w14:textId="77777777" w:rsidR="007070E5" w:rsidRPr="007070E5" w:rsidRDefault="007070E5" w:rsidP="007070E5">
            <w:pPr>
              <w:rPr>
                <w:b/>
                <w:bCs/>
              </w:rPr>
            </w:pPr>
            <w:r w:rsidRPr="007070E5">
              <w:rPr>
                <w:b/>
                <w:bCs/>
              </w:rPr>
              <w:t>Warehouse (1884)</w:t>
            </w:r>
          </w:p>
        </w:tc>
        <w:tc>
          <w:tcPr>
            <w:tcW w:w="0" w:type="auto"/>
            <w:vAlign w:val="center"/>
            <w:hideMark/>
          </w:tcPr>
          <w:p w14:paraId="1783E02C" w14:textId="77777777" w:rsidR="007070E5" w:rsidRPr="007070E5" w:rsidRDefault="007070E5" w:rsidP="007070E5">
            <w:pPr>
              <w:rPr>
                <w:b/>
                <w:bCs/>
              </w:rPr>
            </w:pPr>
            <w:r w:rsidRPr="007070E5">
              <w:rPr>
                <w:b/>
                <w:bCs/>
              </w:rPr>
              <w:t>4,300 SF</w:t>
            </w:r>
          </w:p>
        </w:tc>
        <w:tc>
          <w:tcPr>
            <w:tcW w:w="0" w:type="auto"/>
            <w:vAlign w:val="center"/>
            <w:hideMark/>
          </w:tcPr>
          <w:p w14:paraId="393BAEFC" w14:textId="77777777" w:rsidR="007070E5" w:rsidRPr="007070E5" w:rsidRDefault="007070E5" w:rsidP="007070E5">
            <w:pPr>
              <w:rPr>
                <w:b/>
                <w:bCs/>
              </w:rPr>
            </w:pPr>
            <w:r w:rsidRPr="007070E5">
              <w:rPr>
                <w:b/>
                <w:bCs/>
              </w:rPr>
              <w:t>Stabilized</w:t>
            </w:r>
          </w:p>
        </w:tc>
        <w:tc>
          <w:tcPr>
            <w:tcW w:w="0" w:type="auto"/>
            <w:vAlign w:val="center"/>
            <w:hideMark/>
          </w:tcPr>
          <w:p w14:paraId="41B4B976" w14:textId="77777777" w:rsidR="007070E5" w:rsidRPr="007070E5" w:rsidRDefault="007070E5" w:rsidP="007070E5">
            <w:pPr>
              <w:rPr>
                <w:b/>
                <w:bCs/>
              </w:rPr>
            </w:pPr>
            <w:r w:rsidRPr="007070E5">
              <w:rPr>
                <w:b/>
                <w:bCs/>
              </w:rPr>
              <w:t>Brewery / maker space</w:t>
            </w:r>
          </w:p>
        </w:tc>
      </w:tr>
      <w:tr w:rsidR="007070E5" w:rsidRPr="007070E5" w14:paraId="5E9F6778" w14:textId="77777777">
        <w:trPr>
          <w:tblCellSpacing w:w="15" w:type="dxa"/>
        </w:trPr>
        <w:tc>
          <w:tcPr>
            <w:tcW w:w="0" w:type="auto"/>
            <w:vAlign w:val="center"/>
            <w:hideMark/>
          </w:tcPr>
          <w:p w14:paraId="07907E70" w14:textId="77777777" w:rsidR="007070E5" w:rsidRPr="007070E5" w:rsidRDefault="007070E5" w:rsidP="007070E5">
            <w:pPr>
              <w:rPr>
                <w:b/>
                <w:bCs/>
              </w:rPr>
            </w:pPr>
            <w:r w:rsidRPr="007070E5">
              <w:rPr>
                <w:b/>
                <w:bCs/>
              </w:rPr>
              <w:t>Boiler Room</w:t>
            </w:r>
          </w:p>
        </w:tc>
        <w:tc>
          <w:tcPr>
            <w:tcW w:w="0" w:type="auto"/>
            <w:vAlign w:val="center"/>
            <w:hideMark/>
          </w:tcPr>
          <w:p w14:paraId="4D4F4E60" w14:textId="77777777" w:rsidR="007070E5" w:rsidRPr="007070E5" w:rsidRDefault="007070E5" w:rsidP="007070E5">
            <w:pPr>
              <w:rPr>
                <w:b/>
                <w:bCs/>
              </w:rPr>
            </w:pPr>
            <w:r w:rsidRPr="007070E5">
              <w:rPr>
                <w:b/>
                <w:bCs/>
              </w:rPr>
              <w:t>1,200 SF</w:t>
            </w:r>
          </w:p>
        </w:tc>
        <w:tc>
          <w:tcPr>
            <w:tcW w:w="0" w:type="auto"/>
            <w:vAlign w:val="center"/>
            <w:hideMark/>
          </w:tcPr>
          <w:p w14:paraId="767EA1D9" w14:textId="77777777" w:rsidR="007070E5" w:rsidRPr="007070E5" w:rsidRDefault="007070E5" w:rsidP="007070E5">
            <w:pPr>
              <w:rPr>
                <w:b/>
                <w:bCs/>
              </w:rPr>
            </w:pPr>
            <w:r w:rsidRPr="007070E5">
              <w:rPr>
                <w:b/>
                <w:bCs/>
              </w:rPr>
              <w:t>Modernized</w:t>
            </w:r>
          </w:p>
        </w:tc>
        <w:tc>
          <w:tcPr>
            <w:tcW w:w="0" w:type="auto"/>
            <w:vAlign w:val="center"/>
            <w:hideMark/>
          </w:tcPr>
          <w:p w14:paraId="7313EE07" w14:textId="77777777" w:rsidR="007070E5" w:rsidRPr="007070E5" w:rsidRDefault="007070E5" w:rsidP="007070E5">
            <w:pPr>
              <w:rPr>
                <w:b/>
                <w:bCs/>
              </w:rPr>
            </w:pPr>
            <w:r w:rsidRPr="007070E5">
              <w:rPr>
                <w:b/>
                <w:bCs/>
              </w:rPr>
              <w:t>Restaurant / activation space</w:t>
            </w:r>
          </w:p>
        </w:tc>
      </w:tr>
    </w:tbl>
    <w:p w14:paraId="24515A36" w14:textId="77777777" w:rsidR="007070E5" w:rsidRPr="007070E5" w:rsidRDefault="007070E5" w:rsidP="007070E5">
      <w:pPr>
        <w:rPr>
          <w:b/>
          <w:bCs/>
        </w:rPr>
      </w:pPr>
      <w:r w:rsidRPr="007070E5">
        <w:rPr>
          <w:b/>
          <w:bCs/>
        </w:rPr>
        <w:pict w14:anchorId="1B3DC3CB">
          <v:rect id="_x0000_i1083" style="width:0;height:1.5pt" o:hralign="center" o:hrstd="t" o:hr="t" fillcolor="#a0a0a0" stroked="f"/>
        </w:pict>
      </w:r>
    </w:p>
    <w:p w14:paraId="5FFE8782" w14:textId="77777777" w:rsidR="007070E5" w:rsidRPr="007070E5" w:rsidRDefault="007070E5" w:rsidP="007070E5">
      <w:pPr>
        <w:pStyle w:val="Heading2"/>
      </w:pPr>
      <w:r w:rsidRPr="007070E5">
        <w:t>Community Alignment Advantage</w:t>
      </w:r>
    </w:p>
    <w:p w14:paraId="42A1616A" w14:textId="77777777" w:rsidR="007070E5" w:rsidRPr="007070E5" w:rsidRDefault="007070E5" w:rsidP="007070E5">
      <w:r w:rsidRPr="007070E5">
        <w:t xml:space="preserve">The property benefits from long-term stewardship by the </w:t>
      </w:r>
      <w:proofErr w:type="spellStart"/>
      <w:r w:rsidRPr="007070E5">
        <w:t>Talisi</w:t>
      </w:r>
      <w:proofErr w:type="spellEnd"/>
      <w:r w:rsidRPr="007070E5">
        <w:t xml:space="preserve"> Historical Preservation Society (THPS), whose preservation efforts stabilized the assets prior to redevelopment. Developers engaging early with local stakeholders benefit from strong community support and alignment with Tallassee’s heritage-driven tourism vision.</w:t>
      </w:r>
    </w:p>
    <w:p w14:paraId="4422FB85" w14:textId="77777777" w:rsidR="007070E5" w:rsidRPr="007070E5" w:rsidRDefault="007070E5" w:rsidP="007070E5">
      <w:pPr>
        <w:rPr>
          <w:b/>
          <w:bCs/>
        </w:rPr>
      </w:pPr>
      <w:r w:rsidRPr="007070E5">
        <w:rPr>
          <w:b/>
          <w:bCs/>
        </w:rPr>
        <w:pict w14:anchorId="2B8D0EBA">
          <v:rect id="_x0000_i1084" style="width:0;height:1.5pt" o:hralign="center" o:hrstd="t" o:hr="t" fillcolor="#a0a0a0" stroked="f"/>
        </w:pict>
      </w:r>
    </w:p>
    <w:p w14:paraId="0D17F942" w14:textId="77777777" w:rsidR="007070E5" w:rsidRPr="007070E5" w:rsidRDefault="007070E5" w:rsidP="007070E5">
      <w:pPr>
        <w:pStyle w:val="Heading2"/>
      </w:pPr>
      <w:r w:rsidRPr="007070E5">
        <w:t>Why Tallassee — Why Now</w:t>
      </w:r>
    </w:p>
    <w:p w14:paraId="6BC20794" w14:textId="77777777" w:rsidR="007070E5" w:rsidRPr="007070E5" w:rsidRDefault="007070E5" w:rsidP="007070E5">
      <w:pPr>
        <w:numPr>
          <w:ilvl w:val="0"/>
          <w:numId w:val="16"/>
        </w:numPr>
        <w:spacing w:after="0"/>
      </w:pPr>
      <w:r w:rsidRPr="007070E5">
        <w:t xml:space="preserve">Institutional groundwork completed </w:t>
      </w:r>
    </w:p>
    <w:p w14:paraId="0DA9B839" w14:textId="77777777" w:rsidR="007070E5" w:rsidRPr="007070E5" w:rsidRDefault="007070E5" w:rsidP="007070E5">
      <w:pPr>
        <w:numPr>
          <w:ilvl w:val="0"/>
          <w:numId w:val="16"/>
        </w:numPr>
        <w:spacing w:after="0"/>
      </w:pPr>
      <w:r w:rsidRPr="007070E5">
        <w:t xml:space="preserve">Incentive structures in place </w:t>
      </w:r>
    </w:p>
    <w:p w14:paraId="430D1522" w14:textId="77777777" w:rsidR="007070E5" w:rsidRPr="007070E5" w:rsidRDefault="007070E5" w:rsidP="007070E5">
      <w:pPr>
        <w:numPr>
          <w:ilvl w:val="0"/>
          <w:numId w:val="16"/>
        </w:numPr>
        <w:spacing w:after="0"/>
      </w:pPr>
      <w:r w:rsidRPr="007070E5">
        <w:t xml:space="preserve">Regional growth expanding outward from Auburn </w:t>
      </w:r>
    </w:p>
    <w:p w14:paraId="67F09C8E" w14:textId="77777777" w:rsidR="007070E5" w:rsidRPr="007070E5" w:rsidRDefault="007070E5" w:rsidP="007070E5">
      <w:pPr>
        <w:numPr>
          <w:ilvl w:val="0"/>
          <w:numId w:val="16"/>
        </w:numPr>
        <w:spacing w:after="0"/>
      </w:pPr>
      <w:r w:rsidRPr="007070E5">
        <w:t xml:space="preserve">Limited competing riverfront redevelopment inventory </w:t>
      </w:r>
    </w:p>
    <w:p w14:paraId="14B2E04F" w14:textId="77777777" w:rsidR="007070E5" w:rsidRPr="007070E5" w:rsidRDefault="007070E5" w:rsidP="007070E5">
      <w:pPr>
        <w:numPr>
          <w:ilvl w:val="0"/>
          <w:numId w:val="16"/>
        </w:numPr>
        <w:spacing w:after="0"/>
      </w:pPr>
      <w:r w:rsidRPr="007070E5">
        <w:t xml:space="preserve">Public ownership actively pursuing development partnerships </w:t>
      </w:r>
    </w:p>
    <w:p w14:paraId="2D53FFAE" w14:textId="77777777" w:rsidR="007070E5" w:rsidRPr="007070E5" w:rsidRDefault="007070E5" w:rsidP="007070E5">
      <w:pPr>
        <w:spacing w:after="0"/>
        <w:rPr>
          <w:b/>
          <w:bCs/>
        </w:rPr>
      </w:pPr>
      <w:r w:rsidRPr="007070E5">
        <w:rPr>
          <w:b/>
          <w:bCs/>
        </w:rPr>
        <w:t>The site is positioned to transition from stabilization to execution.</w:t>
      </w:r>
    </w:p>
    <w:p w14:paraId="0A848CE8" w14:textId="77777777" w:rsidR="007070E5" w:rsidRPr="007070E5" w:rsidRDefault="007070E5" w:rsidP="007070E5">
      <w:pPr>
        <w:rPr>
          <w:b/>
          <w:bCs/>
        </w:rPr>
      </w:pPr>
      <w:r w:rsidRPr="007070E5">
        <w:rPr>
          <w:b/>
          <w:bCs/>
        </w:rPr>
        <w:pict w14:anchorId="5D7AB016">
          <v:rect id="_x0000_i1085" style="width:0;height:1.5pt" o:hralign="center" o:hrstd="t" o:hr="t" fillcolor="#a0a0a0" stroked="f"/>
        </w:pict>
      </w:r>
    </w:p>
    <w:p w14:paraId="1A1E59D4" w14:textId="77777777" w:rsidR="007070E5" w:rsidRPr="007070E5" w:rsidRDefault="007070E5" w:rsidP="007070E5">
      <w:pPr>
        <w:pStyle w:val="Heading2"/>
      </w:pPr>
      <w:r w:rsidRPr="007070E5">
        <w:t>Next Steps</w:t>
      </w:r>
    </w:p>
    <w:p w14:paraId="1968E0AD" w14:textId="77777777" w:rsidR="007070E5" w:rsidRPr="007070E5" w:rsidRDefault="007070E5" w:rsidP="007070E5">
      <w:r w:rsidRPr="007070E5">
        <w:t>Full redevelopment study and site access information are available with authorization from the Tallassee Redevelopment Authority.</w:t>
      </w:r>
    </w:p>
    <w:p w14:paraId="67800B56" w14:textId="77777777" w:rsidR="007070E5" w:rsidRPr="007070E5" w:rsidRDefault="007070E5" w:rsidP="007070E5">
      <w:r w:rsidRPr="007070E5">
        <w:rPr>
          <w:rStyle w:val="Heading3Char"/>
        </w:rPr>
        <w:t>Contact:</w:t>
      </w:r>
      <w:r w:rsidRPr="007070E5">
        <w:br/>
        <w:t>info@tallasseeredevelopment.com</w:t>
      </w:r>
      <w:r w:rsidRPr="007070E5">
        <w:br/>
      </w:r>
      <w:hyperlink r:id="rId8" w:tgtFrame="_new" w:history="1">
        <w:r w:rsidRPr="007070E5">
          <w:rPr>
            <w:rStyle w:val="Hyperlink"/>
          </w:rPr>
          <w:t>www.tallasseeredevelopment.com</w:t>
        </w:r>
      </w:hyperlink>
    </w:p>
    <w:p w14:paraId="7F67F7DA" w14:textId="23D5C085" w:rsidR="001A1490" w:rsidRPr="007070E5" w:rsidRDefault="001A1490" w:rsidP="007070E5"/>
    <w:sectPr w:rsidR="001A1490" w:rsidRPr="00707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C01"/>
    <w:multiLevelType w:val="multilevel"/>
    <w:tmpl w:val="9E60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5D8C"/>
    <w:multiLevelType w:val="multilevel"/>
    <w:tmpl w:val="3356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06881"/>
    <w:multiLevelType w:val="multilevel"/>
    <w:tmpl w:val="EE4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82DD4"/>
    <w:multiLevelType w:val="multilevel"/>
    <w:tmpl w:val="B4C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E5DF3"/>
    <w:multiLevelType w:val="multilevel"/>
    <w:tmpl w:val="DDFA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978B4"/>
    <w:multiLevelType w:val="multilevel"/>
    <w:tmpl w:val="A2F2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60341"/>
    <w:multiLevelType w:val="multilevel"/>
    <w:tmpl w:val="067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E572E"/>
    <w:multiLevelType w:val="multilevel"/>
    <w:tmpl w:val="A170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D5603"/>
    <w:multiLevelType w:val="multilevel"/>
    <w:tmpl w:val="0F28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61C85"/>
    <w:multiLevelType w:val="multilevel"/>
    <w:tmpl w:val="BDD6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E318B"/>
    <w:multiLevelType w:val="multilevel"/>
    <w:tmpl w:val="CC6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163E0"/>
    <w:multiLevelType w:val="multilevel"/>
    <w:tmpl w:val="BB2A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2187B"/>
    <w:multiLevelType w:val="multilevel"/>
    <w:tmpl w:val="DE84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721CE"/>
    <w:multiLevelType w:val="multilevel"/>
    <w:tmpl w:val="193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97336"/>
    <w:multiLevelType w:val="multilevel"/>
    <w:tmpl w:val="83B2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A68B5"/>
    <w:multiLevelType w:val="multilevel"/>
    <w:tmpl w:val="66D6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430602">
    <w:abstractNumId w:val="3"/>
  </w:num>
  <w:num w:numId="2" w16cid:durableId="1354334010">
    <w:abstractNumId w:val="4"/>
  </w:num>
  <w:num w:numId="3" w16cid:durableId="1365864282">
    <w:abstractNumId w:val="6"/>
  </w:num>
  <w:num w:numId="4" w16cid:durableId="530923742">
    <w:abstractNumId w:val="2"/>
  </w:num>
  <w:num w:numId="5" w16cid:durableId="375279510">
    <w:abstractNumId w:val="5"/>
  </w:num>
  <w:num w:numId="6" w16cid:durableId="963119657">
    <w:abstractNumId w:val="1"/>
  </w:num>
  <w:num w:numId="7" w16cid:durableId="1995179780">
    <w:abstractNumId w:val="14"/>
  </w:num>
  <w:num w:numId="8" w16cid:durableId="814953004">
    <w:abstractNumId w:val="9"/>
  </w:num>
  <w:num w:numId="9" w16cid:durableId="601377669">
    <w:abstractNumId w:val="15"/>
  </w:num>
  <w:num w:numId="10" w16cid:durableId="425152215">
    <w:abstractNumId w:val="12"/>
  </w:num>
  <w:num w:numId="11" w16cid:durableId="1519200566">
    <w:abstractNumId w:val="10"/>
  </w:num>
  <w:num w:numId="12" w16cid:durableId="2095659385">
    <w:abstractNumId w:val="8"/>
  </w:num>
  <w:num w:numId="13" w16cid:durableId="531263257">
    <w:abstractNumId w:val="0"/>
  </w:num>
  <w:num w:numId="14" w16cid:durableId="963194644">
    <w:abstractNumId w:val="13"/>
  </w:num>
  <w:num w:numId="15" w16cid:durableId="1292705509">
    <w:abstractNumId w:val="11"/>
  </w:num>
  <w:num w:numId="16" w16cid:durableId="1414473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0"/>
    <w:rsid w:val="00010353"/>
    <w:rsid w:val="0019475F"/>
    <w:rsid w:val="001A1490"/>
    <w:rsid w:val="0024749D"/>
    <w:rsid w:val="002D0C04"/>
    <w:rsid w:val="00507279"/>
    <w:rsid w:val="007070E5"/>
    <w:rsid w:val="007522B0"/>
    <w:rsid w:val="00865445"/>
    <w:rsid w:val="00BE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0E2F"/>
  <w15:chartTrackingRefBased/>
  <w15:docId w15:val="{4CB3263F-26FF-450D-A62A-99EC8AE9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1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1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A1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1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1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A1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490"/>
    <w:rPr>
      <w:rFonts w:eastAsiaTheme="majorEastAsia" w:cstheme="majorBidi"/>
      <w:color w:val="272727" w:themeColor="text1" w:themeTint="D8"/>
    </w:rPr>
  </w:style>
  <w:style w:type="paragraph" w:styleId="Title">
    <w:name w:val="Title"/>
    <w:basedOn w:val="Normal"/>
    <w:next w:val="Normal"/>
    <w:link w:val="TitleChar"/>
    <w:uiPriority w:val="10"/>
    <w:qFormat/>
    <w:rsid w:val="001A1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490"/>
    <w:pPr>
      <w:spacing w:before="160"/>
      <w:jc w:val="center"/>
    </w:pPr>
    <w:rPr>
      <w:i/>
      <w:iCs/>
      <w:color w:val="404040" w:themeColor="text1" w:themeTint="BF"/>
    </w:rPr>
  </w:style>
  <w:style w:type="character" w:customStyle="1" w:styleId="QuoteChar">
    <w:name w:val="Quote Char"/>
    <w:basedOn w:val="DefaultParagraphFont"/>
    <w:link w:val="Quote"/>
    <w:uiPriority w:val="29"/>
    <w:rsid w:val="001A1490"/>
    <w:rPr>
      <w:i/>
      <w:iCs/>
      <w:color w:val="404040" w:themeColor="text1" w:themeTint="BF"/>
    </w:rPr>
  </w:style>
  <w:style w:type="paragraph" w:styleId="ListParagraph">
    <w:name w:val="List Paragraph"/>
    <w:basedOn w:val="Normal"/>
    <w:uiPriority w:val="34"/>
    <w:qFormat/>
    <w:rsid w:val="001A1490"/>
    <w:pPr>
      <w:ind w:left="720"/>
      <w:contextualSpacing/>
    </w:pPr>
  </w:style>
  <w:style w:type="character" w:styleId="IntenseEmphasis">
    <w:name w:val="Intense Emphasis"/>
    <w:basedOn w:val="DefaultParagraphFont"/>
    <w:uiPriority w:val="21"/>
    <w:qFormat/>
    <w:rsid w:val="001A1490"/>
    <w:rPr>
      <w:i/>
      <w:iCs/>
      <w:color w:val="0F4761" w:themeColor="accent1" w:themeShade="BF"/>
    </w:rPr>
  </w:style>
  <w:style w:type="paragraph" w:styleId="IntenseQuote">
    <w:name w:val="Intense Quote"/>
    <w:basedOn w:val="Normal"/>
    <w:next w:val="Normal"/>
    <w:link w:val="IntenseQuoteChar"/>
    <w:uiPriority w:val="30"/>
    <w:qFormat/>
    <w:rsid w:val="001A1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490"/>
    <w:rPr>
      <w:i/>
      <w:iCs/>
      <w:color w:val="0F4761" w:themeColor="accent1" w:themeShade="BF"/>
    </w:rPr>
  </w:style>
  <w:style w:type="character" w:styleId="IntenseReference">
    <w:name w:val="Intense Reference"/>
    <w:basedOn w:val="DefaultParagraphFont"/>
    <w:uiPriority w:val="32"/>
    <w:qFormat/>
    <w:rsid w:val="001A1490"/>
    <w:rPr>
      <w:b/>
      <w:bCs/>
      <w:smallCaps/>
      <w:color w:val="0F4761" w:themeColor="accent1" w:themeShade="BF"/>
      <w:spacing w:val="5"/>
    </w:rPr>
  </w:style>
  <w:style w:type="character" w:styleId="Hyperlink">
    <w:name w:val="Hyperlink"/>
    <w:basedOn w:val="DefaultParagraphFont"/>
    <w:uiPriority w:val="99"/>
    <w:unhideWhenUsed/>
    <w:rsid w:val="007070E5"/>
    <w:rPr>
      <w:color w:val="467886" w:themeColor="hyperlink"/>
      <w:u w:val="single"/>
    </w:rPr>
  </w:style>
  <w:style w:type="character" w:styleId="UnresolvedMention">
    <w:name w:val="Unresolved Mention"/>
    <w:basedOn w:val="DefaultParagraphFont"/>
    <w:uiPriority w:val="99"/>
    <w:semiHidden/>
    <w:unhideWhenUsed/>
    <w:rsid w:val="007070E5"/>
    <w:rPr>
      <w:color w:val="605E5C"/>
      <w:shd w:val="clear" w:color="auto" w:fill="E1DFDD"/>
    </w:rPr>
  </w:style>
  <w:style w:type="character" w:styleId="SubtleEmphasis">
    <w:name w:val="Subtle Emphasis"/>
    <w:basedOn w:val="DefaultParagraphFont"/>
    <w:uiPriority w:val="19"/>
    <w:qFormat/>
    <w:rsid w:val="007070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lasseeredevelopmen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3849fc-269b-41c1-84ec-7286958bc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3CF8245B7EB41999FD7A38B43510F" ma:contentTypeVersion="12" ma:contentTypeDescription="Create a new document." ma:contentTypeScope="" ma:versionID="912dbb8df4f347002cd6b8317d5e9a8c">
  <xsd:schema xmlns:xsd="http://www.w3.org/2001/XMLSchema" xmlns:xs="http://www.w3.org/2001/XMLSchema" xmlns:p="http://schemas.microsoft.com/office/2006/metadata/properties" xmlns:ns3="613849fc-269b-41c1-84ec-7286958bcd0a" targetNamespace="http://schemas.microsoft.com/office/2006/metadata/properties" ma:root="true" ma:fieldsID="f314ae4c04868acd79900f744bddbcb9" ns3:_="">
    <xsd:import namespace="613849fc-269b-41c1-84ec-7286958bcd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849fc-269b-41c1-84ec-7286958bc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091C7-2327-455E-8B64-5F4B08A9BB7E}">
  <ds:schemaRefs>
    <ds:schemaRef ds:uri="http://schemas.microsoft.com/office/2006/metadata/properties"/>
    <ds:schemaRef ds:uri="http://schemas.microsoft.com/office/infopath/2007/PartnerControls"/>
    <ds:schemaRef ds:uri="613849fc-269b-41c1-84ec-7286958bcd0a"/>
  </ds:schemaRefs>
</ds:datastoreItem>
</file>

<file path=customXml/itemProps2.xml><?xml version="1.0" encoding="utf-8"?>
<ds:datastoreItem xmlns:ds="http://schemas.openxmlformats.org/officeDocument/2006/customXml" ds:itemID="{2AA94B94-8B6B-418C-802C-0DD8E74BD0CA}">
  <ds:schemaRefs>
    <ds:schemaRef ds:uri="http://schemas.microsoft.com/sharepoint/v3/contenttype/forms"/>
  </ds:schemaRefs>
</ds:datastoreItem>
</file>

<file path=customXml/itemProps3.xml><?xml version="1.0" encoding="utf-8"?>
<ds:datastoreItem xmlns:ds="http://schemas.openxmlformats.org/officeDocument/2006/customXml" ds:itemID="{3C090CEF-ACFF-4933-BCC9-1DD99A094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849fc-269b-41c1-84ec-7286958bc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3</Pages>
  <Words>494</Words>
  <Characters>3522</Characters>
  <Application>Microsoft Office Word</Application>
  <DocSecurity>0</DocSecurity>
  <Lines>106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Easterling</dc:creator>
  <cp:keywords/>
  <dc:description/>
  <cp:lastModifiedBy>Carpenter, Easterling</cp:lastModifiedBy>
  <cp:revision>5</cp:revision>
  <dcterms:created xsi:type="dcterms:W3CDTF">2026-03-25T13:17:00Z</dcterms:created>
  <dcterms:modified xsi:type="dcterms:W3CDTF">2026-03-26T13:47:00Z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0x010100EC73CF8245B7EB41999FD7A38B43510F</vt:lpwstr>
  </property>
</Properties>
</file>