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4D20" w14:textId="77777777" w:rsidR="00C52C27" w:rsidRDefault="00086871" w:rsidP="009207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The California Court of Appeal’s Recent Decision Limiting How a </w:t>
      </w:r>
      <w:r w:rsidR="005C7E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Commercial Landlord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May Apply a Security Deposit</w:t>
      </w:r>
    </w:p>
    <w:p w14:paraId="4783CAAD" w14:textId="75173D6C" w:rsidR="009207B7" w:rsidRPr="00C52C27" w:rsidRDefault="009207B7" w:rsidP="009207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664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</w:p>
    <w:p w14:paraId="58074067" w14:textId="018608AA" w:rsidR="00E00260" w:rsidRPr="0086664C" w:rsidRDefault="00086871" w:rsidP="00C52C2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California </w:t>
      </w:r>
      <w:r w:rsidR="005C7EE9" w:rsidRPr="005C7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Civil Code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§</w:t>
      </w:r>
      <w:r w:rsidR="005C7EE9" w:rsidRPr="005C7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1950.7(c)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provides that a commercial landlord may retain portions of a tenant’s security 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deposit “only [for] those amounts as are reasonably necessary to remedy tenant defaults in the payment of </w:t>
      </w:r>
      <w:r w:rsidR="00E00260" w:rsidRPr="0008687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rent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to </w:t>
      </w:r>
      <w:r w:rsidR="00E00260" w:rsidRPr="0008687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repair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damages to the premises caused by the tenant, or to </w:t>
      </w:r>
      <w:r w:rsidR="00E00260" w:rsidRPr="0008687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clean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premises upon termination of the tenancy, </w:t>
      </w:r>
      <w:r w:rsidR="00E00260" w:rsidRPr="0008687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if the payment or deposit is made for any or all of those specific purposes</w:t>
      </w:r>
      <w:r w:rsidR="00E00260" w:rsidRPr="00866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.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C52C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This is the default rule per statute, however, the Parties to a lease agreement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can waive this rule or modify</w:t>
      </w:r>
      <w:r w:rsidR="00C52C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608EAA5A" w14:textId="77777777" w:rsidR="00E00260" w:rsidRPr="0086664C" w:rsidRDefault="00E00260" w:rsidP="00E002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F3CD5A" w14:textId="1F486A44" w:rsidR="005C7EE9" w:rsidRPr="005C7EE9" w:rsidRDefault="00086871" w:rsidP="00C52C2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However, in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recent California Court of Appeal case of </w:t>
      </w:r>
      <w:r w:rsidR="00E00260" w:rsidRPr="003F3DB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Aljabban v. Fontana Indoor Swap Meet, Inc.</w:t>
      </w:r>
      <w:r w:rsidR="00E00260" w:rsidRPr="003F3D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B15980" w:rsidRPr="00B159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(“</w:t>
      </w:r>
      <w:r w:rsidR="00B15980" w:rsidRPr="00B159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Aljabban</w:t>
      </w:r>
      <w:r w:rsidR="00B15980" w:rsidRPr="00B159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”)</w:t>
      </w:r>
      <w:r w:rsidR="00E00260" w:rsidRPr="00B159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C52C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court, as a matter of first impression, 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interpreted </w:t>
      </w:r>
      <w:r w:rsidR="00B159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portion of </w:t>
      </w:r>
      <w:r w:rsidR="00B159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California </w:t>
      </w:r>
      <w:r w:rsidR="00B15980" w:rsidRPr="005C7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Civil Code</w:t>
      </w:r>
      <w:r w:rsidR="00B159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§</w:t>
      </w:r>
      <w:r w:rsidR="00B15980" w:rsidRPr="005C7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1950.7(c)</w:t>
      </w:r>
      <w:r w:rsidR="00B1598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E00260" w:rsidRPr="00866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if the payment or deposit is made for any or all of those specific purposes” 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mean that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7EE9" w:rsidRPr="005C7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commercial landlord can use a tenant’s security deposit to pay the tenant’s defaults in payment of rent, repair damage to the premises or to clean the premises after the tenant’s move-ou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="005C7EE9" w:rsidRPr="00B159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only if</w:t>
      </w:r>
      <w:r w:rsidR="005C7EE9" w:rsidRPr="005C7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lease </w:t>
      </w:r>
      <w:r w:rsidR="00E00260" w:rsidRPr="00866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explicitly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7EE9" w:rsidRPr="005C7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provides that the landlord can use the deposit for those purposes. 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In the case of </w:t>
      </w:r>
      <w:r w:rsidR="00E00260" w:rsidRPr="003F3DB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Aljabban</w:t>
      </w:r>
      <w:r w:rsidR="005C7EE9" w:rsidRPr="005C7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the 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at-issue agreement</w:t>
      </w:r>
      <w:r w:rsidR="005C7EE9" w:rsidRPr="005C7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authorized the security deposit 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="00B159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5980" w:rsidRPr="00B159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only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 applied </w:t>
      </w:r>
      <w:r w:rsidR="005C7EE9" w:rsidRPr="005C7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payment of unpaid rent</w:t>
      </w:r>
      <w:r w:rsidR="00C52C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and nothing else - </w:t>
      </w:r>
      <w:r w:rsidR="00C52C27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whereas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Landlord sought to apply the </w:t>
      </w:r>
      <w:r w:rsidR="0086664C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Security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Deposit towards repairs to the Premises.  The Court of Appeal </w:t>
      </w:r>
      <w:r w:rsidR="00B159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held</w:t>
      </w:r>
      <w:r w:rsidR="0086664C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59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because</w:t>
      </w:r>
      <w:r w:rsidR="0086664C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agreement </w:t>
      </w:r>
      <w:r w:rsidR="00E00260" w:rsidRPr="00866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did not explicitly authorize the security to be used </w:t>
      </w:r>
      <w:r w:rsidR="005C7EE9" w:rsidRPr="005C7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pay for repair of damage to the premises</w:t>
      </w:r>
      <w:r w:rsidR="00B159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then the landlord could not use that security deposit towards repairs to the Premises and found in favor of the tenant</w:t>
      </w:r>
      <w:r w:rsidR="00C52C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that Landlord was subject to liability for wrongfully withholding the security deposit</w:t>
      </w:r>
      <w:r w:rsidR="00B159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C7EE9" w:rsidRPr="005C7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6B2039A" w14:textId="4913C80A" w:rsidR="009207B7" w:rsidRPr="0086664C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685C89" w14:textId="5B8DBB3C" w:rsidR="009207B7" w:rsidRPr="0086664C" w:rsidRDefault="009207B7" w:rsidP="009207B7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664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Take Away:</w:t>
      </w:r>
    </w:p>
    <w:p w14:paraId="5F0FF72B" w14:textId="738A6193" w:rsidR="009207B7" w:rsidRDefault="0086664C" w:rsidP="00C52C27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case of </w:t>
      </w:r>
      <w:r w:rsidRPr="0055118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Aljabban v. Fontana Indoor Swap Meet, Inc.</w:t>
      </w:r>
      <w:r w:rsidRPr="00551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the Landlord </w:t>
      </w:r>
      <w:r w:rsidR="00B15980" w:rsidRPr="00551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could</w:t>
      </w:r>
      <w:r w:rsidRPr="00551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have benefited from entering into a agreement in which the tenant explicitly </w:t>
      </w:r>
      <w:r w:rsidRPr="0055118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waived</w:t>
      </w:r>
      <w:r w:rsidRPr="00551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any of the default statutory provisions of Civil Code 1950.7 that govern commercial security deposits.  </w:t>
      </w:r>
      <w:r w:rsidR="00F97719" w:rsidRPr="00551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Without such language, </w:t>
      </w:r>
      <w:r w:rsidRPr="00551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it is critical to revie</w:t>
      </w:r>
      <w:r w:rsidR="00551188" w:rsidRPr="00551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the lease language when applying a security </w:t>
      </w:r>
      <w:r w:rsidRPr="00551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avoid potential liability</w:t>
      </w:r>
      <w:r w:rsidR="00551188" w:rsidRPr="00551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wrongfully withholding the deposit given </w:t>
      </w:r>
      <w:r w:rsidR="00551188" w:rsidRPr="00551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51188" w:rsidRPr="00551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literal and </w:t>
      </w:r>
      <w:r w:rsidR="00551188" w:rsidRPr="00551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strict interpretation of what a security deposit may be applied towards</w:t>
      </w:r>
      <w:r w:rsidR="00551188" w:rsidRPr="005511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9207B7" w:rsidRPr="00551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Therefore, it is </w:t>
      </w:r>
      <w:r w:rsidRPr="00551188">
        <w:rPr>
          <w:rFonts w:ascii="Times New Roman" w:hAnsi="Times New Roman" w:cs="Times New Roman"/>
          <w:color w:val="000000" w:themeColor="text1"/>
          <w:sz w:val="24"/>
          <w:szCs w:val="24"/>
        </w:rPr>
        <w:t>important</w:t>
      </w:r>
      <w:r w:rsidR="009207B7" w:rsidRPr="00551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Pr="00551188">
        <w:rPr>
          <w:rFonts w:ascii="Times New Roman" w:hAnsi="Times New Roman" w:cs="Times New Roman"/>
          <w:color w:val="000000" w:themeColor="text1"/>
          <w:sz w:val="24"/>
          <w:szCs w:val="24"/>
        </w:rPr>
        <w:t>landlord’s</w:t>
      </w:r>
      <w:r w:rsidR="00610BA3" w:rsidRPr="00551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7B7" w:rsidRPr="00551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mindful and aware of </w:t>
      </w:r>
      <w:r w:rsidR="00610BA3" w:rsidRPr="00551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such </w:t>
      </w:r>
      <w:r w:rsidRPr="00551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provisions </w:t>
      </w:r>
      <w:r w:rsidR="00610BA3" w:rsidRPr="00551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seek legal counsel to </w:t>
      </w:r>
      <w:r w:rsidRPr="00551188">
        <w:rPr>
          <w:rFonts w:ascii="Times New Roman" w:hAnsi="Times New Roman" w:cs="Times New Roman"/>
          <w:color w:val="000000" w:themeColor="text1"/>
          <w:sz w:val="24"/>
          <w:szCs w:val="24"/>
        </w:rPr>
        <w:t>with respect to entering into and enforcing their commercial lease agreements</w:t>
      </w:r>
      <w:r w:rsidR="00610BA3" w:rsidRPr="005511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0BA3" w:rsidRPr="00866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211EF67" w14:textId="25D1E09E" w:rsidR="00086871" w:rsidRPr="0086664C" w:rsidRDefault="00086871" w:rsidP="009207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3DB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Aljabban v. Fontana Indoor Swap Meet, Inc.</w:t>
      </w:r>
      <w:r w:rsidRPr="003F3D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(2020) 54 CA5th 482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28A2410" w14:textId="77777777" w:rsidR="009207B7" w:rsidRPr="0086664C" w:rsidRDefault="009207B7" w:rsidP="009207B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64C">
        <w:rPr>
          <w:rFonts w:ascii="Times New Roman" w:hAnsi="Times New Roman" w:cs="Times New Roman"/>
          <w:color w:val="000000" w:themeColor="text1"/>
          <w:sz w:val="24"/>
          <w:szCs w:val="24"/>
        </w:rPr>
        <w:t>*The above does not constitute legal advice and should not be acted upon without seeking advice from a licensed lawyer.</w:t>
      </w:r>
    </w:p>
    <w:p w14:paraId="1B4FF0A7" w14:textId="77777777" w:rsidR="000F5B64" w:rsidRPr="009207B7" w:rsidRDefault="00C52C27">
      <w:pPr>
        <w:rPr>
          <w:rFonts w:ascii="Times New Roman" w:hAnsi="Times New Roman" w:cs="Times New Roman"/>
          <w:color w:val="000000" w:themeColor="text1"/>
        </w:rPr>
      </w:pPr>
    </w:p>
    <w:sectPr w:rsidR="000F5B64" w:rsidRPr="00920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78A1" w14:textId="77777777" w:rsidR="00086871" w:rsidRDefault="00086871" w:rsidP="00086871">
      <w:pPr>
        <w:spacing w:after="0" w:line="240" w:lineRule="auto"/>
      </w:pPr>
      <w:r>
        <w:separator/>
      </w:r>
    </w:p>
  </w:endnote>
  <w:endnote w:type="continuationSeparator" w:id="0">
    <w:p w14:paraId="150312C4" w14:textId="77777777" w:rsidR="00086871" w:rsidRDefault="00086871" w:rsidP="0008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725E" w14:textId="77777777" w:rsidR="00086871" w:rsidRDefault="00086871" w:rsidP="00086871">
      <w:pPr>
        <w:spacing w:after="0" w:line="240" w:lineRule="auto"/>
      </w:pPr>
      <w:r>
        <w:separator/>
      </w:r>
    </w:p>
  </w:footnote>
  <w:footnote w:type="continuationSeparator" w:id="0">
    <w:p w14:paraId="13719E1C" w14:textId="77777777" w:rsidR="00086871" w:rsidRDefault="00086871" w:rsidP="00086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B7"/>
    <w:rsid w:val="00086871"/>
    <w:rsid w:val="001B7F13"/>
    <w:rsid w:val="004A6FD9"/>
    <w:rsid w:val="0050121A"/>
    <w:rsid w:val="00551188"/>
    <w:rsid w:val="0058054C"/>
    <w:rsid w:val="005C7EE9"/>
    <w:rsid w:val="006061AB"/>
    <w:rsid w:val="00610BA3"/>
    <w:rsid w:val="007811E5"/>
    <w:rsid w:val="0086664C"/>
    <w:rsid w:val="009207B7"/>
    <w:rsid w:val="00B15980"/>
    <w:rsid w:val="00C52C27"/>
    <w:rsid w:val="00CB0C41"/>
    <w:rsid w:val="00E00260"/>
    <w:rsid w:val="00F9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38C7"/>
  <w15:chartTrackingRefBased/>
  <w15:docId w15:val="{1F511605-37BA-3042-BFA7-E002D100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B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8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87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Hifai</dc:creator>
  <cp:keywords/>
  <dc:description/>
  <cp:lastModifiedBy>Paymon Hifai</cp:lastModifiedBy>
  <cp:revision>4</cp:revision>
  <dcterms:created xsi:type="dcterms:W3CDTF">2021-11-18T22:27:00Z</dcterms:created>
  <dcterms:modified xsi:type="dcterms:W3CDTF">2021-11-18T22:32:00Z</dcterms:modified>
</cp:coreProperties>
</file>