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44324" w14:textId="26C61268" w:rsidR="009207B7" w:rsidRPr="000D57A8" w:rsidRDefault="000D57A8" w:rsidP="009207B7">
      <w:pPr>
        <w:rPr>
          <w:b/>
          <w:bCs/>
          <w:color w:val="000000" w:themeColor="text1"/>
        </w:rPr>
      </w:pPr>
      <w:r w:rsidRPr="000D57A8">
        <w:rPr>
          <w:b/>
          <w:bCs/>
          <w:color w:val="000000" w:themeColor="text1"/>
        </w:rPr>
        <w:t xml:space="preserve">3-Day Notice </w:t>
      </w:r>
      <w:proofErr w:type="gramStart"/>
      <w:r w:rsidRPr="000D57A8">
        <w:rPr>
          <w:b/>
          <w:bCs/>
          <w:color w:val="000000" w:themeColor="text1"/>
        </w:rPr>
        <w:t>To</w:t>
      </w:r>
      <w:proofErr w:type="gramEnd"/>
      <w:r w:rsidRPr="000D57A8">
        <w:rPr>
          <w:b/>
          <w:bCs/>
          <w:color w:val="000000" w:themeColor="text1"/>
        </w:rPr>
        <w:t xml:space="preserve"> Cure Or Quit: Identi</w:t>
      </w:r>
      <w:r w:rsidR="003A4DDD">
        <w:rPr>
          <w:b/>
          <w:bCs/>
          <w:color w:val="000000" w:themeColor="text1"/>
        </w:rPr>
        <w:t xml:space="preserve">fying the Landlord Party to Whom Tenant is </w:t>
      </w:r>
      <w:r w:rsidRPr="000D57A8">
        <w:rPr>
          <w:b/>
          <w:bCs/>
          <w:color w:val="000000" w:themeColor="text1"/>
        </w:rPr>
        <w:t xml:space="preserve">to Surrender Possession of Premises </w:t>
      </w:r>
      <w:r w:rsidR="003A4DDD">
        <w:rPr>
          <w:b/>
          <w:bCs/>
          <w:color w:val="000000" w:themeColor="text1"/>
        </w:rPr>
        <w:t>is Not Always Required.</w:t>
      </w:r>
    </w:p>
    <w:p w14:paraId="4783CAAD" w14:textId="54880F00" w:rsidR="009207B7" w:rsidRPr="000D57A8" w:rsidRDefault="009207B7" w:rsidP="009207B7">
      <w:pPr>
        <w:rPr>
          <w:color w:val="000000" w:themeColor="text1"/>
        </w:rPr>
      </w:pPr>
      <w:r w:rsidRPr="000D57A8">
        <w:rPr>
          <w:color w:val="000000" w:themeColor="text1"/>
        </w:rPr>
        <w:t>_________________________________________________</w:t>
      </w:r>
    </w:p>
    <w:p w14:paraId="7EF2039D" w14:textId="00C00CF3" w:rsidR="000D57A8" w:rsidRPr="000D57A8" w:rsidRDefault="000D57A8" w:rsidP="003A4DDD">
      <w:pPr>
        <w:jc w:val="both"/>
        <w:rPr>
          <w:color w:val="000000" w:themeColor="text1"/>
        </w:rPr>
      </w:pPr>
      <w:proofErr w:type="gramStart"/>
      <w:r w:rsidRPr="000D57A8">
        <w:rPr>
          <w:color w:val="000000" w:themeColor="text1"/>
        </w:rPr>
        <w:t>In order for</w:t>
      </w:r>
      <w:proofErr w:type="gramEnd"/>
      <w:r w:rsidRPr="000D57A8">
        <w:rPr>
          <w:color w:val="000000" w:themeColor="text1"/>
        </w:rPr>
        <w:t xml:space="preserve"> a landlord to prevail in an unlawful detainer lawsuit to evict a tenant, the landlord must </w:t>
      </w:r>
      <w:r w:rsidRPr="007262A5">
        <w:rPr>
          <w:i/>
          <w:iCs/>
          <w:color w:val="000000" w:themeColor="text1"/>
        </w:rPr>
        <w:t>strictly</w:t>
      </w:r>
      <w:r w:rsidRPr="000D57A8">
        <w:rPr>
          <w:color w:val="000000" w:themeColor="text1"/>
        </w:rPr>
        <w:t xml:space="preserve"> comply with the applicable statutory notice requirements such as </w:t>
      </w:r>
      <w:r w:rsidR="00F744D9">
        <w:rPr>
          <w:color w:val="000000" w:themeColor="text1"/>
        </w:rPr>
        <w:t xml:space="preserve">those statutory notice requirements for a </w:t>
      </w:r>
      <w:r w:rsidRPr="000D57A8">
        <w:rPr>
          <w:color w:val="000000" w:themeColor="text1"/>
        </w:rPr>
        <w:t xml:space="preserve">3-Day Notice to Pay Rent or Quit, </w:t>
      </w:r>
      <w:r w:rsidR="00F744D9">
        <w:rPr>
          <w:color w:val="000000" w:themeColor="text1"/>
        </w:rPr>
        <w:t xml:space="preserve">a </w:t>
      </w:r>
      <w:r w:rsidRPr="000D57A8">
        <w:rPr>
          <w:color w:val="000000" w:themeColor="text1"/>
        </w:rPr>
        <w:t xml:space="preserve">3-Day Notice to Perform Covenant or Quit, or </w:t>
      </w:r>
      <w:r w:rsidR="00F744D9">
        <w:rPr>
          <w:color w:val="000000" w:themeColor="text1"/>
        </w:rPr>
        <w:t xml:space="preserve">a </w:t>
      </w:r>
      <w:r w:rsidRPr="000D57A8">
        <w:rPr>
          <w:color w:val="000000" w:themeColor="text1"/>
        </w:rPr>
        <w:t xml:space="preserve">3-Day Notice to Quit.  </w:t>
      </w:r>
      <w:r w:rsidR="007262A5">
        <w:rPr>
          <w:color w:val="000000" w:themeColor="text1"/>
        </w:rPr>
        <w:t xml:space="preserve">A landlord’s failure to do so, even in the pre-litigation notice phase – can render the entire unlawful detainer </w:t>
      </w:r>
      <w:r w:rsidR="003A4DDD">
        <w:rPr>
          <w:color w:val="000000" w:themeColor="text1"/>
        </w:rPr>
        <w:t xml:space="preserve">action </w:t>
      </w:r>
      <w:r w:rsidR="007262A5">
        <w:rPr>
          <w:color w:val="000000" w:themeColor="text1"/>
        </w:rPr>
        <w:t xml:space="preserve">defective </w:t>
      </w:r>
      <w:r w:rsidR="003A4DDD">
        <w:rPr>
          <w:color w:val="000000" w:themeColor="text1"/>
        </w:rPr>
        <w:t>with</w:t>
      </w:r>
      <w:r w:rsidR="007262A5">
        <w:rPr>
          <w:color w:val="000000" w:themeColor="text1"/>
        </w:rPr>
        <w:t xml:space="preserve"> the landlord </w:t>
      </w:r>
      <w:r w:rsidR="003A4DDD">
        <w:rPr>
          <w:color w:val="000000" w:themeColor="text1"/>
        </w:rPr>
        <w:t>then losing</w:t>
      </w:r>
      <w:r w:rsidR="007262A5">
        <w:rPr>
          <w:color w:val="000000" w:themeColor="text1"/>
        </w:rPr>
        <w:t xml:space="preserve"> its eviction case. </w:t>
      </w:r>
      <w:r w:rsidR="00F744D9">
        <w:rPr>
          <w:color w:val="000000" w:themeColor="text1"/>
        </w:rPr>
        <w:t>Some of these</w:t>
      </w:r>
      <w:r w:rsidRPr="000D57A8">
        <w:rPr>
          <w:color w:val="000000" w:themeColor="text1"/>
        </w:rPr>
        <w:t xml:space="preserve"> notice</w:t>
      </w:r>
      <w:r w:rsidR="00F744D9">
        <w:rPr>
          <w:color w:val="000000" w:themeColor="text1"/>
        </w:rPr>
        <w:t xml:space="preserve"> requirements and the information that must be contained in </w:t>
      </w:r>
      <w:r w:rsidR="007262A5">
        <w:rPr>
          <w:color w:val="000000" w:themeColor="text1"/>
        </w:rPr>
        <w:t>the</w:t>
      </w:r>
      <w:r w:rsidR="00F744D9">
        <w:rPr>
          <w:color w:val="000000" w:themeColor="text1"/>
        </w:rPr>
        <w:t xml:space="preserve"> notices</w:t>
      </w:r>
      <w:r w:rsidRPr="000D57A8">
        <w:rPr>
          <w:color w:val="000000" w:themeColor="text1"/>
        </w:rPr>
        <w:t xml:space="preserve"> derive from Code of Civil Procedure section 1161.  For example, Code of Civil Procedure section 1161</w:t>
      </w:r>
      <w:r w:rsidR="00F744D9">
        <w:rPr>
          <w:color w:val="000000" w:themeColor="text1"/>
        </w:rPr>
        <w:t xml:space="preserve"> </w:t>
      </w:r>
      <w:r w:rsidR="002F6C97" w:rsidRPr="000D57A8">
        <w:rPr>
          <w:color w:val="000000" w:themeColor="text1"/>
        </w:rPr>
        <w:t xml:space="preserve">subdivision </w:t>
      </w:r>
      <w:r w:rsidR="00F744D9">
        <w:rPr>
          <w:color w:val="000000" w:themeColor="text1"/>
        </w:rPr>
        <w:t xml:space="preserve">2 </w:t>
      </w:r>
      <w:r w:rsidRPr="000D57A8">
        <w:rPr>
          <w:color w:val="000000" w:themeColor="text1"/>
        </w:rPr>
        <w:t>details the notice requirements for a default in payment of rent</w:t>
      </w:r>
      <w:r w:rsidR="00F744D9">
        <w:rPr>
          <w:color w:val="000000" w:themeColor="text1"/>
        </w:rPr>
        <w:t xml:space="preserve"> – i.e., a 3-Day Notice to Pay Rent or </w:t>
      </w:r>
      <w:proofErr w:type="gramStart"/>
      <w:r w:rsidR="00F744D9">
        <w:rPr>
          <w:color w:val="000000" w:themeColor="text1"/>
        </w:rPr>
        <w:t>Quit</w:t>
      </w:r>
      <w:r w:rsidRPr="000D57A8">
        <w:rPr>
          <w:color w:val="000000" w:themeColor="text1"/>
        </w:rPr>
        <w:t xml:space="preserve">, </w:t>
      </w:r>
      <w:r w:rsidR="00F744D9">
        <w:rPr>
          <w:color w:val="000000" w:themeColor="text1"/>
        </w:rPr>
        <w:t>and</w:t>
      </w:r>
      <w:proofErr w:type="gramEnd"/>
      <w:r w:rsidR="00F744D9">
        <w:rPr>
          <w:color w:val="000000" w:themeColor="text1"/>
        </w:rPr>
        <w:t xml:space="preserve"> include the requirement that </w:t>
      </w:r>
      <w:r w:rsidR="003A4DDD">
        <w:rPr>
          <w:color w:val="000000" w:themeColor="text1"/>
        </w:rPr>
        <w:t xml:space="preserve">the </w:t>
      </w:r>
      <w:r w:rsidR="00F744D9">
        <w:rPr>
          <w:color w:val="000000" w:themeColor="text1"/>
        </w:rPr>
        <w:t xml:space="preserve">notice </w:t>
      </w:r>
      <w:r w:rsidR="007262A5">
        <w:rPr>
          <w:color w:val="000000" w:themeColor="text1"/>
        </w:rPr>
        <w:t>provide</w:t>
      </w:r>
      <w:r w:rsidR="007262A5" w:rsidRPr="000D57A8">
        <w:rPr>
          <w:color w:val="000000" w:themeColor="text1"/>
        </w:rPr>
        <w:t xml:space="preserve"> “</w:t>
      </w:r>
      <w:r w:rsidRPr="000D57A8">
        <w:rPr>
          <w:color w:val="000000" w:themeColor="text1"/>
        </w:rPr>
        <w:t>the name, telephone number, and address of the person to whom the rent payment shall be made,</w:t>
      </w:r>
      <w:r w:rsidR="003A4DDD">
        <w:rPr>
          <w:color w:val="000000" w:themeColor="text1"/>
        </w:rPr>
        <w:t xml:space="preserve"> </w:t>
      </w:r>
      <w:r w:rsidRPr="000D57A8">
        <w:rPr>
          <w:color w:val="000000" w:themeColor="text1"/>
        </w:rPr>
        <w:t>…</w:t>
      </w:r>
      <w:r w:rsidRPr="000D57A8">
        <w:t xml:space="preserve"> </w:t>
      </w:r>
      <w:r w:rsidR="00F744D9">
        <w:rPr>
          <w:color w:val="000000" w:themeColor="text1"/>
        </w:rPr>
        <w:t>[or to deliver]</w:t>
      </w:r>
      <w:r w:rsidRPr="000D57A8">
        <w:rPr>
          <w:color w:val="000000" w:themeColor="text1"/>
        </w:rPr>
        <w:t xml:space="preserve"> possession of the property.”  </w:t>
      </w:r>
    </w:p>
    <w:p w14:paraId="608EAA5A" w14:textId="77777777" w:rsidR="00E00260" w:rsidRPr="000D57A8" w:rsidRDefault="00E00260" w:rsidP="003A4DDD">
      <w:pPr>
        <w:jc w:val="both"/>
        <w:rPr>
          <w:color w:val="000000" w:themeColor="text1"/>
        </w:rPr>
      </w:pPr>
    </w:p>
    <w:p w14:paraId="29C4915C" w14:textId="789E9C5D" w:rsidR="000D57A8" w:rsidRPr="000D57A8" w:rsidRDefault="00E00260" w:rsidP="003A4DDD">
      <w:pPr>
        <w:jc w:val="both"/>
        <w:rPr>
          <w:color w:val="000000" w:themeColor="text1"/>
        </w:rPr>
      </w:pPr>
      <w:r w:rsidRPr="000D57A8">
        <w:rPr>
          <w:color w:val="000000" w:themeColor="text1"/>
        </w:rPr>
        <w:t xml:space="preserve">In the recent case of California Court of Appeal case of </w:t>
      </w:r>
      <w:r w:rsidR="000D57A8" w:rsidRPr="00F744D9">
        <w:rPr>
          <w:i/>
          <w:iCs/>
          <w:color w:val="000000" w:themeColor="text1"/>
        </w:rPr>
        <w:t xml:space="preserve">Lee v. </w:t>
      </w:r>
      <w:proofErr w:type="spellStart"/>
      <w:r w:rsidR="000D57A8" w:rsidRPr="00F744D9">
        <w:rPr>
          <w:i/>
          <w:iCs/>
          <w:color w:val="000000" w:themeColor="text1"/>
        </w:rPr>
        <w:t>Kotyluk</w:t>
      </w:r>
      <w:proofErr w:type="spellEnd"/>
      <w:r w:rsidR="000D57A8" w:rsidRPr="00F744D9">
        <w:rPr>
          <w:color w:val="000000" w:themeColor="text1"/>
        </w:rPr>
        <w:t> (2021) 59 Cal.App.5th 719</w:t>
      </w:r>
      <w:r w:rsidRPr="000D57A8">
        <w:rPr>
          <w:color w:val="000000" w:themeColor="text1"/>
        </w:rPr>
        <w:t>, the Court of Appeal</w:t>
      </w:r>
      <w:r w:rsidR="00F744D9">
        <w:rPr>
          <w:color w:val="000000" w:themeColor="text1"/>
        </w:rPr>
        <w:t>, in its own words, got</w:t>
      </w:r>
      <w:r w:rsidR="000D57A8" w:rsidRPr="000D57A8">
        <w:rPr>
          <w:color w:val="000000" w:themeColor="text1"/>
        </w:rPr>
        <w:t xml:space="preserve"> </w:t>
      </w:r>
      <w:r w:rsidR="00F744D9" w:rsidRPr="000D57A8">
        <w:rPr>
          <w:color w:val="000000" w:themeColor="text1"/>
        </w:rPr>
        <w:t>“into</w:t>
      </w:r>
      <w:r w:rsidR="000D57A8" w:rsidRPr="000D57A8">
        <w:rPr>
          <w:color w:val="000000" w:themeColor="text1"/>
        </w:rPr>
        <w:t xml:space="preserve"> the weeds of the unlawful detainer statute” to determine whether </w:t>
      </w:r>
      <w:r w:rsidR="00F744D9">
        <w:rPr>
          <w:color w:val="000000" w:themeColor="text1"/>
        </w:rPr>
        <w:t>a commercial l</w:t>
      </w:r>
      <w:r w:rsidR="000D57A8" w:rsidRPr="000D57A8">
        <w:rPr>
          <w:color w:val="000000" w:themeColor="text1"/>
        </w:rPr>
        <w:t>andlord’s unlawful detainer lawsuit based upon a Notice to Cure or Quit</w:t>
      </w:r>
      <w:r w:rsidR="007262A5">
        <w:rPr>
          <w:color w:val="000000" w:themeColor="text1"/>
        </w:rPr>
        <w:t xml:space="preserve"> (not </w:t>
      </w:r>
      <w:r w:rsidR="003A4DDD">
        <w:rPr>
          <w:color w:val="000000" w:themeColor="text1"/>
        </w:rPr>
        <w:t xml:space="preserve">to </w:t>
      </w:r>
      <w:r w:rsidR="007262A5">
        <w:rPr>
          <w:color w:val="000000" w:themeColor="text1"/>
        </w:rPr>
        <w:t>pay rent or quit)</w:t>
      </w:r>
      <w:r w:rsidR="000D57A8" w:rsidRPr="000D57A8">
        <w:rPr>
          <w:color w:val="000000" w:themeColor="text1"/>
        </w:rPr>
        <w:t xml:space="preserve"> for </w:t>
      </w:r>
      <w:r w:rsidR="00F744D9">
        <w:rPr>
          <w:color w:val="000000" w:themeColor="text1"/>
        </w:rPr>
        <w:t>its</w:t>
      </w:r>
      <w:r w:rsidR="000D57A8" w:rsidRPr="000D57A8">
        <w:rPr>
          <w:color w:val="000000" w:themeColor="text1"/>
        </w:rPr>
        <w:t xml:space="preserve"> commercial tenant’s selling marijuana without a license </w:t>
      </w:r>
      <w:r w:rsidR="00F744D9">
        <w:rPr>
          <w:color w:val="000000" w:themeColor="text1"/>
        </w:rPr>
        <w:t>failed</w:t>
      </w:r>
      <w:r w:rsidR="000D57A8" w:rsidRPr="000D57A8">
        <w:rPr>
          <w:color w:val="000000" w:themeColor="text1"/>
        </w:rPr>
        <w:t xml:space="preserve"> because the </w:t>
      </w:r>
      <w:r w:rsidR="00F744D9">
        <w:rPr>
          <w:color w:val="000000" w:themeColor="text1"/>
        </w:rPr>
        <w:t xml:space="preserve">landlord’s </w:t>
      </w:r>
      <w:r w:rsidR="000D57A8" w:rsidRPr="000D57A8">
        <w:rPr>
          <w:color w:val="000000" w:themeColor="text1"/>
        </w:rPr>
        <w:t>notice didn’t identify the party to whom defendant could return possession of the property.</w:t>
      </w:r>
    </w:p>
    <w:p w14:paraId="143F971A" w14:textId="66948707" w:rsidR="000D57A8" w:rsidRPr="000D57A8" w:rsidRDefault="000D57A8" w:rsidP="003A4DDD">
      <w:pPr>
        <w:jc w:val="both"/>
        <w:rPr>
          <w:color w:val="000000" w:themeColor="text1"/>
        </w:rPr>
      </w:pPr>
    </w:p>
    <w:p w14:paraId="6B30474A" w14:textId="0F61DF4D" w:rsidR="000D57A8" w:rsidRPr="000D57A8" w:rsidRDefault="003A4DDD" w:rsidP="003A4DDD">
      <w:pPr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2F6C97">
        <w:rPr>
          <w:color w:val="000000" w:themeColor="text1"/>
        </w:rPr>
        <w:t xml:space="preserve">ince the notice was one to perform a covenant or quit – i.e., comply with the requirement to sell marijuana with a license, the statutory basis for the notice derives from </w:t>
      </w:r>
      <w:r w:rsidR="000D57A8" w:rsidRPr="000D57A8">
        <w:rPr>
          <w:color w:val="000000" w:themeColor="text1"/>
        </w:rPr>
        <w:t>Code of Civil Procedure section1161</w:t>
      </w:r>
      <w:r w:rsidR="002F6C97">
        <w:rPr>
          <w:color w:val="000000" w:themeColor="text1"/>
        </w:rPr>
        <w:t xml:space="preserve"> </w:t>
      </w:r>
      <w:r w:rsidR="002F6C97" w:rsidRPr="000D57A8">
        <w:rPr>
          <w:color w:val="000000" w:themeColor="text1"/>
        </w:rPr>
        <w:t xml:space="preserve">subdivision </w:t>
      </w:r>
      <w:r w:rsidR="000D57A8" w:rsidRPr="000D57A8">
        <w:rPr>
          <w:color w:val="000000" w:themeColor="text1"/>
        </w:rPr>
        <w:t>3</w:t>
      </w:r>
      <w:r w:rsidR="002F6C97">
        <w:rPr>
          <w:color w:val="000000" w:themeColor="text1"/>
        </w:rPr>
        <w:t>.</w:t>
      </w:r>
      <w:r w:rsidR="000D57A8" w:rsidRPr="000D57A8">
        <w:rPr>
          <w:color w:val="000000" w:themeColor="text1"/>
        </w:rPr>
        <w:t xml:space="preserve"> </w:t>
      </w:r>
      <w:r w:rsidR="002F6C97">
        <w:rPr>
          <w:color w:val="000000" w:themeColor="text1"/>
        </w:rPr>
        <w:t>The</w:t>
      </w:r>
      <w:r w:rsidR="000D57A8" w:rsidRPr="000D57A8">
        <w:rPr>
          <w:color w:val="000000" w:themeColor="text1"/>
        </w:rPr>
        <w:t xml:space="preserve"> Court of Appeal </w:t>
      </w:r>
      <w:r w:rsidR="002F6C97" w:rsidRPr="000D57A8">
        <w:rPr>
          <w:color w:val="000000" w:themeColor="text1"/>
        </w:rPr>
        <w:t>held</w:t>
      </w:r>
      <w:r w:rsidR="000D57A8" w:rsidRPr="000D57A8">
        <w:rPr>
          <w:color w:val="000000" w:themeColor="text1"/>
        </w:rPr>
        <w:t xml:space="preserve"> </w:t>
      </w:r>
      <w:r w:rsidR="002F6C97" w:rsidRPr="000D57A8">
        <w:rPr>
          <w:color w:val="000000" w:themeColor="text1"/>
        </w:rPr>
        <w:t xml:space="preserve">that </w:t>
      </w:r>
      <w:r>
        <w:rPr>
          <w:color w:val="000000" w:themeColor="text1"/>
        </w:rPr>
        <w:t xml:space="preserve">with respect to the </w:t>
      </w:r>
      <w:r w:rsidR="002F6C97" w:rsidRPr="000D57A8">
        <w:rPr>
          <w:color w:val="000000" w:themeColor="text1"/>
        </w:rPr>
        <w:t>notice</w:t>
      </w:r>
      <w:r w:rsidR="000D57A8" w:rsidRPr="000D57A8">
        <w:rPr>
          <w:color w:val="000000" w:themeColor="text1"/>
        </w:rPr>
        <w:t xml:space="preserve"> requirement in subdivision (3), which is primarily designed to give the tenant an opportunity to cure the breach and retain possession of the property; </w:t>
      </w:r>
      <w:r>
        <w:rPr>
          <w:color w:val="000000" w:themeColor="text1"/>
        </w:rPr>
        <w:t>“</w:t>
      </w:r>
      <w:r w:rsidR="002F6C97" w:rsidRPr="000D57A8">
        <w:rPr>
          <w:color w:val="000000" w:themeColor="text1"/>
        </w:rPr>
        <w:t>identifying</w:t>
      </w:r>
      <w:r w:rsidR="000D57A8" w:rsidRPr="000D57A8">
        <w:rPr>
          <w:color w:val="000000" w:themeColor="text1"/>
        </w:rPr>
        <w:t xml:space="preserve"> a specific person was not required by the statute while subdivision (2) pertaining to a notice to pay rent or quit</w:t>
      </w:r>
      <w:r w:rsidR="002F6C97">
        <w:rPr>
          <w:color w:val="000000" w:themeColor="text1"/>
        </w:rPr>
        <w:t xml:space="preserve"> did contain such language</w:t>
      </w:r>
      <w:r>
        <w:rPr>
          <w:color w:val="000000" w:themeColor="text1"/>
        </w:rPr>
        <w:t>”</w:t>
      </w:r>
      <w:r w:rsidR="002F6C97">
        <w:rPr>
          <w:color w:val="000000" w:themeColor="text1"/>
        </w:rPr>
        <w:t>.</w:t>
      </w:r>
      <w:r w:rsidR="000D57A8" w:rsidRPr="000D57A8">
        <w:rPr>
          <w:color w:val="000000" w:themeColor="text1"/>
        </w:rPr>
        <w:t xml:space="preserve">  The Court of Appeal held that </w:t>
      </w:r>
      <w:r w:rsidR="007262A5" w:rsidRPr="000D57A8">
        <w:rPr>
          <w:color w:val="000000" w:themeColor="text1"/>
        </w:rPr>
        <w:t>“it</w:t>
      </w:r>
      <w:r w:rsidR="000D57A8" w:rsidRPr="000D57A8">
        <w:rPr>
          <w:color w:val="000000" w:themeColor="text1"/>
        </w:rPr>
        <w:t xml:space="preserve"> appears the Legislature purposefully chose not to include such a requirement" to identify to whom the tenant could return possession of the Premises</w:t>
      </w:r>
      <w:r>
        <w:rPr>
          <w:color w:val="000000" w:themeColor="text1"/>
        </w:rPr>
        <w:t>, and therefore found in favor of the landlord and reversed the trial Court’s granting of judgment on the pleadings in favor of the tenant.</w:t>
      </w:r>
    </w:p>
    <w:p w14:paraId="6B0CF56D" w14:textId="77777777" w:rsidR="000D57A8" w:rsidRPr="000D57A8" w:rsidRDefault="000D57A8" w:rsidP="003A4DDD">
      <w:pPr>
        <w:jc w:val="both"/>
        <w:rPr>
          <w:color w:val="000000" w:themeColor="text1"/>
        </w:rPr>
      </w:pPr>
    </w:p>
    <w:p w14:paraId="06B2039A" w14:textId="4913C80A" w:rsidR="009207B7" w:rsidRPr="000D57A8" w:rsidRDefault="009207B7" w:rsidP="003A4DDD">
      <w:pPr>
        <w:jc w:val="both"/>
        <w:rPr>
          <w:color w:val="000000" w:themeColor="text1"/>
        </w:rPr>
      </w:pPr>
    </w:p>
    <w:p w14:paraId="7E685C89" w14:textId="5B8DBB3C" w:rsidR="009207B7" w:rsidRPr="002F6C97" w:rsidRDefault="009207B7" w:rsidP="003A4DDD">
      <w:pPr>
        <w:jc w:val="both"/>
        <w:rPr>
          <w:color w:val="000000" w:themeColor="text1"/>
          <w:u w:val="single"/>
        </w:rPr>
      </w:pPr>
      <w:r w:rsidRPr="002F6C97">
        <w:rPr>
          <w:color w:val="000000" w:themeColor="text1"/>
          <w:u w:val="single"/>
        </w:rPr>
        <w:t>Take Away:</w:t>
      </w:r>
    </w:p>
    <w:p w14:paraId="5F0FF72B" w14:textId="64FA2B75" w:rsidR="009207B7" w:rsidRDefault="0086664C" w:rsidP="003A4DDD">
      <w:pPr>
        <w:jc w:val="both"/>
        <w:rPr>
          <w:color w:val="000000" w:themeColor="text1"/>
        </w:rPr>
      </w:pPr>
      <w:r w:rsidRPr="002F6C97">
        <w:rPr>
          <w:color w:val="000000" w:themeColor="text1"/>
        </w:rPr>
        <w:t>In the case of</w:t>
      </w:r>
      <w:r w:rsidR="003A4DDD">
        <w:rPr>
          <w:i/>
          <w:iCs/>
          <w:color w:val="000000" w:themeColor="text1"/>
        </w:rPr>
        <w:t xml:space="preserve"> </w:t>
      </w:r>
      <w:r w:rsidR="000D57A8" w:rsidRPr="0049504F">
        <w:rPr>
          <w:i/>
          <w:iCs/>
          <w:color w:val="000000" w:themeColor="text1"/>
        </w:rPr>
        <w:t xml:space="preserve">Lee v. </w:t>
      </w:r>
      <w:proofErr w:type="spellStart"/>
      <w:r w:rsidR="000D57A8" w:rsidRPr="0049504F">
        <w:rPr>
          <w:i/>
          <w:iCs/>
          <w:color w:val="000000" w:themeColor="text1"/>
        </w:rPr>
        <w:t>Kotyluk</w:t>
      </w:r>
      <w:proofErr w:type="spellEnd"/>
      <w:r w:rsidR="000D57A8" w:rsidRPr="002F6C97">
        <w:rPr>
          <w:i/>
          <w:iCs/>
          <w:color w:val="000000" w:themeColor="text1"/>
        </w:rPr>
        <w:t> </w:t>
      </w:r>
      <w:r w:rsidR="000D57A8" w:rsidRPr="0049504F">
        <w:rPr>
          <w:color w:val="000000" w:themeColor="text1"/>
        </w:rPr>
        <w:t>(2021) 59 Cal.App.5th 719</w:t>
      </w:r>
      <w:r w:rsidR="000D57A8" w:rsidRPr="002F6C97">
        <w:rPr>
          <w:color w:val="000000" w:themeColor="text1"/>
        </w:rPr>
        <w:t>,</w:t>
      </w:r>
      <w:r w:rsidRPr="002F6C97">
        <w:rPr>
          <w:color w:val="000000" w:themeColor="text1"/>
        </w:rPr>
        <w:t xml:space="preserve"> the </w:t>
      </w:r>
      <w:r w:rsidR="000D57A8" w:rsidRPr="002F6C97">
        <w:rPr>
          <w:color w:val="000000" w:themeColor="text1"/>
        </w:rPr>
        <w:t>Court of Appeal “got in the weeds” of the unlawful detainer statute</w:t>
      </w:r>
      <w:r w:rsidR="002F6C97">
        <w:rPr>
          <w:color w:val="000000" w:themeColor="text1"/>
        </w:rPr>
        <w:t xml:space="preserve"> but that it </w:t>
      </w:r>
      <w:r w:rsidR="007262A5">
        <w:rPr>
          <w:color w:val="000000" w:themeColor="text1"/>
        </w:rPr>
        <w:t xml:space="preserve">is exactly </w:t>
      </w:r>
      <w:r w:rsidR="002F6C97">
        <w:rPr>
          <w:color w:val="000000" w:themeColor="text1"/>
        </w:rPr>
        <w:t xml:space="preserve">what an unlawful detainer court does </w:t>
      </w:r>
      <w:r w:rsidR="007262A5">
        <w:rPr>
          <w:color w:val="000000" w:themeColor="text1"/>
        </w:rPr>
        <w:t xml:space="preserve">in </w:t>
      </w:r>
      <w:r w:rsidR="003A4DDD">
        <w:rPr>
          <w:color w:val="000000" w:themeColor="text1"/>
        </w:rPr>
        <w:t xml:space="preserve">order to </w:t>
      </w:r>
      <w:r w:rsidR="002F6C97">
        <w:rPr>
          <w:color w:val="000000" w:themeColor="text1"/>
        </w:rPr>
        <w:t xml:space="preserve">ensure </w:t>
      </w:r>
      <w:r w:rsidR="007262A5">
        <w:rPr>
          <w:color w:val="000000" w:themeColor="text1"/>
        </w:rPr>
        <w:t xml:space="preserve">a landlord’s </w:t>
      </w:r>
      <w:r w:rsidR="002F6C97">
        <w:rPr>
          <w:color w:val="000000" w:themeColor="text1"/>
        </w:rPr>
        <w:t xml:space="preserve">strict compliance with the statute. </w:t>
      </w:r>
      <w:r w:rsidRPr="000D57A8">
        <w:rPr>
          <w:color w:val="000000" w:themeColor="text1"/>
        </w:rPr>
        <w:t xml:space="preserve"> </w:t>
      </w:r>
      <w:r w:rsidR="002F6C97">
        <w:rPr>
          <w:color w:val="000000" w:themeColor="text1"/>
        </w:rPr>
        <w:t xml:space="preserve"> </w:t>
      </w:r>
      <w:r w:rsidR="007262A5">
        <w:rPr>
          <w:color w:val="000000" w:themeColor="text1"/>
        </w:rPr>
        <w:t>If pre-litigation notices</w:t>
      </w:r>
      <w:r w:rsidR="0049504F">
        <w:rPr>
          <w:color w:val="000000" w:themeColor="text1"/>
        </w:rPr>
        <w:t xml:space="preserve"> fail to meet </w:t>
      </w:r>
      <w:r w:rsidR="0049504F" w:rsidRPr="003A4DDD">
        <w:rPr>
          <w:color w:val="000000" w:themeColor="text1"/>
          <w:u w:val="single"/>
        </w:rPr>
        <w:t>all</w:t>
      </w:r>
      <w:r w:rsidR="0049504F">
        <w:rPr>
          <w:color w:val="000000" w:themeColor="text1"/>
        </w:rPr>
        <w:t xml:space="preserve"> statutory </w:t>
      </w:r>
      <w:r w:rsidR="003D1326">
        <w:rPr>
          <w:color w:val="000000" w:themeColor="text1"/>
        </w:rPr>
        <w:t>requirements,</w:t>
      </w:r>
      <w:r w:rsidR="0049504F">
        <w:rPr>
          <w:color w:val="000000" w:themeColor="text1"/>
        </w:rPr>
        <w:t xml:space="preserve"> then </w:t>
      </w:r>
      <w:r w:rsidR="002F6C97">
        <w:rPr>
          <w:color w:val="000000" w:themeColor="text1"/>
        </w:rPr>
        <w:t xml:space="preserve">landlord’s entire unlawful detainer action </w:t>
      </w:r>
      <w:r w:rsidR="003A4DDD">
        <w:rPr>
          <w:color w:val="000000" w:themeColor="text1"/>
        </w:rPr>
        <w:t>will</w:t>
      </w:r>
      <w:r w:rsidR="002F6C97">
        <w:rPr>
          <w:color w:val="000000" w:themeColor="text1"/>
        </w:rPr>
        <w:t xml:space="preserve"> </w:t>
      </w:r>
      <w:r w:rsidR="0049504F">
        <w:rPr>
          <w:color w:val="000000" w:themeColor="text1"/>
        </w:rPr>
        <w:t xml:space="preserve">likely </w:t>
      </w:r>
      <w:r w:rsidR="002F6C97">
        <w:rPr>
          <w:color w:val="000000" w:themeColor="text1"/>
        </w:rPr>
        <w:t>fail</w:t>
      </w:r>
      <w:r w:rsidR="007262A5">
        <w:rPr>
          <w:color w:val="000000" w:themeColor="text1"/>
        </w:rPr>
        <w:t xml:space="preserve">. </w:t>
      </w:r>
      <w:r w:rsidR="002F6C97">
        <w:rPr>
          <w:color w:val="000000" w:themeColor="text1"/>
        </w:rPr>
        <w:t xml:space="preserve"> </w:t>
      </w:r>
      <w:r w:rsidR="007262A5">
        <w:rPr>
          <w:color w:val="000000" w:themeColor="text1"/>
        </w:rPr>
        <w:t xml:space="preserve">As such, it is critical for a landlord or property manager seeking to recover possession of the premises to ensure it is complying with </w:t>
      </w:r>
      <w:proofErr w:type="gramStart"/>
      <w:r w:rsidR="003A4DDD">
        <w:rPr>
          <w:color w:val="000000" w:themeColor="text1"/>
        </w:rPr>
        <w:t>all of</w:t>
      </w:r>
      <w:proofErr w:type="gramEnd"/>
      <w:r w:rsidR="003A4DDD">
        <w:rPr>
          <w:color w:val="000000" w:themeColor="text1"/>
        </w:rPr>
        <w:t xml:space="preserve"> </w:t>
      </w:r>
      <w:r w:rsidR="007262A5">
        <w:rPr>
          <w:color w:val="000000" w:themeColor="text1"/>
        </w:rPr>
        <w:t xml:space="preserve">the </w:t>
      </w:r>
      <w:r w:rsidR="003A4DDD">
        <w:rPr>
          <w:color w:val="000000" w:themeColor="text1"/>
        </w:rPr>
        <w:t xml:space="preserve">current and </w:t>
      </w:r>
      <w:r w:rsidR="007262A5">
        <w:rPr>
          <w:color w:val="000000" w:themeColor="text1"/>
        </w:rPr>
        <w:t xml:space="preserve">applicable unlawful detainer statutes. </w:t>
      </w:r>
    </w:p>
    <w:p w14:paraId="20AE176D" w14:textId="77777777" w:rsidR="00BB108B" w:rsidRPr="000D57A8" w:rsidRDefault="00BB108B" w:rsidP="003A4DDD">
      <w:pPr>
        <w:jc w:val="both"/>
        <w:rPr>
          <w:color w:val="000000" w:themeColor="text1"/>
        </w:rPr>
      </w:pPr>
    </w:p>
    <w:p w14:paraId="1F4E49A5" w14:textId="77777777" w:rsidR="000D57A8" w:rsidRPr="000D57A8" w:rsidRDefault="000D57A8" w:rsidP="003A4DDD">
      <w:pPr>
        <w:jc w:val="both"/>
        <w:rPr>
          <w:color w:val="000000" w:themeColor="text1"/>
        </w:rPr>
      </w:pPr>
    </w:p>
    <w:p w14:paraId="028A2410" w14:textId="77777777" w:rsidR="009207B7" w:rsidRPr="0086664C" w:rsidRDefault="009207B7" w:rsidP="003A4DDD">
      <w:pPr>
        <w:jc w:val="both"/>
        <w:rPr>
          <w:color w:val="000000" w:themeColor="text1"/>
        </w:rPr>
      </w:pPr>
      <w:r w:rsidRPr="000D57A8">
        <w:rPr>
          <w:color w:val="000000" w:themeColor="text1"/>
        </w:rPr>
        <w:t>*The above does not constitute legal advice and should not be acted upon without seeking advice from a licensed lawyer.</w:t>
      </w:r>
    </w:p>
    <w:p w14:paraId="1B4FF0A7" w14:textId="77777777" w:rsidR="000F5B64" w:rsidRPr="009207B7" w:rsidRDefault="003A4DDD">
      <w:pPr>
        <w:rPr>
          <w:color w:val="000000" w:themeColor="text1"/>
        </w:rPr>
      </w:pPr>
    </w:p>
    <w:sectPr w:rsidR="000F5B64" w:rsidRPr="00920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7"/>
    <w:rsid w:val="000D57A8"/>
    <w:rsid w:val="001B7F13"/>
    <w:rsid w:val="002F6C97"/>
    <w:rsid w:val="003A4DDD"/>
    <w:rsid w:val="003D1326"/>
    <w:rsid w:val="00476FB2"/>
    <w:rsid w:val="0049504F"/>
    <w:rsid w:val="004A6FD9"/>
    <w:rsid w:val="0050121A"/>
    <w:rsid w:val="0058054C"/>
    <w:rsid w:val="005C7EE9"/>
    <w:rsid w:val="006061AB"/>
    <w:rsid w:val="00610BA3"/>
    <w:rsid w:val="006B0B78"/>
    <w:rsid w:val="007262A5"/>
    <w:rsid w:val="007811E5"/>
    <w:rsid w:val="0086664C"/>
    <w:rsid w:val="009207B7"/>
    <w:rsid w:val="00BB108B"/>
    <w:rsid w:val="00CB0C41"/>
    <w:rsid w:val="00E00260"/>
    <w:rsid w:val="00F7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38C7"/>
  <w15:chartTrackingRefBased/>
  <w15:docId w15:val="{1F511605-37BA-3042-BFA7-E002D100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A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7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Hifai</dc:creator>
  <cp:keywords/>
  <dc:description/>
  <cp:lastModifiedBy>Stacey O'Brien</cp:lastModifiedBy>
  <cp:revision>3</cp:revision>
  <dcterms:created xsi:type="dcterms:W3CDTF">2021-12-13T22:58:00Z</dcterms:created>
  <dcterms:modified xsi:type="dcterms:W3CDTF">2021-12-13T23:04:00Z</dcterms:modified>
</cp:coreProperties>
</file>