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4324" w14:textId="0ACAB64A" w:rsidR="009207B7" w:rsidRPr="009F77D0" w:rsidRDefault="009207B7" w:rsidP="009207B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77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The Statute of Limitations </w:t>
      </w:r>
      <w:r w:rsidR="00170760" w:rsidRPr="009F77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</w:t>
      </w:r>
      <w:r w:rsidRPr="009F77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Quiet Title Actions When the Plaintiff Is </w:t>
      </w:r>
      <w:proofErr w:type="gramStart"/>
      <w:r w:rsidRPr="009F77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</w:t>
      </w:r>
      <w:proofErr w:type="gramEnd"/>
      <w:r w:rsidRPr="009F77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Undisturbed Possession of the Land</w:t>
      </w:r>
    </w:p>
    <w:p w14:paraId="4783CAAD" w14:textId="54880F00" w:rsidR="009207B7" w:rsidRPr="009F77D0" w:rsidRDefault="009207B7" w:rsidP="009207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</w:t>
      </w:r>
    </w:p>
    <w:p w14:paraId="4608578E" w14:textId="73C68859" w:rsidR="009207B7" w:rsidRPr="009F77D0" w:rsidRDefault="009207B7" w:rsidP="009207B7">
      <w:pPr>
        <w:pStyle w:val="NormalWeb"/>
        <w:rPr>
          <w:color w:val="000000" w:themeColor="text1"/>
        </w:rPr>
      </w:pPr>
      <w:r w:rsidRPr="009F77D0">
        <w:rPr>
          <w:color w:val="000000" w:themeColor="text1"/>
        </w:rPr>
        <w:t xml:space="preserve">Quiet title actions establish claims for </w:t>
      </w:r>
      <w:r w:rsidR="00170760" w:rsidRPr="009F77D0">
        <w:rPr>
          <w:color w:val="000000" w:themeColor="text1"/>
        </w:rPr>
        <w:t>and</w:t>
      </w:r>
      <w:r w:rsidRPr="009F77D0">
        <w:rPr>
          <w:color w:val="000000" w:themeColor="text1"/>
        </w:rPr>
        <w:t xml:space="preserve"> against title and ownership to real property in California.  The statute of limitations</w:t>
      </w:r>
      <w:r w:rsidR="00170760" w:rsidRPr="009F77D0">
        <w:rPr>
          <w:color w:val="000000" w:themeColor="text1"/>
        </w:rPr>
        <w:t xml:space="preserve"> </w:t>
      </w:r>
      <w:r w:rsidR="00170760" w:rsidRPr="009F77D0">
        <w:rPr>
          <w:color w:val="000000" w:themeColor="text1"/>
        </w:rPr>
        <w:t>in quiet title actions</w:t>
      </w:r>
      <w:r w:rsidRPr="009F77D0">
        <w:rPr>
          <w:color w:val="000000" w:themeColor="text1"/>
        </w:rPr>
        <w:t>, the maximum time after an event within which a lawsuit must be filed or face being time-barred, has its own rules in determining when the statute of limitations begins to run</w:t>
      </w:r>
      <w:r w:rsidR="00170760" w:rsidRPr="009F77D0">
        <w:rPr>
          <w:color w:val="000000" w:themeColor="text1"/>
        </w:rPr>
        <w:t xml:space="preserve"> and whether certain exceptions exist</w:t>
      </w:r>
      <w:r w:rsidRPr="009F77D0">
        <w:rPr>
          <w:color w:val="000000" w:themeColor="text1"/>
        </w:rPr>
        <w:t xml:space="preserve">.  </w:t>
      </w:r>
      <w:r w:rsidR="00170760" w:rsidRPr="009F77D0">
        <w:rPr>
          <w:color w:val="000000" w:themeColor="text1"/>
        </w:rPr>
        <w:t xml:space="preserve">The statute of limitations in a quiet title action can vary based upon what the underlying legal theory or basis for relief is in the </w:t>
      </w:r>
      <w:proofErr w:type="gramStart"/>
      <w:r w:rsidR="00170760" w:rsidRPr="009F77D0">
        <w:rPr>
          <w:color w:val="000000" w:themeColor="text1"/>
        </w:rPr>
        <w:t>particular case</w:t>
      </w:r>
      <w:proofErr w:type="gramEnd"/>
      <w:r w:rsidR="00170760" w:rsidRPr="009F77D0">
        <w:rPr>
          <w:color w:val="000000" w:themeColor="text1"/>
        </w:rPr>
        <w:t xml:space="preserve">.  </w:t>
      </w:r>
      <w:r w:rsidRPr="009F77D0">
        <w:rPr>
          <w:color w:val="000000" w:themeColor="text1"/>
        </w:rPr>
        <w:t xml:space="preserve">For example, if the underlying legal theory for relief is </w:t>
      </w:r>
      <w:proofErr w:type="gramStart"/>
      <w:r w:rsidRPr="009F77D0">
        <w:rPr>
          <w:i/>
          <w:iCs/>
          <w:color w:val="000000" w:themeColor="text1"/>
        </w:rPr>
        <w:t>fraud</w:t>
      </w:r>
      <w:proofErr w:type="gramEnd"/>
      <w:r w:rsidRPr="009F77D0">
        <w:rPr>
          <w:color w:val="000000" w:themeColor="text1"/>
        </w:rPr>
        <w:t xml:space="preserve"> then the statute of limitations in the quiet title action is based upon the statute of limitations for fraud. However, an exception exists to </w:t>
      </w:r>
      <w:r w:rsidR="00170760" w:rsidRPr="009F77D0">
        <w:rPr>
          <w:color w:val="000000" w:themeColor="text1"/>
        </w:rPr>
        <w:t xml:space="preserve">the </w:t>
      </w:r>
      <w:r w:rsidRPr="009F77D0">
        <w:rPr>
          <w:color w:val="000000" w:themeColor="text1"/>
        </w:rPr>
        <w:t>statute of limitations in quiet title actions</w:t>
      </w:r>
      <w:r w:rsidR="00170760" w:rsidRPr="009F77D0">
        <w:rPr>
          <w:color w:val="000000" w:themeColor="text1"/>
        </w:rPr>
        <w:t xml:space="preserve"> where the statute of limitations will not begin to run</w:t>
      </w:r>
      <w:r w:rsidRPr="009F77D0">
        <w:rPr>
          <w:color w:val="000000" w:themeColor="text1"/>
        </w:rPr>
        <w:t xml:space="preserve"> </w:t>
      </w:r>
      <w:r w:rsidR="00170760" w:rsidRPr="009F77D0">
        <w:rPr>
          <w:color w:val="000000" w:themeColor="text1"/>
        </w:rPr>
        <w:t>as to</w:t>
      </w:r>
      <w:r w:rsidRPr="009F77D0">
        <w:rPr>
          <w:color w:val="000000" w:themeColor="text1"/>
        </w:rPr>
        <w:t xml:space="preserve"> an owner ‘in exclusive and undisputed possession’ of the land, </w:t>
      </w:r>
      <w:r w:rsidR="00170760" w:rsidRPr="009F77D0">
        <w:rPr>
          <w:color w:val="000000" w:themeColor="text1"/>
        </w:rPr>
        <w:t>until the</w:t>
      </w:r>
      <w:r w:rsidRPr="009F77D0">
        <w:rPr>
          <w:color w:val="000000" w:themeColor="text1"/>
        </w:rPr>
        <w:t xml:space="preserve"> defendants’ adverse ‘claim </w:t>
      </w:r>
      <w:r w:rsidR="00170760" w:rsidRPr="009F77D0">
        <w:rPr>
          <w:color w:val="000000" w:themeColor="text1"/>
        </w:rPr>
        <w:t>is</w:t>
      </w:r>
      <w:r w:rsidRPr="009F77D0">
        <w:rPr>
          <w:color w:val="000000" w:themeColor="text1"/>
        </w:rPr>
        <w:t xml:space="preserve"> pressed against’ plaintiffs or when was defendants’ hostile claim ‘asserted in some manner to jeopardize the superior title’ held by plaintiffs.</w:t>
      </w:r>
      <w:r w:rsidR="00170760" w:rsidRPr="009F77D0">
        <w:rPr>
          <w:color w:val="000000" w:themeColor="text1"/>
        </w:rPr>
        <w:t>”  In a recent California Court of Appeal case, the Court considered what and when an “adverse claim is pressed against” a plaintiff and what “jeopardizing superior title could mean” with respect to a notice of foreclosure sale being posted on the Plaintiff’s door about five years before the plaintiffs filed their quiet title lawsuit.</w:t>
      </w:r>
    </w:p>
    <w:p w14:paraId="06B2039A" w14:textId="4913C80A" w:rsidR="009207B7" w:rsidRPr="009F77D0" w:rsidRDefault="009207B7" w:rsidP="009207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30E31B" w14:textId="7C078D64" w:rsidR="009207B7" w:rsidRPr="009F77D0" w:rsidRDefault="009207B7" w:rsidP="009207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(See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Huang v. Wells Fargo Bank, N.A.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 (2020) 48 Cal.App.5th 431)</w:t>
      </w:r>
    </w:p>
    <w:p w14:paraId="42856809" w14:textId="77777777" w:rsidR="009207B7" w:rsidRPr="009F77D0" w:rsidRDefault="009207B7" w:rsidP="009207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 </w:t>
      </w:r>
    </w:p>
    <w:p w14:paraId="12F50A52" w14:textId="77777777" w:rsidR="009207B7" w:rsidRPr="009F77D0" w:rsidRDefault="009207B7" w:rsidP="009207B7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F77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Summary:</w:t>
      </w:r>
    </w:p>
    <w:p w14:paraId="6CC92148" w14:textId="4FFFD8FD" w:rsidR="009207B7" w:rsidRPr="009F77D0" w:rsidRDefault="009207B7" w:rsidP="009207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this case, in 2009, the </w:t>
      </w:r>
      <w:proofErr w:type="spellStart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Huangs</w:t>
      </w:r>
      <w:proofErr w:type="spellEnd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purchased a home in Lafayette, California from a foreclosing lender Bank of America</w:t>
      </w:r>
      <w:r w:rsidR="00170760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70760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and also</w:t>
      </w:r>
      <w:proofErr w:type="gramEnd"/>
      <w:r w:rsidR="00170760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purchased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title insurance policy from Fidelity National Title.  The prior owners of the Property, the </w:t>
      </w:r>
      <w:proofErr w:type="spellStart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Fasslers</w:t>
      </w:r>
      <w:proofErr w:type="spellEnd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two home equity loans (HELOCS) with Wells Fargo that had been paid off in a refinance with a subsequent lender. However, Wells Fargo never issued or recorded any reconveyances of these two deeds of trust</w:t>
      </w:r>
      <w:r w:rsidR="00170760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respect to the HELOCS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</w:t>
      </w:r>
      <w:proofErr w:type="spellStart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Fasslers</w:t>
      </w:r>
      <w:proofErr w:type="spellEnd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nonetheless later defaulted with respect to </w:t>
      </w:r>
      <w:r w:rsidR="00170760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the later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loan </w:t>
      </w:r>
      <w:r w:rsidR="00170760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0760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they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used to </w:t>
      </w:r>
      <w:r w:rsidR="00170760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refinance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170760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at-issue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Wells Fargo HELOCs, and that refinance lender, Bank of America successfully foreclosed</w:t>
      </w:r>
      <w:r w:rsidR="00170760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2009.</w:t>
      </w:r>
    </w:p>
    <w:p w14:paraId="7B0EBBF7" w14:textId="224FE1C4" w:rsidR="009207B7" w:rsidRPr="009F77D0" w:rsidRDefault="00170760" w:rsidP="009207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month after the </w:t>
      </w:r>
      <w:proofErr w:type="spellStart"/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Huangs</w:t>
      </w:r>
      <w:proofErr w:type="spellEnd"/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purchased the home in 2009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the foreclosing lender Bank of America</w:t>
      </w:r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Wells Fargo recorded a notice of default and election to sell the Property under the power of sale 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i.e., a notice to begin the foreclosure process - </w:t>
      </w:r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respect to one of their HELOCs to the </w:t>
      </w:r>
      <w:proofErr w:type="spellStart"/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Fasslers</w:t>
      </w:r>
      <w:proofErr w:type="spellEnd"/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(which was already repaid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way of the Bank of America refinance</w:t>
      </w:r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177D849" w14:textId="0D0902D3" w:rsidR="00610BA3" w:rsidRPr="009F77D0" w:rsidRDefault="009207B7" w:rsidP="009207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Huangs</w:t>
      </w:r>
      <w:proofErr w:type="spellEnd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admittedly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received the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0760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foreclosure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notice </w:t>
      </w:r>
      <w:r w:rsidR="00170760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in 2009 as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was posted on the door of the </w:t>
      </w:r>
      <w:proofErr w:type="gramStart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Property</w:t>
      </w:r>
      <w:proofErr w:type="gramEnd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170760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they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contacted their title insurer Fidelity.  </w:t>
      </w:r>
      <w:r w:rsidR="00170760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In 2009, Fidelity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notified 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Huangs</w:t>
      </w:r>
      <w:proofErr w:type="spellEnd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it was going to </w:t>
      </w:r>
      <w:proofErr w:type="gramStart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conduct an investigation</w:t>
      </w:r>
      <w:proofErr w:type="gramEnd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that 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contacted Wells Fargo to resolve the issue. </w:t>
      </w:r>
    </w:p>
    <w:p w14:paraId="7F4DF9D3" w14:textId="5AD2457D" w:rsidR="009207B7" w:rsidRPr="009F77D0" w:rsidRDefault="009207B7" w:rsidP="009207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The </w:t>
      </w:r>
      <w:proofErr w:type="spellStart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Huangs</w:t>
      </w:r>
      <w:proofErr w:type="spellEnd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heard nothing from 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Fidelity or Wells Fargo from about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July 2010 and May 2014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during that time, Wells Fargo didn’t take 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further actions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foreclose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However, a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lmost five years 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after,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2014, Wells Fargo resurfaced and threatened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foreclose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at that time, the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Huangs</w:t>
      </w:r>
      <w:proofErr w:type="spellEnd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filed 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quiet title lawsuit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against Wells Fargo to quiet title to the Property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specifically with respect to the two deeds of trust for the HELOCs where a reconveyance should have issued and been recorded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7600AC" w14:textId="277A92FB" w:rsidR="009207B7" w:rsidRPr="009F77D0" w:rsidRDefault="009207B7" w:rsidP="009207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Wells Faro argued, and the trial court agreed, that more than three years 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past from when the </w:t>
      </w:r>
      <w:proofErr w:type="spellStart"/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Huangs</w:t>
      </w:r>
      <w:proofErr w:type="spellEnd"/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received the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recorded notice of trustee’s sale posted on the door of their property in 2009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that 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because the Huang’s underlying legal theory for relief seeking to quiet title was fraud, that 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three-year statute of limitations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fraud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expired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2012 – three years from 2009 when the notice of sale was posted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30CEC2" w14:textId="5AD4449D" w:rsidR="009207B7" w:rsidRPr="009F77D0" w:rsidRDefault="009207B7" w:rsidP="009207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Huangs</w:t>
      </w:r>
      <w:proofErr w:type="spellEnd"/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appealed 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trial court’s order ruling in favor of Wells Fargo with respect to the statute of limitations claim.  On appeal, the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Court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Appeal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considered what constitutes an owner ‘in exclusive and undisputed possession’ of the land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when was defendants’ adverse ‘claim … </w:t>
      </w:r>
      <w:r w:rsidRPr="009F77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pressed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77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against’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plaintiffs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, and “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when was defendants’ </w:t>
      </w:r>
      <w:r w:rsidRPr="009F77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hostile claim ‘asserted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some manner </w:t>
      </w:r>
      <w:r w:rsidRPr="009F77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to jeopardize the superior title’ held by plaintiffs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18F4FD" w14:textId="77777777" w:rsidR="00915AFD" w:rsidRPr="009F77D0" w:rsidRDefault="009207B7" w:rsidP="009207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Court 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ruled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favor of the </w:t>
      </w:r>
      <w:proofErr w:type="spellStart"/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Huangs</w:t>
      </w:r>
      <w:proofErr w:type="spellEnd"/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who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they held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in undisturbed possession of the land and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despite the 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notice of trustee’s sale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being posted on 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their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door in 2009, 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the sale of the property at that point was not definite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</w:t>
      </w:r>
      <w:proofErr w:type="spellStart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Huangs</w:t>
      </w:r>
      <w:proofErr w:type="spellEnd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could take action to prevent it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i.e., cure the purported default.  </w:t>
      </w:r>
    </w:p>
    <w:p w14:paraId="27C56A5A" w14:textId="03C34314" w:rsidR="009207B7" w:rsidRPr="009F77D0" w:rsidRDefault="00915AFD" w:rsidP="009207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Further, </w:t>
      </w:r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gramEnd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Court of Appeal held that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notice of trustee’s sale (foreclosure sale) did </w:t>
      </w:r>
      <w:r w:rsidR="009207B7" w:rsidRPr="009F77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not</w:t>
      </w:r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call into question the validity of the </w:t>
      </w:r>
      <w:proofErr w:type="spellStart"/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Huangs</w:t>
      </w:r>
      <w:proofErr w:type="spellEnd"/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’ control or possession of the Property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(i.e., ownership and title) but that </w:t>
      </w:r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their ownership would require them to pay the amount in default.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As such,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Court reasoned that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2009, Wells Fargo never pressed an adverse or hostile claim as to </w:t>
      </w:r>
      <w:r w:rsidR="00610BA3" w:rsidRPr="009F77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superior title.</w:t>
      </w:r>
      <w:r w:rsidRPr="009F77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Further, the 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Court reasoned that o</w:t>
      </w:r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nce the </w:t>
      </w:r>
      <w:proofErr w:type="spellStart"/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Huangs</w:t>
      </w:r>
      <w:proofErr w:type="spellEnd"/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transmitted the notice to Fidelity which led to the apparent postponement of the sale, no claim was being “pressed against” them that “put [them] to the expense and inconvenience of litigation.” </w:t>
      </w:r>
      <w:r w:rsidR="00610BA3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As such, t</w:t>
      </w:r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he statute of limitations had not run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disagreed with the trial court and Wells Fargo.</w:t>
      </w:r>
    </w:p>
    <w:p w14:paraId="7E685C89" w14:textId="5B8DBB3C" w:rsidR="009207B7" w:rsidRPr="009F77D0" w:rsidRDefault="009207B7" w:rsidP="009207B7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F77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Take Away:</w:t>
      </w:r>
    </w:p>
    <w:p w14:paraId="04B2EBE2" w14:textId="5C90228E" w:rsidR="009207B7" w:rsidRPr="009F77D0" w:rsidRDefault="00610BA3" w:rsidP="009207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statute of limitations has grave and case dispositive consequences 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and could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bar a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litigant from obtaining legal relief.  The facts of a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 </w:t>
      </w:r>
      <w:proofErr w:type="gramStart"/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particular case</w:t>
      </w:r>
      <w:proofErr w:type="gramEnd"/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of course determine when the statute of limitations is triggered</w:t>
      </w:r>
      <w:r w:rsidR="00915AFD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begins to run. Here, </w:t>
      </w:r>
      <w:r w:rsidR="009F77D0" w:rsidRPr="009F77D0">
        <w:rPr>
          <w:rFonts w:ascii="Times New Roman" w:hAnsi="Times New Roman" w:cs="Times New Roman"/>
          <w:sz w:val="24"/>
          <w:szCs w:val="24"/>
        </w:rPr>
        <w:t xml:space="preserve">the Court held that the notice of trustee’s sale did not disturb the owner’s possession of land and therefore, did not commence the running of the statute of limitations.  </w:t>
      </w:r>
      <w:r w:rsidR="009F77D0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>However</w:t>
      </w:r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it is </w:t>
      </w:r>
      <w:r w:rsidR="009207B7" w:rsidRPr="009F77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critical</w:t>
      </w:r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potential litigations </w:t>
      </w:r>
      <w:r w:rsidR="009207B7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 mindful and aware of </w:t>
      </w:r>
      <w:r w:rsidR="009F77D0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various statute of limitations and to avoid potentially being time-barred,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seek legal counsel </w:t>
      </w:r>
      <w:r w:rsidR="009F77D0"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without delay </w:t>
      </w:r>
      <w:r w:rsidRPr="009F7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enforce their legal rights.  </w:t>
      </w:r>
    </w:p>
    <w:p w14:paraId="5F0FF72B" w14:textId="77777777" w:rsidR="009207B7" w:rsidRPr="009207B7" w:rsidRDefault="009207B7" w:rsidP="009207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8A2410" w14:textId="77777777" w:rsidR="009207B7" w:rsidRPr="009207B7" w:rsidRDefault="009207B7" w:rsidP="009207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7B7">
        <w:rPr>
          <w:rFonts w:ascii="Times New Roman" w:hAnsi="Times New Roman" w:cs="Times New Roman"/>
          <w:color w:val="000000" w:themeColor="text1"/>
          <w:sz w:val="24"/>
          <w:szCs w:val="24"/>
        </w:rPr>
        <w:t>*The above does not constitute legal advice and should not be acted upon without seeking advice from a licensed lawyer.</w:t>
      </w:r>
    </w:p>
    <w:p w14:paraId="1B4FF0A7" w14:textId="77777777" w:rsidR="000F5B64" w:rsidRPr="009207B7" w:rsidRDefault="009F77D0">
      <w:pPr>
        <w:rPr>
          <w:rFonts w:ascii="Times New Roman" w:hAnsi="Times New Roman" w:cs="Times New Roman"/>
          <w:color w:val="000000" w:themeColor="text1"/>
        </w:rPr>
      </w:pPr>
    </w:p>
    <w:sectPr w:rsidR="000F5B64" w:rsidRPr="00920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B7"/>
    <w:rsid w:val="00170760"/>
    <w:rsid w:val="001B7F13"/>
    <w:rsid w:val="0058054C"/>
    <w:rsid w:val="00610BA3"/>
    <w:rsid w:val="007811E5"/>
    <w:rsid w:val="00915AFD"/>
    <w:rsid w:val="009207B7"/>
    <w:rsid w:val="009F77D0"/>
    <w:rsid w:val="00CB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38C7"/>
  <w15:chartTrackingRefBased/>
  <w15:docId w15:val="{1F511605-37BA-3042-BFA7-E002D100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B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935</Words>
  <Characters>5334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Hifai</dc:creator>
  <cp:keywords/>
  <dc:description/>
  <cp:lastModifiedBy>Paymon Hifai</cp:lastModifiedBy>
  <cp:revision>2</cp:revision>
  <dcterms:created xsi:type="dcterms:W3CDTF">2021-10-06T17:33:00Z</dcterms:created>
  <dcterms:modified xsi:type="dcterms:W3CDTF">2021-10-06T17:33:00Z</dcterms:modified>
</cp:coreProperties>
</file>