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31947" w:rsidRPr="00691052" w14:paraId="4477ED8A" w14:textId="77777777" w:rsidTr="002110CE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F27C9DC" w14:textId="77777777" w:rsidR="00B31947" w:rsidRPr="00691052" w:rsidRDefault="00B31947" w:rsidP="002110C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1052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Horner Law Group Legal E-Alert</w:t>
            </w:r>
          </w:p>
        </w:tc>
      </w:tr>
      <w:tr w:rsidR="00B31947" w:rsidRPr="00691052" w14:paraId="1E72D913" w14:textId="77777777" w:rsidTr="002110CE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7E0A132" w14:textId="2B52D45F" w:rsidR="00B31947" w:rsidRPr="00247406" w:rsidRDefault="007D4002" w:rsidP="002110CE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COVID-19 Did Not Prevent an Unlawful Detainer Action</w:t>
            </w:r>
          </w:p>
          <w:p w14:paraId="30CBBA91" w14:textId="55FBFA5F" w:rsidR="007D4002" w:rsidRDefault="007D4002" w:rsidP="002110CE">
            <w:pPr>
              <w:shd w:val="clear" w:color="auto" w:fill="FFFFFF"/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When a tenant is in default for nonpayment of rent an unlawful detainer </w:t>
            </w:r>
            <w:r w:rsidR="00A60C8B">
              <w:rPr>
                <w:rFonts w:ascii="Times New Roman" w:eastAsia="Times New Roman" w:hAnsi="Times New Roman" w:cs="Times New Roman"/>
              </w:rPr>
              <w:t>action</w:t>
            </w:r>
            <w:r>
              <w:rPr>
                <w:rFonts w:ascii="Times New Roman" w:eastAsia="Times New Roman" w:hAnsi="Times New Roman" w:cs="Times New Roman"/>
              </w:rPr>
              <w:t xml:space="preserve"> may be used to evict the tenant. In California, unlawful detainer actions</w:t>
            </w:r>
            <w:r w:rsidR="0063293D">
              <w:rPr>
                <w:rFonts w:ascii="Times New Roman" w:eastAsia="Times New Roman" w:hAnsi="Times New Roman" w:cs="Times New Roman"/>
              </w:rPr>
              <w:t xml:space="preserve"> are</w:t>
            </w:r>
            <w:r>
              <w:rPr>
                <w:rFonts w:ascii="Times New Roman" w:eastAsia="Times New Roman" w:hAnsi="Times New Roman" w:cs="Times New Roman"/>
              </w:rPr>
              <w:t xml:space="preserve"> governed by </w:t>
            </w:r>
            <w:r w:rsidRPr="007D4002">
              <w:rPr>
                <w:rFonts w:ascii="Times New Roman" w:eastAsia="Times New Roman" w:hAnsi="Times New Roman" w:cs="Times New Roman"/>
              </w:rPr>
              <w:t>Cal. Civ. Proc. Code § 1161 et seq.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D4002">
              <w:rPr>
                <w:rFonts w:ascii="Times New Roman" w:eastAsia="Times New Roman" w:hAnsi="Times New Roman" w:cs="Times New Roman"/>
              </w:rPr>
              <w:t>The basic elements of</w:t>
            </w:r>
            <w:r w:rsidR="0063293D">
              <w:rPr>
                <w:rFonts w:ascii="Times New Roman" w:eastAsia="Times New Roman" w:hAnsi="Times New Roman" w:cs="Times New Roman"/>
              </w:rPr>
              <w:t xml:space="preserve"> an</w:t>
            </w:r>
            <w:r w:rsidRPr="007D4002">
              <w:rPr>
                <w:rFonts w:ascii="Times New Roman" w:eastAsia="Times New Roman" w:hAnsi="Times New Roman" w:cs="Times New Roman"/>
              </w:rPr>
              <w:t xml:space="preserve"> unlawful detainer</w:t>
            </w:r>
            <w:r w:rsidR="0063293D">
              <w:rPr>
                <w:rFonts w:ascii="Times New Roman" w:eastAsia="Times New Roman" w:hAnsi="Times New Roman" w:cs="Times New Roman"/>
              </w:rPr>
              <w:t xml:space="preserve"> action</w:t>
            </w:r>
            <w:r w:rsidRPr="007D4002">
              <w:rPr>
                <w:rFonts w:ascii="Times New Roman" w:eastAsia="Times New Roman" w:hAnsi="Times New Roman" w:cs="Times New Roman"/>
              </w:rPr>
              <w:t xml:space="preserve"> for nonpayment of rent are</w:t>
            </w:r>
            <w:r w:rsidR="00A60C8B">
              <w:rPr>
                <w:rFonts w:ascii="Times New Roman" w:eastAsia="Times New Roman" w:hAnsi="Times New Roman" w:cs="Times New Roman"/>
              </w:rPr>
              <w:t>:</w:t>
            </w:r>
            <w:r w:rsidRPr="007D4002">
              <w:rPr>
                <w:rFonts w:ascii="Times New Roman" w:eastAsia="Times New Roman" w:hAnsi="Times New Roman" w:cs="Times New Roman"/>
              </w:rPr>
              <w:t xml:space="preserve"> 1) the tenant is in possession of the premises; 2) that possession is without permission; 3) the tenant is in default for nonpayment of rent; 4) the tenant has been properly served with a written three-day notice; and 5) the default continues after the three-day notice period has elapsed.</w:t>
            </w:r>
          </w:p>
          <w:p w14:paraId="4F63511B" w14:textId="77777777" w:rsidR="00B3786C" w:rsidRDefault="00B3786C" w:rsidP="002110CE">
            <w:pPr>
              <w:shd w:val="clear" w:color="auto" w:fill="FFFFFF"/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  <w:p w14:paraId="5DA5030C" w14:textId="11CBB820" w:rsidR="00B31947" w:rsidRPr="00691052" w:rsidRDefault="00AD376D" w:rsidP="002110CE">
            <w:pPr>
              <w:shd w:val="clear" w:color="auto" w:fill="FFFFFF"/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AD376D">
              <w:rPr>
                <w:rFonts w:ascii="Times New Roman" w:eastAsia="Times New Roman" w:hAnsi="Times New Roman" w:cs="Times New Roman"/>
              </w:rPr>
              <w:t>In the</w:t>
            </w:r>
            <w:r>
              <w:rPr>
                <w:rFonts w:ascii="Times New Roman" w:eastAsia="Times New Roman" w:hAnsi="Times New Roman" w:cs="Times New Roman"/>
              </w:rPr>
              <w:t xml:space="preserve"> recent</w:t>
            </w:r>
            <w:r w:rsidRPr="00AD376D">
              <w:rPr>
                <w:rFonts w:ascii="Times New Roman" w:eastAsia="Times New Roman" w:hAnsi="Times New Roman" w:cs="Times New Roman"/>
              </w:rPr>
              <w:t xml:space="preserve"> case of </w:t>
            </w:r>
            <w:r w:rsidR="00B46850" w:rsidRPr="00B46850">
              <w:rPr>
                <w:rFonts w:ascii="Times New Roman" w:eastAsia="Times New Roman" w:hAnsi="Times New Roman" w:cs="Times New Roman"/>
                <w:i/>
                <w:iCs/>
              </w:rPr>
              <w:t>Fitness International, LLC v. KB Salt Lake III, LLC</w:t>
            </w:r>
            <w:r w:rsidR="00B46850" w:rsidRPr="00B46850">
              <w:rPr>
                <w:rFonts w:ascii="Times New Roman" w:eastAsia="Times New Roman" w:hAnsi="Times New Roman" w:cs="Times New Roman"/>
              </w:rPr>
              <w:t xml:space="preserve"> (Cal. Ct. App., Sept. 26, 2023, No. B320562) 2023 WL 6230746</w:t>
            </w:r>
            <w:r w:rsidR="00B46850">
              <w:rPr>
                <w:rFonts w:ascii="Times New Roman" w:eastAsia="Times New Roman" w:hAnsi="Times New Roman" w:cs="Times New Roman"/>
              </w:rPr>
              <w:t xml:space="preserve"> a court of appeal ruled that COVID-19 did not excuse a commercial tenant’s obligation</w:t>
            </w:r>
            <w:r w:rsidR="0063293D">
              <w:rPr>
                <w:rFonts w:ascii="Times New Roman" w:eastAsia="Times New Roman" w:hAnsi="Times New Roman" w:cs="Times New Roman"/>
              </w:rPr>
              <w:t>s</w:t>
            </w:r>
            <w:r w:rsidR="00B46850">
              <w:rPr>
                <w:rFonts w:ascii="Times New Roman" w:eastAsia="Times New Roman" w:hAnsi="Times New Roman" w:cs="Times New Roman"/>
              </w:rPr>
              <w:t xml:space="preserve"> to pay rent</w:t>
            </w:r>
            <w:r w:rsidR="0063293D">
              <w:rPr>
                <w:rFonts w:ascii="Times New Roman" w:eastAsia="Times New Roman" w:hAnsi="Times New Roman" w:cs="Times New Roman"/>
              </w:rPr>
              <w:t xml:space="preserve"> and renovate the property</w:t>
            </w:r>
            <w:r w:rsidR="00B46850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</w:tbl>
    <w:p w14:paraId="32285107" w14:textId="77777777" w:rsidR="00B31947" w:rsidRPr="00691052" w:rsidRDefault="00B31947" w:rsidP="00B31947">
      <w:pPr>
        <w:spacing w:line="480" w:lineRule="auto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31947" w:rsidRPr="00691052" w14:paraId="2A511F6F" w14:textId="77777777" w:rsidTr="002110CE"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31947" w:rsidRPr="00691052" w14:paraId="1903B6FD" w14:textId="77777777" w:rsidTr="002110CE">
              <w:trPr>
                <w:jc w:val="center"/>
              </w:trPr>
              <w:tc>
                <w:tcPr>
                  <w:tcW w:w="5000" w:type="pct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47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98"/>
                  </w:tblGrid>
                  <w:tr w:rsidR="00B31947" w:rsidRPr="00691052" w14:paraId="10C9CA6B" w14:textId="77777777" w:rsidTr="002110CE">
                    <w:trPr>
                      <w:trHeight w:val="15"/>
                      <w:jc w:val="center"/>
                    </w:trPr>
                    <w:tc>
                      <w:tcPr>
                        <w:tcW w:w="0" w:type="auto"/>
                        <w:shd w:val="clear" w:color="auto" w:fill="000000"/>
                        <w:vAlign w:val="center"/>
                        <w:hideMark/>
                      </w:tcPr>
                      <w:p w14:paraId="4FB93F9A" w14:textId="77777777" w:rsidR="00B31947" w:rsidRPr="00691052" w:rsidRDefault="00B31947" w:rsidP="002110CE">
                        <w:pPr>
                          <w:spacing w:line="480" w:lineRule="auto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91052">
                          <w:rPr>
                            <w:rFonts w:ascii="Times New Roman" w:eastAsia="Times New Roman" w:hAnsi="Times New Roman" w:cs="Times New Roman"/>
                          </w:rPr>
                          <w:fldChar w:fldCharType="begin"/>
                        </w:r>
                        <w:r w:rsidRPr="00691052">
                          <w:rPr>
                            <w:rFonts w:ascii="Times New Roman" w:eastAsia="Times New Roman" w:hAnsi="Times New Roman" w:cs="Times New Roman"/>
                          </w:rPr>
                          <w:instrText xml:space="preserve"> INCLUDEPICTURE "https://ci5.googleusercontent.com/proxy/prjVWi9agcvHo6wWwSY0NoWHiaFTUW1GFE88HIUk5LrHN5aeEIX3D6pJtDlEPNI6Dvf_Ou5XHLexQ1ajT_5sVXHMGfcLsqoinYvkNDmXc8HzvBff2Y637Q=s0-d-e1-ft#https://imgssl.constantcontact.com/letters/images/1101116784221/S.gif" \* MERGEFORMATINET </w:instrText>
                        </w:r>
                        <w:r w:rsidRPr="00691052">
                          <w:rPr>
                            <w:rFonts w:ascii="Times New Roman" w:eastAsia="Times New Roman" w:hAnsi="Times New Roman" w:cs="Times New Roman"/>
                          </w:rPr>
                          <w:fldChar w:fldCharType="separate"/>
                        </w:r>
                        <w:r w:rsidRPr="00691052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9B4E1FA" wp14:editId="6B4E050A">
                                  <wp:extent cx="63500" cy="18415"/>
                                  <wp:effectExtent l="0" t="0" r="0" b="0"/>
                                  <wp:docPr id="1" name="Rectangl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63500" cy="18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D55BE60" id="Rectangle 1" o:spid="_x0000_s1026" style="width:5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 w:rsidRPr="00691052">
                          <w:rPr>
                            <w:rFonts w:ascii="Times New Roman" w:eastAsia="Times New Roman" w:hAnsi="Times New Roman" w:cs="Times New Roman"/>
                          </w:rPr>
                          <w:fldChar w:fldCharType="end"/>
                        </w:r>
                      </w:p>
                    </w:tc>
                  </w:tr>
                </w:tbl>
                <w:p w14:paraId="28672BB0" w14:textId="77777777" w:rsidR="00B31947" w:rsidRPr="00691052" w:rsidRDefault="00B31947" w:rsidP="002110CE">
                  <w:pPr>
                    <w:spacing w:line="48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E8FB64B" w14:textId="77777777" w:rsidR="00B31947" w:rsidRPr="00691052" w:rsidRDefault="00B31947" w:rsidP="002110C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1947" w:rsidRPr="00691052" w14:paraId="2DAE4BC4" w14:textId="77777777" w:rsidTr="002110CE">
        <w:trPr>
          <w:trHeight w:val="300"/>
        </w:trPr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52FA40B" w14:textId="77777777" w:rsidR="00B31947" w:rsidRPr="00691052" w:rsidRDefault="00B31947" w:rsidP="002110CE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691052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Summary:</w:t>
            </w:r>
          </w:p>
          <w:p w14:paraId="6D230924" w14:textId="37BF7EF9" w:rsidR="00B46850" w:rsidRDefault="00B46850" w:rsidP="002110CE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AD376D">
              <w:rPr>
                <w:rFonts w:ascii="Times New Roman" w:eastAsia="Times New Roman" w:hAnsi="Times New Roman" w:cs="Times New Roman"/>
              </w:rPr>
              <w:t>In the</w:t>
            </w:r>
            <w:r>
              <w:rPr>
                <w:rFonts w:ascii="Times New Roman" w:eastAsia="Times New Roman" w:hAnsi="Times New Roman" w:cs="Times New Roman"/>
              </w:rPr>
              <w:t xml:space="preserve"> recent</w:t>
            </w:r>
            <w:r w:rsidRPr="00AD376D">
              <w:rPr>
                <w:rFonts w:ascii="Times New Roman" w:eastAsia="Times New Roman" w:hAnsi="Times New Roman" w:cs="Times New Roman"/>
              </w:rPr>
              <w:t xml:space="preserve"> case of </w:t>
            </w:r>
            <w:r w:rsidRPr="00B46850">
              <w:rPr>
                <w:rFonts w:ascii="Times New Roman" w:eastAsia="Times New Roman" w:hAnsi="Times New Roman" w:cs="Times New Roman"/>
                <w:i/>
                <w:iCs/>
              </w:rPr>
              <w:t>Fitness International, LLC v. KB Salt Lake III, LLC</w:t>
            </w:r>
            <w:r w:rsidRPr="00B46850">
              <w:rPr>
                <w:rFonts w:ascii="Times New Roman" w:eastAsia="Times New Roman" w:hAnsi="Times New Roman" w:cs="Times New Roman"/>
              </w:rPr>
              <w:t xml:space="preserve"> (Cal. Ct. App., Sept. 26, 2023, No. B320562) 2023 WL 6230746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46850">
              <w:rPr>
                <w:rFonts w:ascii="Times New Roman" w:eastAsia="Times New Roman" w:hAnsi="Times New Roman" w:cs="Times New Roman"/>
              </w:rPr>
              <w:t>Fitness International, LLC</w:t>
            </w:r>
            <w:r>
              <w:rPr>
                <w:rFonts w:ascii="Times New Roman" w:eastAsia="Times New Roman" w:hAnsi="Times New Roman" w:cs="Times New Roman"/>
              </w:rPr>
              <w:t xml:space="preserve"> (“Fitness International”)</w:t>
            </w:r>
            <w:r w:rsidRPr="00B46850">
              <w:rPr>
                <w:rFonts w:ascii="Times New Roman" w:eastAsia="Times New Roman" w:hAnsi="Times New Roman" w:cs="Times New Roman"/>
              </w:rPr>
              <w:t xml:space="preserve"> was operating an indoor fitness center when it entered into a lease with KB Salt Lake III, LLC</w:t>
            </w:r>
            <w:r>
              <w:rPr>
                <w:rFonts w:ascii="Times New Roman" w:eastAsia="Times New Roman" w:hAnsi="Times New Roman" w:cs="Times New Roman"/>
              </w:rPr>
              <w:t xml:space="preserve"> (“KB Salt”)</w:t>
            </w:r>
            <w:r w:rsidRPr="00B4685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which</w:t>
            </w:r>
            <w:r w:rsidRPr="00B46850">
              <w:rPr>
                <w:rFonts w:ascii="Times New Roman" w:eastAsia="Times New Roman" w:hAnsi="Times New Roman" w:cs="Times New Roman"/>
              </w:rPr>
              <w:t xml:space="preserve"> required </w:t>
            </w:r>
            <w:r>
              <w:rPr>
                <w:rFonts w:ascii="Times New Roman" w:eastAsia="Times New Roman" w:hAnsi="Times New Roman" w:cs="Times New Roman"/>
              </w:rPr>
              <w:t>Fitness International</w:t>
            </w:r>
            <w:r w:rsidRPr="00B46850">
              <w:rPr>
                <w:rFonts w:ascii="Times New Roman" w:eastAsia="Times New Roman" w:hAnsi="Times New Roman" w:cs="Times New Roman"/>
              </w:rPr>
              <w:t xml:space="preserve"> to renovate the premises.</w:t>
            </w:r>
            <w:r w:rsidR="004703CE">
              <w:rPr>
                <w:rFonts w:ascii="Times New Roman" w:eastAsia="Times New Roman" w:hAnsi="Times New Roman" w:cs="Times New Roman"/>
              </w:rPr>
              <w:t xml:space="preserve"> </w:t>
            </w:r>
            <w:r w:rsidRPr="00B46850">
              <w:rPr>
                <w:rFonts w:ascii="Times New Roman" w:eastAsia="Times New Roman" w:hAnsi="Times New Roman" w:cs="Times New Roman"/>
              </w:rPr>
              <w:t xml:space="preserve"> </w:t>
            </w:r>
            <w:r w:rsidR="0063293D">
              <w:rPr>
                <w:rFonts w:ascii="Times New Roman" w:eastAsia="Times New Roman" w:hAnsi="Times New Roman" w:cs="Times New Roman"/>
              </w:rPr>
              <w:t>Fitness International began c</w:t>
            </w:r>
            <w:r w:rsidRPr="00B46850">
              <w:rPr>
                <w:rFonts w:ascii="Times New Roman" w:eastAsia="Times New Roman" w:hAnsi="Times New Roman" w:cs="Times New Roman"/>
              </w:rPr>
              <w:t>onstruction in November</w:t>
            </w:r>
            <w:r w:rsidR="00D678AB">
              <w:rPr>
                <w:rFonts w:ascii="Times New Roman" w:eastAsia="Times New Roman" w:hAnsi="Times New Roman" w:cs="Times New Roman"/>
              </w:rPr>
              <w:t xml:space="preserve"> </w:t>
            </w:r>
            <w:r w:rsidRPr="00B46850">
              <w:rPr>
                <w:rFonts w:ascii="Times New Roman" w:eastAsia="Times New Roman" w:hAnsi="Times New Roman" w:cs="Times New Roman"/>
              </w:rPr>
              <w:t>2019 and expected</w:t>
            </w:r>
            <w:r w:rsidR="00D678AB">
              <w:rPr>
                <w:rFonts w:ascii="Times New Roman" w:eastAsia="Times New Roman" w:hAnsi="Times New Roman" w:cs="Times New Roman"/>
              </w:rPr>
              <w:t xml:space="preserve"> the </w:t>
            </w:r>
            <w:r w:rsidR="00D678AB">
              <w:rPr>
                <w:rFonts w:ascii="Times New Roman" w:eastAsia="Times New Roman" w:hAnsi="Times New Roman" w:cs="Times New Roman"/>
              </w:rPr>
              <w:lastRenderedPageBreak/>
              <w:t>construction</w:t>
            </w:r>
            <w:r w:rsidRPr="00B46850">
              <w:rPr>
                <w:rFonts w:ascii="Times New Roman" w:eastAsia="Times New Roman" w:hAnsi="Times New Roman" w:cs="Times New Roman"/>
              </w:rPr>
              <w:t xml:space="preserve"> to be completed in August 2020. In March 2020, however, the COVID-19 pandemic prompted government orders that closed indoor gyms but that allowed commercial construction to continue.</w:t>
            </w:r>
            <w:r w:rsidR="004703C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Fitness International</w:t>
            </w:r>
            <w:r w:rsidRPr="00B46850">
              <w:rPr>
                <w:rFonts w:ascii="Times New Roman" w:eastAsia="Times New Roman" w:hAnsi="Times New Roman" w:cs="Times New Roman"/>
              </w:rPr>
              <w:t xml:space="preserve"> nevertheless stopped construction at the site, remained in possession of the premises, and stopped paying rent. KB Salt filed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 w:rsidRPr="00B46850">
              <w:rPr>
                <w:rFonts w:ascii="Times New Roman" w:eastAsia="Times New Roman" w:hAnsi="Times New Roman" w:cs="Times New Roman"/>
              </w:rPr>
              <w:t xml:space="preserve"> unlawful detainer action, and the trial court granted KB Salt</w:t>
            </w:r>
            <w:r>
              <w:rPr>
                <w:rFonts w:ascii="Times New Roman" w:eastAsia="Times New Roman" w:hAnsi="Times New Roman" w:cs="Times New Roman"/>
              </w:rPr>
              <w:t>’</w:t>
            </w:r>
            <w:r w:rsidRPr="00B46850">
              <w:rPr>
                <w:rFonts w:ascii="Times New Roman" w:eastAsia="Times New Roman" w:hAnsi="Times New Roman" w:cs="Times New Roman"/>
              </w:rPr>
              <w:t xml:space="preserve">s motion for summary judgment </w:t>
            </w:r>
            <w:r>
              <w:rPr>
                <w:rFonts w:ascii="Times New Roman" w:eastAsia="Times New Roman" w:hAnsi="Times New Roman" w:cs="Times New Roman"/>
              </w:rPr>
              <w:t>against Fitness International</w:t>
            </w:r>
            <w:r w:rsidRPr="00B4685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Fitness International then appealed the </w:t>
            </w:r>
            <w:r w:rsidR="00D678AB">
              <w:rPr>
                <w:rFonts w:ascii="Times New Roman" w:eastAsia="Times New Roman" w:hAnsi="Times New Roman" w:cs="Times New Roman"/>
              </w:rPr>
              <w:t xml:space="preserve">unlawful detainer </w:t>
            </w:r>
            <w:r>
              <w:rPr>
                <w:rFonts w:ascii="Times New Roman" w:eastAsia="Times New Roman" w:hAnsi="Times New Roman" w:cs="Times New Roman"/>
              </w:rPr>
              <w:t>judgment.</w:t>
            </w:r>
          </w:p>
          <w:p w14:paraId="0A870B0A" w14:textId="77777777" w:rsidR="00B3786C" w:rsidRDefault="00B3786C" w:rsidP="004703CE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  <w:p w14:paraId="23FBC295" w14:textId="25547D4D" w:rsidR="00D678AB" w:rsidRDefault="00D678AB" w:rsidP="004703CE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Under the lease, Fitness International was obligated to pay rent and complete </w:t>
            </w:r>
            <w:r w:rsidR="00B3786C">
              <w:rPr>
                <w:rFonts w:ascii="Times New Roman" w:eastAsia="Times New Roman" w:hAnsi="Times New Roman" w:cs="Times New Roman"/>
              </w:rPr>
              <w:t xml:space="preserve">its </w:t>
            </w:r>
            <w:r>
              <w:rPr>
                <w:rFonts w:ascii="Times New Roman" w:eastAsia="Times New Roman" w:hAnsi="Times New Roman" w:cs="Times New Roman"/>
              </w:rPr>
              <w:t>renovation of the premises. Had COVID-19 not occurred</w:t>
            </w:r>
            <w:r w:rsidR="000E629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Fitness International would have been closed for 10 months while its premises were under construction during which time Fitness International would not have collected membership fees. </w:t>
            </w:r>
          </w:p>
          <w:p w14:paraId="0156BBE6" w14:textId="77777777" w:rsidR="00B3786C" w:rsidRDefault="00B3786C" w:rsidP="004703CE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  <w:p w14:paraId="37DB78EF" w14:textId="4137D5E8" w:rsidR="00B46850" w:rsidRDefault="000E6291" w:rsidP="004703CE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When considering</w:t>
            </w:r>
            <w:r w:rsidR="001C2437">
              <w:rPr>
                <w:rFonts w:ascii="Times New Roman" w:eastAsia="Times New Roman" w:hAnsi="Times New Roman" w:cs="Times New Roman"/>
              </w:rPr>
              <w:t xml:space="preserve"> Fitness International’s</w:t>
            </w:r>
            <w:r>
              <w:rPr>
                <w:rFonts w:ascii="Times New Roman" w:eastAsia="Times New Roman" w:hAnsi="Times New Roman" w:cs="Times New Roman"/>
              </w:rPr>
              <w:t xml:space="preserve"> appeal, t</w:t>
            </w:r>
            <w:r w:rsidR="005537B0">
              <w:rPr>
                <w:rFonts w:ascii="Times New Roman" w:eastAsia="Times New Roman" w:hAnsi="Times New Roman" w:cs="Times New Roman"/>
              </w:rPr>
              <w:t xml:space="preserve">he court of appeal found that government orders which closed gyms did not stop construction from occurring inside the gym. </w:t>
            </w:r>
            <w:r>
              <w:rPr>
                <w:rFonts w:ascii="Times New Roman" w:eastAsia="Times New Roman" w:hAnsi="Times New Roman" w:cs="Times New Roman"/>
              </w:rPr>
              <w:t>Additionally</w:t>
            </w:r>
            <w:r w:rsidR="005537B0">
              <w:rPr>
                <w:rFonts w:ascii="Times New Roman" w:eastAsia="Times New Roman" w:hAnsi="Times New Roman" w:cs="Times New Roman"/>
              </w:rPr>
              <w:t>, the court of appeal determined that the force majeure claus</w:t>
            </w:r>
            <w:r w:rsidR="004703CE">
              <w:rPr>
                <w:rFonts w:ascii="Times New Roman" w:eastAsia="Times New Roman" w:hAnsi="Times New Roman" w:cs="Times New Roman"/>
              </w:rPr>
              <w:t>e</w:t>
            </w:r>
            <w:r w:rsidR="005537B0">
              <w:rPr>
                <w:rFonts w:ascii="Times New Roman" w:eastAsia="Times New Roman" w:hAnsi="Times New Roman" w:cs="Times New Roman"/>
              </w:rPr>
              <w:t xml:space="preserve"> in the </w:t>
            </w:r>
            <w:r w:rsidR="004703CE">
              <w:rPr>
                <w:rFonts w:ascii="Times New Roman" w:eastAsia="Times New Roman" w:hAnsi="Times New Roman" w:cs="Times New Roman"/>
              </w:rPr>
              <w:t>lease</w:t>
            </w:r>
            <w:r w:rsidR="005537B0">
              <w:rPr>
                <w:rFonts w:ascii="Times New Roman" w:eastAsia="Times New Roman" w:hAnsi="Times New Roman" w:cs="Times New Roman"/>
              </w:rPr>
              <w:t xml:space="preserve"> did not apply because the wording of the force majeure clause did not prevent the “act” of </w:t>
            </w:r>
            <w:r>
              <w:rPr>
                <w:rFonts w:ascii="Times New Roman" w:eastAsia="Times New Roman" w:hAnsi="Times New Roman" w:cs="Times New Roman"/>
              </w:rPr>
              <w:t xml:space="preserve">renovating the premises or </w:t>
            </w:r>
            <w:r w:rsidR="005537B0">
              <w:rPr>
                <w:rFonts w:ascii="Times New Roman" w:eastAsia="Times New Roman" w:hAnsi="Times New Roman" w:cs="Times New Roman"/>
              </w:rPr>
              <w:t xml:space="preserve">paying rent (COVID-19 did not </w:t>
            </w:r>
            <w:r w:rsidR="004703CE">
              <w:rPr>
                <w:rFonts w:ascii="Times New Roman" w:eastAsia="Times New Roman" w:hAnsi="Times New Roman" w:cs="Times New Roman"/>
              </w:rPr>
              <w:t>disrupt</w:t>
            </w:r>
            <w:r w:rsidR="005537B0">
              <w:rPr>
                <w:rFonts w:ascii="Times New Roman" w:eastAsia="Times New Roman" w:hAnsi="Times New Roman" w:cs="Times New Roman"/>
              </w:rPr>
              <w:t xml:space="preserve"> payment systems which</w:t>
            </w:r>
            <w:r w:rsidR="004703CE">
              <w:rPr>
                <w:rFonts w:ascii="Times New Roman" w:eastAsia="Times New Roman" w:hAnsi="Times New Roman" w:cs="Times New Roman"/>
              </w:rPr>
              <w:t xml:space="preserve"> then</w:t>
            </w:r>
            <w:r w:rsidR="005537B0">
              <w:rPr>
                <w:rFonts w:ascii="Times New Roman" w:eastAsia="Times New Roman" w:hAnsi="Times New Roman" w:cs="Times New Roman"/>
              </w:rPr>
              <w:t xml:space="preserve"> prevented Fitness International from making rent payments). </w:t>
            </w:r>
            <w:r w:rsidR="004703CE">
              <w:rPr>
                <w:rFonts w:ascii="Times New Roman" w:eastAsia="Times New Roman" w:hAnsi="Times New Roman" w:cs="Times New Roman"/>
              </w:rPr>
              <w:t xml:space="preserve">The court of appeal also rejected Fitness International’s arguments about “temporary” frustration of purpose because California courts do not recognize such a doctrine. </w:t>
            </w:r>
            <w:r w:rsidR="005537B0">
              <w:rPr>
                <w:rFonts w:ascii="Times New Roman" w:eastAsia="Times New Roman" w:hAnsi="Times New Roman" w:cs="Times New Roman"/>
              </w:rPr>
              <w:t xml:space="preserve">Lastly, </w:t>
            </w:r>
            <w:r>
              <w:rPr>
                <w:rFonts w:ascii="Times New Roman" w:eastAsia="Times New Roman" w:hAnsi="Times New Roman" w:cs="Times New Roman"/>
              </w:rPr>
              <w:t xml:space="preserve">the legal doctrine of </w:t>
            </w:r>
            <w:r w:rsidR="005537B0">
              <w:rPr>
                <w:rFonts w:ascii="Times New Roman" w:eastAsia="Times New Roman" w:hAnsi="Times New Roman" w:cs="Times New Roman"/>
              </w:rPr>
              <w:t xml:space="preserve">temporary impossibility did </w:t>
            </w:r>
            <w:r w:rsidR="0039649B">
              <w:rPr>
                <w:rFonts w:ascii="Times New Roman" w:eastAsia="Times New Roman" w:hAnsi="Times New Roman" w:cs="Times New Roman"/>
              </w:rPr>
              <w:t xml:space="preserve">not </w:t>
            </w:r>
            <w:r w:rsidR="00A4486F">
              <w:rPr>
                <w:rFonts w:ascii="Times New Roman" w:eastAsia="Times New Roman" w:hAnsi="Times New Roman" w:cs="Times New Roman"/>
              </w:rPr>
              <w:t>apply</w:t>
            </w:r>
            <w:r w:rsidR="005537B0">
              <w:rPr>
                <w:rFonts w:ascii="Times New Roman" w:eastAsia="Times New Roman" w:hAnsi="Times New Roman" w:cs="Times New Roman"/>
              </w:rPr>
              <w:t xml:space="preserve"> because Fitness International could not </w:t>
            </w:r>
            <w:r w:rsidR="005537B0">
              <w:rPr>
                <w:rFonts w:ascii="Times New Roman" w:eastAsia="Times New Roman" w:hAnsi="Times New Roman" w:cs="Times New Roman"/>
              </w:rPr>
              <w:lastRenderedPageBreak/>
              <w:t xml:space="preserve">show that the cost </w:t>
            </w:r>
            <w:r>
              <w:rPr>
                <w:rFonts w:ascii="Times New Roman" w:eastAsia="Times New Roman" w:hAnsi="Times New Roman" w:cs="Times New Roman"/>
              </w:rPr>
              <w:t>of either</w:t>
            </w:r>
            <w:r w:rsidR="00A4486F">
              <w:rPr>
                <w:rFonts w:ascii="Times New Roman" w:eastAsia="Times New Roman" w:hAnsi="Times New Roman" w:cs="Times New Roman"/>
              </w:rPr>
              <w:t xml:space="preserve"> continuing construction or paying rent</w:t>
            </w:r>
            <w:r>
              <w:rPr>
                <w:rFonts w:ascii="Times New Roman" w:eastAsia="Times New Roman" w:hAnsi="Times New Roman" w:cs="Times New Roman"/>
              </w:rPr>
              <w:t xml:space="preserve"> had</w:t>
            </w:r>
            <w:r w:rsidR="005537B0">
              <w:rPr>
                <w:rFonts w:ascii="Times New Roman" w:eastAsia="Times New Roman" w:hAnsi="Times New Roman" w:cs="Times New Roman"/>
              </w:rPr>
              <w:t xml:space="preserve"> increased “exponentially.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="005537B0">
              <w:rPr>
                <w:rFonts w:ascii="Times New Roman" w:eastAsia="Times New Roman" w:hAnsi="Times New Roman" w:cs="Times New Roman"/>
              </w:rPr>
              <w:t xml:space="preserve"> </w:t>
            </w:r>
            <w:r w:rsidR="004703CE">
              <w:rPr>
                <w:rFonts w:ascii="Times New Roman" w:eastAsia="Times New Roman" w:hAnsi="Times New Roman" w:cs="Times New Roman"/>
              </w:rPr>
              <w:t>Therefore, the court of appeal upheld the trial court’s</w:t>
            </w:r>
            <w:r w:rsidR="00A4486F">
              <w:rPr>
                <w:rFonts w:ascii="Times New Roman" w:eastAsia="Times New Roman" w:hAnsi="Times New Roman" w:cs="Times New Roman"/>
              </w:rPr>
              <w:t xml:space="preserve"> unlawful detainer</w:t>
            </w:r>
            <w:r w:rsidR="004703CE">
              <w:rPr>
                <w:rFonts w:ascii="Times New Roman" w:eastAsia="Times New Roman" w:hAnsi="Times New Roman" w:cs="Times New Roman"/>
              </w:rPr>
              <w:t xml:space="preserve"> </w:t>
            </w:r>
            <w:r w:rsidR="00CA1A73">
              <w:rPr>
                <w:rFonts w:ascii="Times New Roman" w:eastAsia="Times New Roman" w:hAnsi="Times New Roman" w:cs="Times New Roman"/>
              </w:rPr>
              <w:t>judgment</w:t>
            </w:r>
            <w:r>
              <w:rPr>
                <w:rFonts w:ascii="Times New Roman" w:eastAsia="Times New Roman" w:hAnsi="Times New Roman" w:cs="Times New Roman"/>
              </w:rPr>
              <w:t xml:space="preserve"> against Fitness International</w:t>
            </w:r>
            <w:r w:rsidR="004703C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 w:rsidR="004703CE">
              <w:rPr>
                <w:rFonts w:ascii="Times New Roman" w:eastAsia="Times New Roman" w:hAnsi="Times New Roman" w:cs="Times New Roman"/>
              </w:rPr>
              <w:t>in favor of KB Salt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B295E06" w14:textId="70F9BD2E" w:rsidR="00B31947" w:rsidRPr="00691052" w:rsidRDefault="00B31947" w:rsidP="002110C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052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Take Away:</w:t>
            </w:r>
          </w:p>
          <w:p w14:paraId="1D08BA6A" w14:textId="47D2B188" w:rsidR="00B31947" w:rsidRDefault="004703CE" w:rsidP="002110C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Parties who are under contractual obligations should be careful to understand legal doctrines that may </w:t>
            </w:r>
            <w:r w:rsidR="00601029">
              <w:rPr>
                <w:rFonts w:ascii="Times New Roman" w:eastAsia="Times New Roman" w:hAnsi="Times New Roman" w:cs="Times New Roman"/>
              </w:rPr>
              <w:t xml:space="preserve">or may not </w:t>
            </w:r>
            <w:r>
              <w:rPr>
                <w:rFonts w:ascii="Times New Roman" w:eastAsia="Times New Roman" w:hAnsi="Times New Roman" w:cs="Times New Roman"/>
              </w:rPr>
              <w:t xml:space="preserve">excuse </w:t>
            </w:r>
            <w:r w:rsidR="00951416">
              <w:rPr>
                <w:rFonts w:ascii="Times New Roman" w:eastAsia="Times New Roman" w:hAnsi="Times New Roman" w:cs="Times New Roman"/>
              </w:rPr>
              <w:t>that</w:t>
            </w:r>
            <w:r>
              <w:rPr>
                <w:rFonts w:ascii="Times New Roman" w:eastAsia="Times New Roman" w:hAnsi="Times New Roman" w:cs="Times New Roman"/>
              </w:rPr>
              <w:t xml:space="preserve"> party’s performance. While force majeure clauses, frustration of purpose, and</w:t>
            </w:r>
            <w:r w:rsidR="001C2437">
              <w:rPr>
                <w:rFonts w:ascii="Times New Roman" w:eastAsia="Times New Roman" w:hAnsi="Times New Roman" w:cs="Times New Roman"/>
              </w:rPr>
              <w:t xml:space="preserve"> temporary</w:t>
            </w:r>
            <w:r>
              <w:rPr>
                <w:rFonts w:ascii="Times New Roman" w:eastAsia="Times New Roman" w:hAnsi="Times New Roman" w:cs="Times New Roman"/>
              </w:rPr>
              <w:t xml:space="preserve"> impossibility may seem facially applicable </w:t>
            </w:r>
            <w:r w:rsidR="00601029">
              <w:rPr>
                <w:rFonts w:ascii="Times New Roman" w:eastAsia="Times New Roman" w:hAnsi="Times New Roman" w:cs="Times New Roman"/>
              </w:rPr>
              <w:t>to a lease payment dispute</w:t>
            </w:r>
            <w:r w:rsidR="00423A87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it is critical that parties understand the details of the</w:t>
            </w:r>
            <w:r w:rsidR="001C2437"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</w:rPr>
              <w:t xml:space="preserve"> legal doctrines before relying upon </w:t>
            </w:r>
            <w:r w:rsidR="001C2437">
              <w:rPr>
                <w:rFonts w:ascii="Times New Roman" w:eastAsia="Times New Roman" w:hAnsi="Times New Roman" w:cs="Times New Roman"/>
              </w:rPr>
              <w:t>them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59743F6" w14:textId="77777777" w:rsidR="00423A87" w:rsidRPr="00691052" w:rsidRDefault="00423A87" w:rsidP="002110C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E42AC1" w14:textId="77777777" w:rsidR="00B31947" w:rsidRPr="00691052" w:rsidRDefault="00B31947" w:rsidP="002110C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052">
              <w:rPr>
                <w:rFonts w:ascii="Times New Roman" w:eastAsia="Times New Roman" w:hAnsi="Times New Roman" w:cs="Times New Roman"/>
              </w:rPr>
              <w:t>By: Clifford R. Horner, Esq.</w:t>
            </w:r>
          </w:p>
          <w:p w14:paraId="36491B6F" w14:textId="77777777" w:rsidR="00B31947" w:rsidRPr="00691052" w:rsidRDefault="00B31947" w:rsidP="002110C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Patrick J. Sullivan</w:t>
            </w:r>
            <w:r w:rsidRPr="00691052">
              <w:rPr>
                <w:rFonts w:ascii="Times New Roman" w:eastAsia="Times New Roman" w:hAnsi="Times New Roman" w:cs="Times New Roman"/>
              </w:rPr>
              <w:t>, Esq.</w:t>
            </w:r>
          </w:p>
        </w:tc>
      </w:tr>
      <w:tr w:rsidR="00CC0541" w:rsidRPr="00691052" w14:paraId="7B7F8E92" w14:textId="77777777" w:rsidTr="002110CE">
        <w:trPr>
          <w:trHeight w:val="300"/>
        </w:trPr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17CCADF" w14:textId="77777777" w:rsidR="00CC0541" w:rsidRPr="00691052" w:rsidRDefault="00CC0541" w:rsidP="002110CE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</w:tr>
    </w:tbl>
    <w:p w14:paraId="74A539E3" w14:textId="77777777" w:rsidR="00B31947" w:rsidRDefault="00B31947"/>
    <w:sectPr w:rsidR="00B31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47"/>
    <w:rsid w:val="00087619"/>
    <w:rsid w:val="000E6291"/>
    <w:rsid w:val="001C2437"/>
    <w:rsid w:val="00324FEE"/>
    <w:rsid w:val="00374F72"/>
    <w:rsid w:val="0039649B"/>
    <w:rsid w:val="003975E7"/>
    <w:rsid w:val="00423A87"/>
    <w:rsid w:val="00433E5F"/>
    <w:rsid w:val="004703CE"/>
    <w:rsid w:val="005537B0"/>
    <w:rsid w:val="005A21D7"/>
    <w:rsid w:val="00601029"/>
    <w:rsid w:val="0063293D"/>
    <w:rsid w:val="0068444B"/>
    <w:rsid w:val="007D4002"/>
    <w:rsid w:val="008D5D16"/>
    <w:rsid w:val="00913B63"/>
    <w:rsid w:val="00951416"/>
    <w:rsid w:val="00A4486F"/>
    <w:rsid w:val="00A60C8B"/>
    <w:rsid w:val="00AD376D"/>
    <w:rsid w:val="00B31947"/>
    <w:rsid w:val="00B3786C"/>
    <w:rsid w:val="00B46850"/>
    <w:rsid w:val="00BC2106"/>
    <w:rsid w:val="00CA1A73"/>
    <w:rsid w:val="00CC0541"/>
    <w:rsid w:val="00D678AB"/>
    <w:rsid w:val="00DB3279"/>
    <w:rsid w:val="00DC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18183"/>
  <w15:chartTrackingRefBased/>
  <w15:docId w15:val="{69274311-109F-40DD-9586-DD4B3BC1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947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Sullivan</dc:creator>
  <cp:keywords/>
  <dc:description/>
  <cp:lastModifiedBy>Stacey O'Brien</cp:lastModifiedBy>
  <cp:revision>19</cp:revision>
  <cp:lastPrinted>2023-10-20T19:10:00Z</cp:lastPrinted>
  <dcterms:created xsi:type="dcterms:W3CDTF">2023-10-20T18:02:00Z</dcterms:created>
  <dcterms:modified xsi:type="dcterms:W3CDTF">2023-10-24T22:07:00Z</dcterms:modified>
</cp:coreProperties>
</file>