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360"/>
      </w:tblGrid>
      <w:tr w:rsidR="00691052" w:rsidRPr="00691052" w14:paraId="51407948" w14:textId="77777777" w:rsidTr="00546A26">
        <w:tc>
          <w:tcPr>
            <w:tcW w:w="0" w:type="auto"/>
            <w:tcMar>
              <w:top w:w="150" w:type="dxa"/>
              <w:left w:w="300" w:type="dxa"/>
              <w:bottom w:w="150" w:type="dxa"/>
              <w:right w:w="300" w:type="dxa"/>
            </w:tcMar>
            <w:hideMark/>
          </w:tcPr>
          <w:p w14:paraId="0AC8B7D1" w14:textId="77777777" w:rsidR="00546A26" w:rsidRPr="00691052" w:rsidRDefault="00546A26" w:rsidP="00546A26">
            <w:pPr>
              <w:jc w:val="center"/>
              <w:rPr>
                <w:rFonts w:ascii="Times New Roman" w:eastAsia="Times New Roman" w:hAnsi="Times New Roman" w:cs="Times New Roman"/>
              </w:rPr>
            </w:pPr>
            <w:r w:rsidRPr="00691052">
              <w:rPr>
                <w:rFonts w:ascii="Times New Roman" w:eastAsia="Times New Roman" w:hAnsi="Times New Roman" w:cs="Times New Roman"/>
                <w:b/>
                <w:bCs/>
                <w:u w:val="single"/>
              </w:rPr>
              <w:t>Horner Law Group Legal E-Alert</w:t>
            </w:r>
          </w:p>
        </w:tc>
      </w:tr>
      <w:tr w:rsidR="00546A26" w:rsidRPr="00691052" w14:paraId="5C56A7BB" w14:textId="77777777" w:rsidTr="00546A26">
        <w:tc>
          <w:tcPr>
            <w:tcW w:w="0" w:type="auto"/>
            <w:tcMar>
              <w:top w:w="150" w:type="dxa"/>
              <w:left w:w="300" w:type="dxa"/>
              <w:bottom w:w="150" w:type="dxa"/>
              <w:right w:w="300" w:type="dxa"/>
            </w:tcMar>
            <w:hideMark/>
          </w:tcPr>
          <w:p w14:paraId="6F8350EF" w14:textId="7F469EAA" w:rsidR="00546A26" w:rsidRPr="00691052" w:rsidRDefault="009471C3" w:rsidP="00546A26">
            <w:pPr>
              <w:rPr>
                <w:rFonts w:ascii="Times New Roman" w:eastAsia="Times New Roman" w:hAnsi="Times New Roman" w:cs="Times New Roman"/>
                <w:b/>
                <w:bCs/>
              </w:rPr>
            </w:pPr>
            <w:r>
              <w:rPr>
                <w:rFonts w:ascii="Times New Roman" w:eastAsia="Times New Roman" w:hAnsi="Times New Roman" w:cs="Times New Roman"/>
                <w:b/>
                <w:bCs/>
              </w:rPr>
              <w:t>Business Disputes Arising from Fraud</w:t>
            </w:r>
            <w:r w:rsidR="005924EF">
              <w:rPr>
                <w:rFonts w:ascii="Times New Roman" w:eastAsia="Times New Roman" w:hAnsi="Times New Roman" w:cs="Times New Roman"/>
                <w:b/>
                <w:bCs/>
              </w:rPr>
              <w:t xml:space="preserve">ulent </w:t>
            </w:r>
            <w:r w:rsidR="007673E5">
              <w:rPr>
                <w:rFonts w:ascii="Times New Roman" w:eastAsia="Times New Roman" w:hAnsi="Times New Roman" w:cs="Times New Roman"/>
                <w:b/>
                <w:bCs/>
              </w:rPr>
              <w:t>Di</w:t>
            </w:r>
            <w:r w:rsidR="00686E91">
              <w:rPr>
                <w:rFonts w:ascii="Times New Roman" w:eastAsia="Times New Roman" w:hAnsi="Times New Roman" w:cs="Times New Roman"/>
                <w:b/>
                <w:bCs/>
              </w:rPr>
              <w:t xml:space="preserve">version of Assets </w:t>
            </w:r>
            <w:r w:rsidR="005924EF">
              <w:rPr>
                <w:rFonts w:ascii="Times New Roman" w:eastAsia="Times New Roman" w:hAnsi="Times New Roman" w:cs="Times New Roman"/>
                <w:b/>
                <w:bCs/>
              </w:rPr>
              <w:t xml:space="preserve">May </w:t>
            </w:r>
            <w:r w:rsidR="008724CC">
              <w:rPr>
                <w:rFonts w:ascii="Times New Roman" w:eastAsia="Times New Roman" w:hAnsi="Times New Roman" w:cs="Times New Roman"/>
                <w:b/>
                <w:bCs/>
              </w:rPr>
              <w:t xml:space="preserve">Now </w:t>
            </w:r>
            <w:r w:rsidR="00B94C18">
              <w:rPr>
                <w:rFonts w:ascii="Times New Roman" w:eastAsia="Times New Roman" w:hAnsi="Times New Roman" w:cs="Times New Roman"/>
                <w:b/>
                <w:bCs/>
              </w:rPr>
              <w:t>Result in</w:t>
            </w:r>
            <w:r w:rsidR="005924EF">
              <w:rPr>
                <w:rFonts w:ascii="Times New Roman" w:eastAsia="Times New Roman" w:hAnsi="Times New Roman" w:cs="Times New Roman"/>
                <w:b/>
                <w:bCs/>
              </w:rPr>
              <w:t xml:space="preserve"> Treble Damages and Attorney’s Fees</w:t>
            </w:r>
            <w:r w:rsidR="007673E5">
              <w:rPr>
                <w:rFonts w:ascii="Times New Roman" w:eastAsia="Times New Roman" w:hAnsi="Times New Roman" w:cs="Times New Roman"/>
                <w:b/>
                <w:bCs/>
              </w:rPr>
              <w:t>, If There Is Criminal Intent</w:t>
            </w:r>
            <w:r w:rsidR="00686E91">
              <w:rPr>
                <w:rFonts w:ascii="Times New Roman" w:eastAsia="Times New Roman" w:hAnsi="Times New Roman" w:cs="Times New Roman"/>
                <w:b/>
                <w:bCs/>
              </w:rPr>
              <w:t>.</w:t>
            </w:r>
          </w:p>
          <w:p w14:paraId="23FD1D22" w14:textId="5341E2CE" w:rsidR="00546A26" w:rsidRPr="00691052" w:rsidRDefault="00546A26" w:rsidP="00546A26">
            <w:pPr>
              <w:jc w:val="both"/>
              <w:rPr>
                <w:rFonts w:ascii="Times New Roman" w:eastAsia="Times New Roman" w:hAnsi="Times New Roman" w:cs="Times New Roman"/>
              </w:rPr>
            </w:pPr>
          </w:p>
          <w:p w14:paraId="4570B6EE" w14:textId="70EF5F25" w:rsidR="00546A26" w:rsidRPr="00691052" w:rsidRDefault="00C05283" w:rsidP="00546A26">
            <w:pPr>
              <w:rPr>
                <w:rFonts w:ascii="Times New Roman" w:eastAsia="Times New Roman" w:hAnsi="Times New Roman" w:cs="Times New Roman"/>
              </w:rPr>
            </w:pPr>
            <w:r>
              <w:rPr>
                <w:rFonts w:ascii="Times New Roman" w:eastAsia="Times New Roman" w:hAnsi="Times New Roman" w:cs="Times New Roman"/>
              </w:rPr>
              <w:t>Absent contractual agreements or extraordinary conduct, c</w:t>
            </w:r>
            <w:r w:rsidR="00897E8F">
              <w:rPr>
                <w:rFonts w:ascii="Times New Roman" w:eastAsia="Times New Roman" w:hAnsi="Times New Roman" w:cs="Times New Roman"/>
              </w:rPr>
              <w:t>ommercia</w:t>
            </w:r>
            <w:r>
              <w:rPr>
                <w:rFonts w:ascii="Times New Roman" w:eastAsia="Times New Roman" w:hAnsi="Times New Roman" w:cs="Times New Roman"/>
              </w:rPr>
              <w:t xml:space="preserve">l </w:t>
            </w:r>
            <w:r w:rsidR="00897E8F">
              <w:rPr>
                <w:rFonts w:ascii="Times New Roman" w:eastAsia="Times New Roman" w:hAnsi="Times New Roman" w:cs="Times New Roman"/>
              </w:rPr>
              <w:t xml:space="preserve">litigation is ordinarily limited to </w:t>
            </w:r>
            <w:r w:rsidR="00B94C18">
              <w:rPr>
                <w:rFonts w:ascii="Times New Roman" w:eastAsia="Times New Roman" w:hAnsi="Times New Roman" w:cs="Times New Roman"/>
              </w:rPr>
              <w:t>pocketbook</w:t>
            </w:r>
            <w:r w:rsidR="00897E8F">
              <w:rPr>
                <w:rFonts w:ascii="Times New Roman" w:eastAsia="Times New Roman" w:hAnsi="Times New Roman" w:cs="Times New Roman"/>
              </w:rPr>
              <w:t xml:space="preserve"> damages. </w:t>
            </w:r>
            <w:r>
              <w:rPr>
                <w:rFonts w:ascii="Times New Roman" w:eastAsia="Times New Roman" w:hAnsi="Times New Roman" w:cs="Times New Roman"/>
              </w:rPr>
              <w:t>This is because, u</w:t>
            </w:r>
            <w:r w:rsidR="00A01685">
              <w:rPr>
                <w:rFonts w:ascii="Times New Roman" w:eastAsia="Times New Roman" w:hAnsi="Times New Roman" w:cs="Times New Roman"/>
              </w:rPr>
              <w:t>nder the “American Rule,” each party</w:t>
            </w:r>
            <w:r w:rsidR="003A4B9F">
              <w:rPr>
                <w:rFonts w:ascii="Times New Roman" w:eastAsia="Times New Roman" w:hAnsi="Times New Roman" w:cs="Times New Roman"/>
              </w:rPr>
              <w:t xml:space="preserve"> to a civil action</w:t>
            </w:r>
            <w:r w:rsidR="00A01685">
              <w:rPr>
                <w:rFonts w:ascii="Times New Roman" w:eastAsia="Times New Roman" w:hAnsi="Times New Roman" w:cs="Times New Roman"/>
              </w:rPr>
              <w:t>—win or lose—pays for its own attorney’s fees</w:t>
            </w:r>
            <w:r w:rsidR="00C05C22">
              <w:rPr>
                <w:rFonts w:ascii="Times New Roman" w:eastAsia="Times New Roman" w:hAnsi="Times New Roman" w:cs="Times New Roman"/>
              </w:rPr>
              <w:t xml:space="preserve">, unless </w:t>
            </w:r>
            <w:r w:rsidR="00065558">
              <w:rPr>
                <w:rFonts w:ascii="Times New Roman" w:eastAsia="Times New Roman" w:hAnsi="Times New Roman" w:cs="Times New Roman"/>
              </w:rPr>
              <w:t xml:space="preserve">otherwise </w:t>
            </w:r>
            <w:r w:rsidR="00C05C22">
              <w:rPr>
                <w:rFonts w:ascii="Times New Roman" w:eastAsia="Times New Roman" w:hAnsi="Times New Roman" w:cs="Times New Roman"/>
              </w:rPr>
              <w:t>provided for by contract</w:t>
            </w:r>
            <w:r w:rsidR="001C7F99">
              <w:rPr>
                <w:rFonts w:ascii="Times New Roman" w:eastAsia="Times New Roman" w:hAnsi="Times New Roman" w:cs="Times New Roman"/>
              </w:rPr>
              <w:t>.</w:t>
            </w:r>
            <w:r w:rsidR="003A4B9F">
              <w:rPr>
                <w:rFonts w:ascii="Times New Roman" w:eastAsia="Times New Roman" w:hAnsi="Times New Roman" w:cs="Times New Roman"/>
              </w:rPr>
              <w:t xml:space="preserve"> </w:t>
            </w:r>
            <w:r w:rsidR="00C61771">
              <w:rPr>
                <w:rFonts w:ascii="Times New Roman" w:eastAsia="Times New Roman" w:hAnsi="Times New Roman" w:cs="Times New Roman"/>
              </w:rPr>
              <w:t>Similarly</w:t>
            </w:r>
            <w:r w:rsidR="003A4B9F">
              <w:rPr>
                <w:rFonts w:ascii="Times New Roman" w:eastAsia="Times New Roman" w:hAnsi="Times New Roman" w:cs="Times New Roman"/>
              </w:rPr>
              <w:t>, ordinarily, “punitive” damages are rarely awarded</w:t>
            </w:r>
            <w:r w:rsidR="00C61771">
              <w:rPr>
                <w:rFonts w:ascii="Times New Roman" w:eastAsia="Times New Roman" w:hAnsi="Times New Roman" w:cs="Times New Roman"/>
              </w:rPr>
              <w:t>, and only when proven by</w:t>
            </w:r>
            <w:r w:rsidR="00F541BC">
              <w:rPr>
                <w:rFonts w:ascii="Times New Roman" w:eastAsia="Times New Roman" w:hAnsi="Times New Roman" w:cs="Times New Roman"/>
              </w:rPr>
              <w:t xml:space="preserve"> the heightened evidentiary standard of</w:t>
            </w:r>
            <w:r w:rsidR="00C61771">
              <w:rPr>
                <w:rFonts w:ascii="Times New Roman" w:eastAsia="Times New Roman" w:hAnsi="Times New Roman" w:cs="Times New Roman"/>
              </w:rPr>
              <w:t xml:space="preserve"> clear and convincing evidence</w:t>
            </w:r>
            <w:r w:rsidR="00F541BC">
              <w:rPr>
                <w:rFonts w:ascii="Times New Roman" w:eastAsia="Times New Roman" w:hAnsi="Times New Roman" w:cs="Times New Roman"/>
              </w:rPr>
              <w:t xml:space="preserve"> (as opposed to </w:t>
            </w:r>
            <w:r w:rsidR="00360A5D">
              <w:rPr>
                <w:rFonts w:ascii="Times New Roman" w:eastAsia="Times New Roman" w:hAnsi="Times New Roman" w:cs="Times New Roman"/>
              </w:rPr>
              <w:t>the compensatory more-likely-than</w:t>
            </w:r>
            <w:r w:rsidR="007673E5">
              <w:rPr>
                <w:rFonts w:ascii="Times New Roman" w:eastAsia="Times New Roman" w:hAnsi="Times New Roman" w:cs="Times New Roman"/>
              </w:rPr>
              <w:t xml:space="preserve"> </w:t>
            </w:r>
            <w:r w:rsidR="00360A5D">
              <w:rPr>
                <w:rFonts w:ascii="Times New Roman" w:eastAsia="Times New Roman" w:hAnsi="Times New Roman" w:cs="Times New Roman"/>
              </w:rPr>
              <w:t>not preponderance of the evidence standard)</w:t>
            </w:r>
            <w:r w:rsidR="00C61771">
              <w:rPr>
                <w:rFonts w:ascii="Times New Roman" w:eastAsia="Times New Roman" w:hAnsi="Times New Roman" w:cs="Times New Roman"/>
              </w:rPr>
              <w:t xml:space="preserve"> that </w:t>
            </w:r>
            <w:r w:rsidR="00333FBC">
              <w:rPr>
                <w:rFonts w:ascii="Times New Roman" w:eastAsia="Times New Roman" w:hAnsi="Times New Roman" w:cs="Times New Roman"/>
              </w:rPr>
              <w:t>a defendant engaged in conduct amounting to malice, oppression, or fraud.</w:t>
            </w:r>
          </w:p>
          <w:p w14:paraId="380474ED" w14:textId="77777777" w:rsidR="00546A26" w:rsidRPr="00691052" w:rsidRDefault="00546A26" w:rsidP="00546A26">
            <w:pPr>
              <w:rPr>
                <w:rFonts w:ascii="Times New Roman" w:eastAsia="Times New Roman" w:hAnsi="Times New Roman" w:cs="Times New Roman"/>
              </w:rPr>
            </w:pPr>
          </w:p>
          <w:p w14:paraId="40537259" w14:textId="7AD6049A" w:rsidR="00546A26" w:rsidRPr="00691052" w:rsidRDefault="00DC56AF" w:rsidP="00717259">
            <w:pPr>
              <w:shd w:val="clear" w:color="auto" w:fill="FFFFFF"/>
              <w:rPr>
                <w:rFonts w:ascii="Times New Roman" w:eastAsia="Times New Roman" w:hAnsi="Times New Roman" w:cs="Times New Roman"/>
              </w:rPr>
            </w:pPr>
            <w:r>
              <w:rPr>
                <w:rFonts w:ascii="Times New Roman" w:eastAsia="Times New Roman" w:hAnsi="Times New Roman" w:cs="Times New Roman"/>
              </w:rPr>
              <w:t>However, l</w:t>
            </w:r>
            <w:r w:rsidR="00333FBC">
              <w:rPr>
                <w:rFonts w:ascii="Times New Roman" w:eastAsia="Times New Roman" w:hAnsi="Times New Roman" w:cs="Times New Roman"/>
              </w:rPr>
              <w:t xml:space="preserve">ast year, </w:t>
            </w:r>
            <w:r w:rsidR="009C09B9">
              <w:rPr>
                <w:rFonts w:ascii="Times New Roman" w:eastAsia="Times New Roman" w:hAnsi="Times New Roman" w:cs="Times New Roman"/>
              </w:rPr>
              <w:t>the California Supreme Court</w:t>
            </w:r>
            <w:r w:rsidR="00BA2B40">
              <w:rPr>
                <w:rFonts w:ascii="Times New Roman" w:eastAsia="Times New Roman" w:hAnsi="Times New Roman" w:cs="Times New Roman"/>
              </w:rPr>
              <w:t xml:space="preserve"> resolved a jurisdictional split</w:t>
            </w:r>
            <w:r w:rsidR="006D6B3E">
              <w:rPr>
                <w:rFonts w:ascii="Times New Roman" w:eastAsia="Times New Roman" w:hAnsi="Times New Roman" w:cs="Times New Roman"/>
              </w:rPr>
              <w:t xml:space="preserve"> and</w:t>
            </w:r>
            <w:r>
              <w:rPr>
                <w:rFonts w:ascii="Times New Roman" w:eastAsia="Times New Roman" w:hAnsi="Times New Roman" w:cs="Times New Roman"/>
              </w:rPr>
              <w:t xml:space="preserve"> provided civil</w:t>
            </w:r>
            <w:r w:rsidR="00015E8B">
              <w:rPr>
                <w:rFonts w:ascii="Times New Roman" w:eastAsia="Times New Roman" w:hAnsi="Times New Roman" w:cs="Times New Roman"/>
              </w:rPr>
              <w:t xml:space="preserve"> plaintiff</w:t>
            </w:r>
            <w:r>
              <w:rPr>
                <w:rFonts w:ascii="Times New Roman" w:eastAsia="Times New Roman" w:hAnsi="Times New Roman" w:cs="Times New Roman"/>
              </w:rPr>
              <w:t>s</w:t>
            </w:r>
            <w:r w:rsidR="00015E8B">
              <w:rPr>
                <w:rFonts w:ascii="Times New Roman" w:eastAsia="Times New Roman" w:hAnsi="Times New Roman" w:cs="Times New Roman"/>
              </w:rPr>
              <w:t xml:space="preserve"> </w:t>
            </w:r>
            <w:r w:rsidR="00BA2B40">
              <w:rPr>
                <w:rFonts w:ascii="Times New Roman" w:eastAsia="Times New Roman" w:hAnsi="Times New Roman" w:cs="Times New Roman"/>
              </w:rPr>
              <w:t>involved in business dispute</w:t>
            </w:r>
            <w:r w:rsidR="003D11D6">
              <w:rPr>
                <w:rFonts w:ascii="Times New Roman" w:eastAsia="Times New Roman" w:hAnsi="Times New Roman" w:cs="Times New Roman"/>
              </w:rPr>
              <w:t>s with</w:t>
            </w:r>
            <w:r>
              <w:rPr>
                <w:rFonts w:ascii="Times New Roman" w:eastAsia="Times New Roman" w:hAnsi="Times New Roman" w:cs="Times New Roman"/>
              </w:rPr>
              <w:t xml:space="preserve"> a clear path to</w:t>
            </w:r>
            <w:r w:rsidR="00BA2B40">
              <w:rPr>
                <w:rFonts w:ascii="Times New Roman" w:eastAsia="Times New Roman" w:hAnsi="Times New Roman" w:cs="Times New Roman"/>
              </w:rPr>
              <w:t xml:space="preserve"> recover treble damages and attorney’s fees against </w:t>
            </w:r>
            <w:r w:rsidR="003D11D6">
              <w:rPr>
                <w:rFonts w:ascii="Times New Roman" w:eastAsia="Times New Roman" w:hAnsi="Times New Roman" w:cs="Times New Roman"/>
              </w:rPr>
              <w:t xml:space="preserve">certain </w:t>
            </w:r>
            <w:r w:rsidR="00BA2B40">
              <w:rPr>
                <w:rFonts w:ascii="Times New Roman" w:eastAsia="Times New Roman" w:hAnsi="Times New Roman" w:cs="Times New Roman"/>
              </w:rPr>
              <w:t>defendant</w:t>
            </w:r>
            <w:r w:rsidR="003D11D6">
              <w:rPr>
                <w:rFonts w:ascii="Times New Roman" w:eastAsia="Times New Roman" w:hAnsi="Times New Roman" w:cs="Times New Roman"/>
              </w:rPr>
              <w:t>s</w:t>
            </w:r>
            <w:r w:rsidR="00BA2B40">
              <w:rPr>
                <w:rFonts w:ascii="Times New Roman" w:eastAsia="Times New Roman" w:hAnsi="Times New Roman" w:cs="Times New Roman"/>
              </w:rPr>
              <w:t xml:space="preserve"> </w:t>
            </w:r>
            <w:r w:rsidR="003B4661">
              <w:rPr>
                <w:rFonts w:ascii="Times New Roman" w:eastAsia="Times New Roman" w:hAnsi="Times New Roman" w:cs="Times New Roman"/>
              </w:rPr>
              <w:t>involved in</w:t>
            </w:r>
            <w:r w:rsidR="00BA2B40">
              <w:rPr>
                <w:rFonts w:ascii="Times New Roman" w:eastAsia="Times New Roman" w:hAnsi="Times New Roman" w:cs="Times New Roman"/>
              </w:rPr>
              <w:t xml:space="preserve"> fraudulent </w:t>
            </w:r>
            <w:r w:rsidR="003D11D6">
              <w:rPr>
                <w:rFonts w:ascii="Times New Roman" w:eastAsia="Times New Roman" w:hAnsi="Times New Roman" w:cs="Times New Roman"/>
              </w:rPr>
              <w:t>conver</w:t>
            </w:r>
            <w:r w:rsidR="003B4661">
              <w:rPr>
                <w:rFonts w:ascii="Times New Roman" w:eastAsia="Times New Roman" w:hAnsi="Times New Roman" w:cs="Times New Roman"/>
              </w:rPr>
              <w:t xml:space="preserve">sion of </w:t>
            </w:r>
            <w:r w:rsidR="003D11D6">
              <w:rPr>
                <w:rFonts w:ascii="Times New Roman" w:eastAsia="Times New Roman" w:hAnsi="Times New Roman" w:cs="Times New Roman"/>
              </w:rPr>
              <w:t>cash</w:t>
            </w:r>
            <w:r w:rsidR="00F03E77">
              <w:rPr>
                <w:rFonts w:ascii="Times New Roman" w:eastAsia="Times New Roman" w:hAnsi="Times New Roman" w:cs="Times New Roman"/>
              </w:rPr>
              <w:t xml:space="preserve">, </w:t>
            </w:r>
            <w:r w:rsidR="003D11D6">
              <w:rPr>
                <w:rFonts w:ascii="Times New Roman" w:eastAsia="Times New Roman" w:hAnsi="Times New Roman" w:cs="Times New Roman"/>
              </w:rPr>
              <w:t>assets</w:t>
            </w:r>
            <w:r w:rsidR="00F03E77">
              <w:rPr>
                <w:rFonts w:ascii="Times New Roman" w:eastAsia="Times New Roman" w:hAnsi="Times New Roman" w:cs="Times New Roman"/>
              </w:rPr>
              <w:t>, or other property</w:t>
            </w:r>
            <w:r w:rsidR="006D6B3E">
              <w:rPr>
                <w:rFonts w:ascii="Times New Roman" w:eastAsia="Times New Roman" w:hAnsi="Times New Roman" w:cs="Times New Roman"/>
              </w:rPr>
              <w:t>.</w:t>
            </w:r>
          </w:p>
        </w:tc>
      </w:tr>
      <w:tr w:rsidR="00691052" w:rsidRPr="00691052" w14:paraId="52ED0E19" w14:textId="77777777" w:rsidTr="00546A26">
        <w:tc>
          <w:tcPr>
            <w:tcW w:w="0" w:type="auto"/>
            <w:tcMar>
              <w:top w:w="150" w:type="dxa"/>
              <w:left w:w="300" w:type="dxa"/>
              <w:bottom w:w="150" w:type="dxa"/>
              <w:right w:w="300" w:type="dxa"/>
            </w:tcMar>
          </w:tcPr>
          <w:p w14:paraId="2ED8EC46" w14:textId="77777777" w:rsidR="00691052" w:rsidRPr="00691052" w:rsidRDefault="00691052" w:rsidP="00546A26">
            <w:pPr>
              <w:rPr>
                <w:rFonts w:ascii="Times New Roman" w:eastAsia="Times New Roman" w:hAnsi="Times New Roman" w:cs="Times New Roman"/>
                <w:b/>
                <w:bCs/>
              </w:rPr>
            </w:pPr>
          </w:p>
        </w:tc>
      </w:tr>
    </w:tbl>
    <w:p w14:paraId="036DA441" w14:textId="7A7F90AC" w:rsidR="00546A26" w:rsidRPr="00691052" w:rsidRDefault="00546A26" w:rsidP="00546A26">
      <w:pPr>
        <w:rPr>
          <w:rFonts w:ascii="Times New Roman" w:eastAsia="Times New Roman" w:hAnsi="Times New Roman" w:cs="Times New Roman"/>
        </w:rPr>
      </w:pPr>
    </w:p>
    <w:tbl>
      <w:tblPr>
        <w:tblW w:w="5000" w:type="pct"/>
        <w:tblCellMar>
          <w:left w:w="0" w:type="dxa"/>
          <w:right w:w="0" w:type="dxa"/>
        </w:tblCellMar>
        <w:tblLook w:val="04A0" w:firstRow="1" w:lastRow="0" w:firstColumn="1" w:lastColumn="0" w:noHBand="0" w:noVBand="1"/>
      </w:tblPr>
      <w:tblGrid>
        <w:gridCol w:w="9360"/>
      </w:tblGrid>
      <w:tr w:rsidR="00691052" w:rsidRPr="00691052" w14:paraId="5AB3AA18" w14:textId="77777777" w:rsidTr="00546A26">
        <w:tc>
          <w:tcPr>
            <w:tcW w:w="0" w:type="auto"/>
            <w:hideMark/>
          </w:tcPr>
          <w:tbl>
            <w:tblPr>
              <w:tblW w:w="5000" w:type="pct"/>
              <w:jc w:val="center"/>
              <w:tblCellMar>
                <w:left w:w="0" w:type="dxa"/>
                <w:right w:w="0" w:type="dxa"/>
              </w:tblCellMar>
              <w:tblLook w:val="04A0" w:firstRow="1" w:lastRow="0" w:firstColumn="1" w:lastColumn="0" w:noHBand="0" w:noVBand="1"/>
            </w:tblPr>
            <w:tblGrid>
              <w:gridCol w:w="9360"/>
            </w:tblGrid>
            <w:tr w:rsidR="00691052" w:rsidRPr="00691052" w14:paraId="18F64DCF" w14:textId="77777777">
              <w:trPr>
                <w:jc w:val="center"/>
              </w:trPr>
              <w:tc>
                <w:tcPr>
                  <w:tcW w:w="5000" w:type="pct"/>
                  <w:tcMar>
                    <w:top w:w="135" w:type="dxa"/>
                    <w:left w:w="0" w:type="dxa"/>
                    <w:bottom w:w="135" w:type="dxa"/>
                    <w:right w:w="0" w:type="dxa"/>
                  </w:tcMar>
                  <w:hideMark/>
                </w:tcPr>
                <w:tbl>
                  <w:tblPr>
                    <w:tblW w:w="4700" w:type="pct"/>
                    <w:jc w:val="center"/>
                    <w:tblCellMar>
                      <w:left w:w="0" w:type="dxa"/>
                      <w:right w:w="0" w:type="dxa"/>
                    </w:tblCellMar>
                    <w:tblLook w:val="04A0" w:firstRow="1" w:lastRow="0" w:firstColumn="1" w:lastColumn="0" w:noHBand="0" w:noVBand="1"/>
                  </w:tblPr>
                  <w:tblGrid>
                    <w:gridCol w:w="8798"/>
                  </w:tblGrid>
                  <w:tr w:rsidR="00691052" w:rsidRPr="00691052" w14:paraId="43895329" w14:textId="77777777">
                    <w:trPr>
                      <w:trHeight w:val="15"/>
                      <w:jc w:val="center"/>
                    </w:trPr>
                    <w:tc>
                      <w:tcPr>
                        <w:tcW w:w="0" w:type="auto"/>
                        <w:shd w:val="clear" w:color="auto" w:fill="000000"/>
                        <w:vAlign w:val="center"/>
                        <w:hideMark/>
                      </w:tcPr>
                      <w:p w14:paraId="2042F3A2" w14:textId="07AAF84B" w:rsidR="00546A26" w:rsidRPr="00691052" w:rsidRDefault="00546A26" w:rsidP="00546A26">
                        <w:pPr>
                          <w:jc w:val="center"/>
                          <w:divId w:val="1132940973"/>
                          <w:rPr>
                            <w:rFonts w:ascii="Times New Roman" w:eastAsia="Times New Roman" w:hAnsi="Times New Roman" w:cs="Times New Roman"/>
                          </w:rPr>
                        </w:pPr>
                        <w:r w:rsidRPr="00691052">
                          <w:rPr>
                            <w:rFonts w:ascii="Times New Roman" w:eastAsia="Times New Roman" w:hAnsi="Times New Roman" w:cs="Times New Roman"/>
                          </w:rPr>
                          <w:fldChar w:fldCharType="begin"/>
                        </w:r>
                        <w:r w:rsidRPr="00691052">
                          <w:rPr>
                            <w:rFonts w:ascii="Times New Roman" w:eastAsia="Times New Roman" w:hAnsi="Times New Roman" w:cs="Times New Roman"/>
                          </w:rPr>
                          <w:instrText xml:space="preserve"> INCLUDEPICTURE "https://ci5.googleusercontent.com/proxy/prjVWi9agcvHo6wWwSY0NoWHiaFTUW1GFE88HIUk5LrHN5aeEIX3D6pJtDlEPNI6Dvf_Ou5XHLexQ1ajT_5sVXHMGfcLsqoinYvkNDmXc8HzvBff2Y637Q=s0-d-e1-ft#https://imgssl.constantcontact.com/letters/images/1101116784221/S.gif" \* MERGEFORMATINET </w:instrText>
                        </w:r>
                        <w:r w:rsidRPr="00691052">
                          <w:rPr>
                            <w:rFonts w:ascii="Times New Roman" w:eastAsia="Times New Roman" w:hAnsi="Times New Roman" w:cs="Times New Roman"/>
                          </w:rPr>
                          <w:fldChar w:fldCharType="separate"/>
                        </w:r>
                        <w:r w:rsidRPr="00691052">
                          <w:rPr>
                            <w:rFonts w:ascii="Times New Roman" w:eastAsia="Times New Roman" w:hAnsi="Times New Roman" w:cs="Times New Roman"/>
                            <w:noProof/>
                          </w:rPr>
                          <mc:AlternateContent>
                            <mc:Choice Requires="wps">
                              <w:drawing>
                                <wp:inline distT="0" distB="0" distL="0" distR="0" wp14:anchorId="5C8F915E" wp14:editId="5F6A2F71">
                                  <wp:extent cx="63500" cy="18415"/>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 cy="18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73586D" id="Rectangle 1" o:spid="_x0000_s1026" style="width:5pt;height: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" filled="f" stroked="f">
                                  <o:lock v:ext="edit" aspectratio="t"/>
                                  <w10:anchorlock/>
                                </v:rect>
                              </w:pict>
                            </mc:Fallback>
                          </mc:AlternateContent>
                        </w:r>
                        <w:r w:rsidRPr="00691052">
                          <w:rPr>
                            <w:rFonts w:ascii="Times New Roman" w:eastAsia="Times New Roman" w:hAnsi="Times New Roman" w:cs="Times New Roman"/>
                          </w:rPr>
                          <w:fldChar w:fldCharType="end"/>
                        </w:r>
                      </w:p>
                    </w:tc>
                  </w:tr>
                </w:tbl>
                <w:p w14:paraId="06482669" w14:textId="77777777" w:rsidR="00546A26" w:rsidRPr="00691052" w:rsidRDefault="00546A26" w:rsidP="00546A26">
                  <w:pPr>
                    <w:jc w:val="center"/>
                    <w:rPr>
                      <w:rFonts w:ascii="Times New Roman" w:eastAsia="Times New Roman" w:hAnsi="Times New Roman" w:cs="Times New Roman"/>
                    </w:rPr>
                  </w:pPr>
                </w:p>
              </w:tc>
            </w:tr>
          </w:tbl>
          <w:p w14:paraId="3C13B280" w14:textId="77777777" w:rsidR="00546A26" w:rsidRPr="00691052" w:rsidRDefault="00546A26" w:rsidP="00546A26">
            <w:pPr>
              <w:jc w:val="center"/>
              <w:rPr>
                <w:rFonts w:ascii="Times New Roman" w:eastAsia="Times New Roman" w:hAnsi="Times New Roman" w:cs="Times New Roman"/>
              </w:rPr>
            </w:pPr>
          </w:p>
        </w:tc>
      </w:tr>
      <w:tr w:rsidR="00691052" w:rsidRPr="00691052" w14:paraId="5B20B074" w14:textId="77777777" w:rsidTr="00691052">
        <w:trPr>
          <w:trHeight w:val="300"/>
        </w:trPr>
        <w:tc>
          <w:tcPr>
            <w:tcW w:w="0" w:type="auto"/>
            <w:tcMar>
              <w:top w:w="150" w:type="dxa"/>
              <w:left w:w="300" w:type="dxa"/>
              <w:bottom w:w="150" w:type="dxa"/>
              <w:right w:w="300" w:type="dxa"/>
            </w:tcMar>
            <w:hideMark/>
          </w:tcPr>
          <w:p w14:paraId="39915381" w14:textId="77777777" w:rsidR="00546A26" w:rsidRPr="00691052" w:rsidRDefault="00546A26" w:rsidP="00546A26">
            <w:pPr>
              <w:rPr>
                <w:rFonts w:ascii="Times New Roman" w:eastAsia="Times New Roman" w:hAnsi="Times New Roman" w:cs="Times New Roman"/>
              </w:rPr>
            </w:pPr>
            <w:r w:rsidRPr="00691052">
              <w:rPr>
                <w:rFonts w:ascii="Times New Roman" w:eastAsia="Times New Roman" w:hAnsi="Times New Roman" w:cs="Times New Roman"/>
                <w:b/>
                <w:bCs/>
                <w:u w:val="single"/>
              </w:rPr>
              <w:t>Summary:</w:t>
            </w:r>
          </w:p>
          <w:p w14:paraId="173D4E36" w14:textId="77777777" w:rsidR="00546A26" w:rsidRPr="00691052" w:rsidRDefault="00546A26" w:rsidP="00546A26">
            <w:pPr>
              <w:jc w:val="both"/>
              <w:rPr>
                <w:rFonts w:ascii="Times New Roman" w:eastAsia="Times New Roman" w:hAnsi="Times New Roman" w:cs="Times New Roman"/>
              </w:rPr>
            </w:pPr>
            <w:r w:rsidRPr="00691052">
              <w:rPr>
                <w:rFonts w:ascii="Times New Roman" w:eastAsia="Times New Roman" w:hAnsi="Times New Roman" w:cs="Times New Roman"/>
              </w:rPr>
              <w:t> </w:t>
            </w:r>
          </w:p>
          <w:p w14:paraId="4B8B682D" w14:textId="2505D93D" w:rsidR="00AD1D04" w:rsidRDefault="0047049E" w:rsidP="00717259">
            <w:pPr>
              <w:rPr>
                <w:rFonts w:ascii="Times New Roman" w:eastAsia="Times New Roman" w:hAnsi="Times New Roman" w:cs="Times New Roman"/>
              </w:rPr>
            </w:pPr>
            <w:r>
              <w:rPr>
                <w:rFonts w:ascii="Times New Roman" w:eastAsia="Times New Roman" w:hAnsi="Times New Roman" w:cs="Times New Roman"/>
              </w:rPr>
              <w:t xml:space="preserve">In </w:t>
            </w:r>
            <w:r>
              <w:rPr>
                <w:rFonts w:ascii="Times New Roman" w:eastAsia="Times New Roman" w:hAnsi="Times New Roman" w:cs="Times New Roman"/>
                <w:i/>
                <w:iCs/>
              </w:rPr>
              <w:t xml:space="preserve">Siry Investment, L.P. v. </w:t>
            </w:r>
            <w:proofErr w:type="spellStart"/>
            <w:r>
              <w:rPr>
                <w:rFonts w:ascii="Times New Roman" w:eastAsia="Times New Roman" w:hAnsi="Times New Roman" w:cs="Times New Roman"/>
                <w:i/>
                <w:iCs/>
              </w:rPr>
              <w:t>Farkhondehpour</w:t>
            </w:r>
            <w:proofErr w:type="spellEnd"/>
            <w:r>
              <w:rPr>
                <w:rFonts w:ascii="Times New Roman" w:eastAsia="Times New Roman" w:hAnsi="Times New Roman" w:cs="Times New Roman"/>
              </w:rPr>
              <w:t xml:space="preserve"> (</w:t>
            </w:r>
            <w:r w:rsidR="00382D5B">
              <w:rPr>
                <w:rFonts w:ascii="Times New Roman" w:eastAsia="Times New Roman" w:hAnsi="Times New Roman" w:cs="Times New Roman"/>
              </w:rPr>
              <w:t xml:space="preserve">July, </w:t>
            </w:r>
            <w:r>
              <w:rPr>
                <w:rFonts w:ascii="Times New Roman" w:eastAsia="Times New Roman" w:hAnsi="Times New Roman" w:cs="Times New Roman"/>
              </w:rPr>
              <w:t xml:space="preserve">2022) 13 Cal.5th 333, </w:t>
            </w:r>
            <w:r w:rsidR="00A86660">
              <w:rPr>
                <w:rFonts w:ascii="Times New Roman" w:eastAsia="Times New Roman" w:hAnsi="Times New Roman" w:cs="Times New Roman"/>
              </w:rPr>
              <w:t xml:space="preserve">a limited partnership formed to renovate and lease a commercial building. </w:t>
            </w:r>
            <w:r w:rsidR="00214C05">
              <w:rPr>
                <w:rFonts w:ascii="Times New Roman" w:eastAsia="Times New Roman" w:hAnsi="Times New Roman" w:cs="Times New Roman"/>
              </w:rPr>
              <w:t>T</w:t>
            </w:r>
            <w:r w:rsidR="00A86660">
              <w:rPr>
                <w:rFonts w:ascii="Times New Roman" w:eastAsia="Times New Roman" w:hAnsi="Times New Roman" w:cs="Times New Roman"/>
              </w:rPr>
              <w:t>he general partner and three other limited partners</w:t>
            </w:r>
            <w:r w:rsidR="00214C05">
              <w:rPr>
                <w:rFonts w:ascii="Times New Roman" w:eastAsia="Times New Roman" w:hAnsi="Times New Roman" w:cs="Times New Roman"/>
              </w:rPr>
              <w:t xml:space="preserve"> created a separate entity</w:t>
            </w:r>
            <w:r w:rsidR="00B04844">
              <w:rPr>
                <w:rFonts w:ascii="Times New Roman" w:eastAsia="Times New Roman" w:hAnsi="Times New Roman" w:cs="Times New Roman"/>
              </w:rPr>
              <w:t xml:space="preserve"> named DTLA</w:t>
            </w:r>
            <w:r w:rsidR="00214C05">
              <w:rPr>
                <w:rFonts w:ascii="Times New Roman" w:eastAsia="Times New Roman" w:hAnsi="Times New Roman" w:cs="Times New Roman"/>
              </w:rPr>
              <w:t xml:space="preserve"> and required the tenants to pay rent to </w:t>
            </w:r>
            <w:r w:rsidR="00B04844">
              <w:rPr>
                <w:rFonts w:ascii="Times New Roman" w:eastAsia="Times New Roman" w:hAnsi="Times New Roman" w:cs="Times New Roman"/>
              </w:rPr>
              <w:t>DTLA</w:t>
            </w:r>
            <w:r w:rsidR="003B4661">
              <w:rPr>
                <w:rFonts w:ascii="Times New Roman" w:eastAsia="Times New Roman" w:hAnsi="Times New Roman" w:cs="Times New Roman"/>
              </w:rPr>
              <w:t xml:space="preserve"> </w:t>
            </w:r>
            <w:r w:rsidR="00382D5B">
              <w:rPr>
                <w:rFonts w:ascii="Times New Roman" w:eastAsia="Times New Roman" w:hAnsi="Times New Roman" w:cs="Times New Roman"/>
              </w:rPr>
              <w:t>which was</w:t>
            </w:r>
            <w:r w:rsidR="003B4661">
              <w:rPr>
                <w:rFonts w:ascii="Times New Roman" w:eastAsia="Times New Roman" w:hAnsi="Times New Roman" w:cs="Times New Roman"/>
              </w:rPr>
              <w:t xml:space="preserve"> to then </w:t>
            </w:r>
            <w:r w:rsidR="001A23A5">
              <w:rPr>
                <w:rFonts w:ascii="Times New Roman" w:eastAsia="Times New Roman" w:hAnsi="Times New Roman" w:cs="Times New Roman"/>
              </w:rPr>
              <w:t>be</w:t>
            </w:r>
            <w:r w:rsidR="003B4661">
              <w:rPr>
                <w:rFonts w:ascii="Times New Roman" w:eastAsia="Times New Roman" w:hAnsi="Times New Roman" w:cs="Times New Roman"/>
              </w:rPr>
              <w:t xml:space="preserve"> transferred to the limited partnership. </w:t>
            </w:r>
            <w:r w:rsidR="001A23A5">
              <w:rPr>
                <w:rFonts w:ascii="Times New Roman" w:eastAsia="Times New Roman" w:hAnsi="Times New Roman" w:cs="Times New Roman"/>
              </w:rPr>
              <w:t>However, s</w:t>
            </w:r>
            <w:r w:rsidR="003B4661">
              <w:rPr>
                <w:rFonts w:ascii="Times New Roman" w:eastAsia="Times New Roman" w:hAnsi="Times New Roman" w:cs="Times New Roman"/>
              </w:rPr>
              <w:t xml:space="preserve">ome </w:t>
            </w:r>
            <w:r w:rsidR="0081750A">
              <w:rPr>
                <w:rFonts w:ascii="Times New Roman" w:eastAsia="Times New Roman" w:hAnsi="Times New Roman" w:cs="Times New Roman"/>
              </w:rPr>
              <w:t xml:space="preserve">but not all of the rental income </w:t>
            </w:r>
            <w:r w:rsidR="00A02E96">
              <w:rPr>
                <w:rFonts w:ascii="Times New Roman" w:eastAsia="Times New Roman" w:hAnsi="Times New Roman" w:cs="Times New Roman"/>
              </w:rPr>
              <w:t xml:space="preserve">was paid </w:t>
            </w:r>
            <w:r w:rsidR="0081750A">
              <w:rPr>
                <w:rFonts w:ascii="Times New Roman" w:eastAsia="Times New Roman" w:hAnsi="Times New Roman" w:cs="Times New Roman"/>
              </w:rPr>
              <w:t>into the limited partnership</w:t>
            </w:r>
            <w:r w:rsidR="009969E8">
              <w:rPr>
                <w:rFonts w:ascii="Times New Roman" w:eastAsia="Times New Roman" w:hAnsi="Times New Roman" w:cs="Times New Roman"/>
              </w:rPr>
              <w:t xml:space="preserve"> while certain amounts remained in DTLA</w:t>
            </w:r>
            <w:r w:rsidR="003B4661">
              <w:rPr>
                <w:rFonts w:ascii="Times New Roman" w:eastAsia="Times New Roman" w:hAnsi="Times New Roman" w:cs="Times New Roman"/>
              </w:rPr>
              <w:t>,</w:t>
            </w:r>
            <w:r w:rsidR="00D63693">
              <w:rPr>
                <w:rFonts w:ascii="Times New Roman" w:eastAsia="Times New Roman" w:hAnsi="Times New Roman" w:cs="Times New Roman"/>
              </w:rPr>
              <w:t xml:space="preserve"> and certain defendant partners also charged personal, non</w:t>
            </w:r>
            <w:r w:rsidR="009969E8">
              <w:rPr>
                <w:rFonts w:ascii="Times New Roman" w:eastAsia="Times New Roman" w:hAnsi="Times New Roman" w:cs="Times New Roman"/>
              </w:rPr>
              <w:t>-</w:t>
            </w:r>
            <w:r w:rsidR="00D63693">
              <w:rPr>
                <w:rFonts w:ascii="Times New Roman" w:eastAsia="Times New Roman" w:hAnsi="Times New Roman" w:cs="Times New Roman"/>
              </w:rPr>
              <w:t>partnership expenses to the partnership</w:t>
            </w:r>
            <w:r w:rsidR="00B04844">
              <w:rPr>
                <w:rFonts w:ascii="Times New Roman" w:eastAsia="Times New Roman" w:hAnsi="Times New Roman" w:cs="Times New Roman"/>
              </w:rPr>
              <w:t>. The Court</w:t>
            </w:r>
            <w:r w:rsidR="00E9079C">
              <w:rPr>
                <w:rFonts w:ascii="Times New Roman" w:eastAsia="Times New Roman" w:hAnsi="Times New Roman" w:cs="Times New Roman"/>
              </w:rPr>
              <w:t xml:space="preserve"> determined “[t]he net effect of these actions was to . . . underpay plaintiff its cash distributions</w:t>
            </w:r>
            <w:r w:rsidR="001E248E">
              <w:rPr>
                <w:rFonts w:ascii="Times New Roman" w:eastAsia="Times New Roman" w:hAnsi="Times New Roman" w:cs="Times New Roman"/>
              </w:rPr>
              <w:t xml:space="preserve"> . . . and ensured that plaintiff remained unaware of the underpayments by misrepresenting to the plaintiff the building’s rental income and the partnership’s expenses, effectively lying to plaintiff about what its cash distributions should have been.” </w:t>
            </w:r>
          </w:p>
          <w:p w14:paraId="2BF3BAA6" w14:textId="77777777" w:rsidR="00AD1D04" w:rsidRDefault="00AD1D04" w:rsidP="00717259">
            <w:pPr>
              <w:rPr>
                <w:rFonts w:ascii="Times New Roman" w:eastAsia="Times New Roman" w:hAnsi="Times New Roman" w:cs="Times New Roman"/>
              </w:rPr>
            </w:pPr>
          </w:p>
          <w:p w14:paraId="483FB01B" w14:textId="063E5639" w:rsidR="00691052" w:rsidRPr="00FD53FA" w:rsidRDefault="00833DC7" w:rsidP="00717259">
            <w:pPr>
              <w:rPr>
                <w:rFonts w:ascii="Times New Roman" w:hAnsi="Times New Roman" w:cs="Times New Roman"/>
              </w:rPr>
            </w:pPr>
            <w:r>
              <w:rPr>
                <w:rFonts w:ascii="Times New Roman" w:eastAsia="Times New Roman" w:hAnsi="Times New Roman" w:cs="Times New Roman"/>
              </w:rPr>
              <w:t>The plaintiff brought suit, and i</w:t>
            </w:r>
            <w:r w:rsidR="00AD1D04">
              <w:rPr>
                <w:rFonts w:ascii="Times New Roman" w:eastAsia="Times New Roman" w:hAnsi="Times New Roman" w:cs="Times New Roman"/>
              </w:rPr>
              <w:t>n addition to ordinary compensatory damages, the plaintiff also sought damages pursuant to section 496</w:t>
            </w:r>
            <w:r w:rsidR="006F56F8">
              <w:rPr>
                <w:rFonts w:ascii="Times New Roman" w:eastAsia="Times New Roman" w:hAnsi="Times New Roman" w:cs="Times New Roman"/>
              </w:rPr>
              <w:t xml:space="preserve">, subdivision </w:t>
            </w:r>
            <w:r w:rsidR="00AD1D04">
              <w:rPr>
                <w:rFonts w:ascii="Times New Roman" w:eastAsia="Times New Roman" w:hAnsi="Times New Roman" w:cs="Times New Roman"/>
              </w:rPr>
              <w:t>(c)</w:t>
            </w:r>
            <w:r w:rsidR="006F56F8">
              <w:rPr>
                <w:rFonts w:ascii="Times New Roman" w:eastAsia="Times New Roman" w:hAnsi="Times New Roman" w:cs="Times New Roman"/>
              </w:rPr>
              <w:t xml:space="preserve"> of the Penal Code</w:t>
            </w:r>
            <w:r w:rsidR="00AD1D04">
              <w:rPr>
                <w:rFonts w:ascii="Times New Roman" w:eastAsia="Times New Roman" w:hAnsi="Times New Roman" w:cs="Times New Roman"/>
              </w:rPr>
              <w:t>, which allows the recovery of three times the amount of actual damages sustained by the plaintiff</w:t>
            </w:r>
            <w:r w:rsidR="00A4274C">
              <w:rPr>
                <w:rFonts w:ascii="Times New Roman" w:eastAsia="Times New Roman" w:hAnsi="Times New Roman" w:cs="Times New Roman"/>
              </w:rPr>
              <w:t xml:space="preserve">, costs of suit, and reasonable attorney’s fees, </w:t>
            </w:r>
            <w:r w:rsidR="00AD1D04">
              <w:rPr>
                <w:rFonts w:ascii="Times New Roman" w:eastAsia="Times New Roman" w:hAnsi="Times New Roman" w:cs="Times New Roman"/>
              </w:rPr>
              <w:t xml:space="preserve">as a </w:t>
            </w:r>
            <w:r w:rsidR="00A4274C">
              <w:rPr>
                <w:rFonts w:ascii="Times New Roman" w:eastAsia="Times New Roman" w:hAnsi="Times New Roman" w:cs="Times New Roman"/>
              </w:rPr>
              <w:t xml:space="preserve">proximate </w:t>
            </w:r>
            <w:r w:rsidR="00AD1D04">
              <w:rPr>
                <w:rFonts w:ascii="Times New Roman" w:eastAsia="Times New Roman" w:hAnsi="Times New Roman" w:cs="Times New Roman"/>
              </w:rPr>
              <w:t xml:space="preserve">result </w:t>
            </w:r>
            <w:r w:rsidR="00A4274C">
              <w:rPr>
                <w:rFonts w:ascii="Times New Roman" w:eastAsia="Times New Roman" w:hAnsi="Times New Roman" w:cs="Times New Roman"/>
              </w:rPr>
              <w:t xml:space="preserve">of a defendant having </w:t>
            </w:r>
            <w:r w:rsidR="006F56F8">
              <w:rPr>
                <w:rFonts w:ascii="Times New Roman" w:eastAsia="Times New Roman" w:hAnsi="Times New Roman" w:cs="Times New Roman"/>
              </w:rPr>
              <w:t>committed the “criminal offense of what is commonly referred to as receiving stolen property”</w:t>
            </w:r>
            <w:r w:rsidR="00A53C77">
              <w:rPr>
                <w:rFonts w:ascii="Times New Roman" w:eastAsia="Times New Roman" w:hAnsi="Times New Roman" w:cs="Times New Roman"/>
              </w:rPr>
              <w:t>,</w:t>
            </w:r>
            <w:r w:rsidR="006F56F8">
              <w:rPr>
                <w:rFonts w:ascii="Times New Roman" w:eastAsia="Times New Roman" w:hAnsi="Times New Roman" w:cs="Times New Roman"/>
              </w:rPr>
              <w:t xml:space="preserve"> as set forth pursuant to section 496(a).</w:t>
            </w:r>
          </w:p>
          <w:p w14:paraId="03267CBD" w14:textId="77777777" w:rsidR="00691052" w:rsidRDefault="00691052" w:rsidP="00717259">
            <w:pPr>
              <w:rPr>
                <w:rFonts w:ascii="Times New Roman" w:hAnsi="Times New Roman" w:cs="Times New Roman"/>
              </w:rPr>
            </w:pPr>
          </w:p>
          <w:p w14:paraId="31FFEE65" w14:textId="55EBF49B" w:rsidR="008F1CD5" w:rsidRDefault="001A06EC" w:rsidP="008F1CD5">
            <w:pPr>
              <w:jc w:val="both"/>
              <w:rPr>
                <w:rFonts w:ascii="Times New Roman" w:hAnsi="Times New Roman" w:cs="Times New Roman"/>
              </w:rPr>
            </w:pPr>
            <w:r>
              <w:rPr>
                <w:rFonts w:ascii="Times New Roman" w:hAnsi="Times New Roman" w:cs="Times New Roman"/>
              </w:rPr>
              <w:lastRenderedPageBreak/>
              <w:t xml:space="preserve">Recognizing that section 496(c) articulates a right to special civil remedies upon violation of section 496(a), </w:t>
            </w:r>
            <w:r w:rsidR="00571600">
              <w:rPr>
                <w:rFonts w:ascii="Times New Roman" w:hAnsi="Times New Roman" w:cs="Times New Roman"/>
              </w:rPr>
              <w:t xml:space="preserve">the Supreme Court declined to follow the line of </w:t>
            </w:r>
            <w:r w:rsidR="001A7C16">
              <w:rPr>
                <w:rFonts w:ascii="Times New Roman" w:hAnsi="Times New Roman" w:cs="Times New Roman"/>
              </w:rPr>
              <w:t xml:space="preserve">published </w:t>
            </w:r>
            <w:r w:rsidR="00571600">
              <w:rPr>
                <w:rFonts w:ascii="Times New Roman" w:hAnsi="Times New Roman" w:cs="Times New Roman"/>
              </w:rPr>
              <w:t xml:space="preserve">California </w:t>
            </w:r>
            <w:r w:rsidR="001A7C16">
              <w:rPr>
                <w:rFonts w:ascii="Times New Roman" w:hAnsi="Times New Roman" w:cs="Times New Roman"/>
              </w:rPr>
              <w:t>decisions</w:t>
            </w:r>
            <w:r w:rsidR="00571600">
              <w:rPr>
                <w:rFonts w:ascii="Times New Roman" w:hAnsi="Times New Roman" w:cs="Times New Roman"/>
              </w:rPr>
              <w:t xml:space="preserve"> declining to award civil plaintiffs with the</w:t>
            </w:r>
            <w:r w:rsidR="0061273B">
              <w:rPr>
                <w:rFonts w:ascii="Times New Roman" w:hAnsi="Times New Roman" w:cs="Times New Roman"/>
              </w:rPr>
              <w:t xml:space="preserve"> extraordinary</w:t>
            </w:r>
            <w:r w:rsidR="00571600">
              <w:rPr>
                <w:rFonts w:ascii="Times New Roman" w:hAnsi="Times New Roman" w:cs="Times New Roman"/>
              </w:rPr>
              <w:t xml:space="preserve"> Penal Code damages </w:t>
            </w:r>
            <w:r w:rsidR="000300F9">
              <w:rPr>
                <w:rFonts w:ascii="Times New Roman" w:hAnsi="Times New Roman" w:cs="Times New Roman"/>
              </w:rPr>
              <w:t>to a plaintiff</w:t>
            </w:r>
            <w:r w:rsidR="0061273B">
              <w:rPr>
                <w:rFonts w:ascii="Times New Roman" w:hAnsi="Times New Roman" w:cs="Times New Roman"/>
              </w:rPr>
              <w:t xml:space="preserve"> </w:t>
            </w:r>
            <w:r w:rsidR="000300F9">
              <w:rPr>
                <w:rFonts w:ascii="Times New Roman" w:hAnsi="Times New Roman" w:cs="Times New Roman"/>
              </w:rPr>
              <w:t>merely alleg</w:t>
            </w:r>
            <w:r w:rsidR="0061273B">
              <w:rPr>
                <w:rFonts w:ascii="Times New Roman" w:hAnsi="Times New Roman" w:cs="Times New Roman"/>
              </w:rPr>
              <w:t>ing</w:t>
            </w:r>
            <w:r w:rsidR="000300F9">
              <w:rPr>
                <w:rFonts w:ascii="Times New Roman" w:hAnsi="Times New Roman" w:cs="Times New Roman"/>
              </w:rPr>
              <w:t xml:space="preserve"> fraud</w:t>
            </w:r>
            <w:r w:rsidR="00566AAF">
              <w:rPr>
                <w:rFonts w:ascii="Times New Roman" w:hAnsi="Times New Roman" w:cs="Times New Roman"/>
              </w:rPr>
              <w:t xml:space="preserve">, </w:t>
            </w:r>
            <w:r w:rsidR="000300F9">
              <w:rPr>
                <w:rFonts w:ascii="Times New Roman" w:hAnsi="Times New Roman" w:cs="Times New Roman"/>
              </w:rPr>
              <w:t>misrepresentation, conversion,</w:t>
            </w:r>
            <w:r w:rsidR="00566AAF">
              <w:rPr>
                <w:rFonts w:ascii="Times New Roman" w:hAnsi="Times New Roman" w:cs="Times New Roman"/>
              </w:rPr>
              <w:t xml:space="preserve"> </w:t>
            </w:r>
            <w:r w:rsidR="00566AAF" w:rsidRPr="000950AC">
              <w:rPr>
                <w:rFonts w:ascii="Times New Roman" w:hAnsi="Times New Roman" w:cs="Times New Roman"/>
                <w:highlight w:val="yellow"/>
              </w:rPr>
              <w:t>breach of fiduciary duty</w:t>
            </w:r>
            <w:r w:rsidR="000300F9">
              <w:rPr>
                <w:rFonts w:ascii="Times New Roman" w:hAnsi="Times New Roman" w:cs="Times New Roman"/>
              </w:rPr>
              <w:t xml:space="preserve"> or some other type of theft that does not involve stolen </w:t>
            </w:r>
            <w:r w:rsidR="00171E44">
              <w:rPr>
                <w:rFonts w:ascii="Times New Roman" w:hAnsi="Times New Roman" w:cs="Times New Roman"/>
              </w:rPr>
              <w:t>“</w:t>
            </w:r>
            <w:r w:rsidR="000300F9">
              <w:rPr>
                <w:rFonts w:ascii="Times New Roman" w:hAnsi="Times New Roman" w:cs="Times New Roman"/>
              </w:rPr>
              <w:t>property.</w:t>
            </w:r>
            <w:r w:rsidR="00171E44">
              <w:rPr>
                <w:rFonts w:ascii="Times New Roman" w:hAnsi="Times New Roman" w:cs="Times New Roman"/>
              </w:rPr>
              <w:t>”</w:t>
            </w:r>
            <w:r w:rsidR="00E52A57">
              <w:rPr>
                <w:rFonts w:ascii="Times New Roman" w:hAnsi="Times New Roman" w:cs="Times New Roman"/>
              </w:rPr>
              <w:t xml:space="preserve"> </w:t>
            </w:r>
            <w:r w:rsidR="00912B11">
              <w:rPr>
                <w:rFonts w:ascii="Times New Roman" w:hAnsi="Times New Roman" w:cs="Times New Roman"/>
              </w:rPr>
              <w:t xml:space="preserve"> </w:t>
            </w:r>
            <w:r w:rsidR="00E52A57">
              <w:rPr>
                <w:rFonts w:ascii="Times New Roman" w:hAnsi="Times New Roman" w:cs="Times New Roman"/>
              </w:rPr>
              <w:t>Instead, the Supreme Court</w:t>
            </w:r>
            <w:r w:rsidR="007D095B">
              <w:rPr>
                <w:rFonts w:ascii="Times New Roman" w:hAnsi="Times New Roman" w:cs="Times New Roman"/>
              </w:rPr>
              <w:t xml:space="preserve"> construed the plain language meaning of the statute</w:t>
            </w:r>
            <w:r w:rsidR="00717B2D">
              <w:rPr>
                <w:rFonts w:ascii="Times New Roman" w:hAnsi="Times New Roman" w:cs="Times New Roman"/>
              </w:rPr>
              <w:t>’</w:t>
            </w:r>
            <w:r w:rsidR="007D095B">
              <w:rPr>
                <w:rFonts w:ascii="Times New Roman" w:hAnsi="Times New Roman" w:cs="Times New Roman"/>
              </w:rPr>
              <w:t xml:space="preserve">s use of the term </w:t>
            </w:r>
            <w:r w:rsidR="00717B2D">
              <w:rPr>
                <w:rFonts w:ascii="Times New Roman" w:hAnsi="Times New Roman" w:cs="Times New Roman"/>
              </w:rPr>
              <w:t>“</w:t>
            </w:r>
            <w:r w:rsidR="00551829">
              <w:rPr>
                <w:rFonts w:ascii="Times New Roman" w:hAnsi="Times New Roman" w:cs="Times New Roman"/>
              </w:rPr>
              <w:t>any</w:t>
            </w:r>
            <w:r w:rsidR="00717B2D">
              <w:rPr>
                <w:rFonts w:ascii="Times New Roman" w:hAnsi="Times New Roman" w:cs="Times New Roman"/>
              </w:rPr>
              <w:t xml:space="preserve"> property </w:t>
            </w:r>
            <w:r w:rsidR="00146241" w:rsidRPr="00146241">
              <w:rPr>
                <w:rFonts w:ascii="Times New Roman" w:hAnsi="Times New Roman" w:cs="Times New Roman"/>
              </w:rPr>
              <w:t>that has been stolen or that has been obtained in any manner constituting theft</w:t>
            </w:r>
            <w:r w:rsidR="00717B2D">
              <w:rPr>
                <w:rFonts w:ascii="Times New Roman" w:hAnsi="Times New Roman" w:cs="Times New Roman"/>
              </w:rPr>
              <w:t>”</w:t>
            </w:r>
            <w:r w:rsidR="008F1CD5">
              <w:rPr>
                <w:rFonts w:ascii="Times New Roman" w:hAnsi="Times New Roman" w:cs="Times New Roman"/>
              </w:rPr>
              <w:t xml:space="preserve"> to conclude that</w:t>
            </w:r>
            <w:r w:rsidR="002F1FF4">
              <w:rPr>
                <w:rFonts w:ascii="Times New Roman" w:hAnsi="Times New Roman" w:cs="Times New Roman"/>
              </w:rPr>
              <w:t xml:space="preserve"> t</w:t>
            </w:r>
            <w:r w:rsidR="002F1FF4" w:rsidRPr="008F1CD5">
              <w:rPr>
                <w:rFonts w:ascii="Times New Roman" w:hAnsi="Times New Roman" w:cs="Times New Roman"/>
              </w:rPr>
              <w:t xml:space="preserve">he </w:t>
            </w:r>
            <w:r w:rsidR="005B2B45">
              <w:rPr>
                <w:rFonts w:ascii="Times New Roman" w:hAnsi="Times New Roman" w:cs="Times New Roman"/>
              </w:rPr>
              <w:t xml:space="preserve">statute’s plain </w:t>
            </w:r>
            <w:r w:rsidR="002F1FF4" w:rsidRPr="008F1CD5">
              <w:rPr>
                <w:rFonts w:ascii="Times New Roman" w:hAnsi="Times New Roman" w:cs="Times New Roman"/>
              </w:rPr>
              <w:t>unambiguous relevant language</w:t>
            </w:r>
            <w:r w:rsidR="008F1CD5">
              <w:rPr>
                <w:rFonts w:ascii="Times New Roman" w:hAnsi="Times New Roman" w:cs="Times New Roman"/>
              </w:rPr>
              <w:t xml:space="preserve"> </w:t>
            </w:r>
            <w:r w:rsidR="002F1FF4">
              <w:rPr>
                <w:rFonts w:ascii="Times New Roman" w:hAnsi="Times New Roman" w:cs="Times New Roman"/>
              </w:rPr>
              <w:t xml:space="preserve">permits a </w:t>
            </w:r>
            <w:r w:rsidR="008F1CD5" w:rsidRPr="008F1CD5">
              <w:rPr>
                <w:rFonts w:ascii="Times New Roman" w:hAnsi="Times New Roman" w:cs="Times New Roman"/>
              </w:rPr>
              <w:t xml:space="preserve">plaintiff </w:t>
            </w:r>
            <w:r w:rsidR="002F1FF4">
              <w:rPr>
                <w:rFonts w:ascii="Times New Roman" w:hAnsi="Times New Roman" w:cs="Times New Roman"/>
              </w:rPr>
              <w:t>to</w:t>
            </w:r>
            <w:r w:rsidR="008F1CD5" w:rsidRPr="008F1CD5">
              <w:rPr>
                <w:rFonts w:ascii="Times New Roman" w:hAnsi="Times New Roman" w:cs="Times New Roman"/>
              </w:rPr>
              <w:t xml:space="preserve"> recover treble damages and attorney</w:t>
            </w:r>
            <w:r w:rsidR="00C31633">
              <w:rPr>
                <w:rFonts w:ascii="Times New Roman" w:hAnsi="Times New Roman" w:cs="Times New Roman"/>
              </w:rPr>
              <w:t>’</w:t>
            </w:r>
            <w:r w:rsidR="008F1CD5" w:rsidRPr="008F1CD5">
              <w:rPr>
                <w:rFonts w:ascii="Times New Roman" w:hAnsi="Times New Roman" w:cs="Times New Roman"/>
              </w:rPr>
              <w:t>s fees under section 496(c) when property has been obtained in any manner constituting theft</w:t>
            </w:r>
            <w:r w:rsidR="00C31633">
              <w:rPr>
                <w:rFonts w:ascii="Times New Roman" w:hAnsi="Times New Roman" w:cs="Times New Roman"/>
              </w:rPr>
              <w:t xml:space="preserve">, including </w:t>
            </w:r>
            <w:r w:rsidR="008F1CD5" w:rsidRPr="008F1CD5">
              <w:rPr>
                <w:rFonts w:ascii="Times New Roman" w:hAnsi="Times New Roman" w:cs="Times New Roman"/>
              </w:rPr>
              <w:t>the fraudulent diversion of partnership funds</w:t>
            </w:r>
            <w:r w:rsidR="002F1FF4">
              <w:rPr>
                <w:rFonts w:ascii="Times New Roman" w:hAnsi="Times New Roman" w:cs="Times New Roman"/>
              </w:rPr>
              <w:t xml:space="preserve"> before the Court</w:t>
            </w:r>
            <w:r w:rsidR="008F1CD5" w:rsidRPr="008F1CD5">
              <w:rPr>
                <w:rFonts w:ascii="Times New Roman" w:hAnsi="Times New Roman" w:cs="Times New Roman"/>
              </w:rPr>
              <w:t>.</w:t>
            </w:r>
          </w:p>
          <w:p w14:paraId="618CA663" w14:textId="77777777" w:rsidR="008F1CD5" w:rsidRDefault="008F1CD5" w:rsidP="008F1CD5">
            <w:pPr>
              <w:jc w:val="both"/>
              <w:rPr>
                <w:rFonts w:ascii="Times New Roman" w:hAnsi="Times New Roman" w:cs="Times New Roman"/>
              </w:rPr>
            </w:pPr>
          </w:p>
          <w:p w14:paraId="4FA9902B" w14:textId="0A695A81" w:rsidR="00717259" w:rsidRPr="00691052" w:rsidRDefault="008F1CD5" w:rsidP="008F1CD5">
            <w:pPr>
              <w:jc w:val="both"/>
              <w:rPr>
                <w:rFonts w:ascii="Times New Roman" w:hAnsi="Times New Roman" w:cs="Times New Roman"/>
              </w:rPr>
            </w:pPr>
            <w:r>
              <w:rPr>
                <w:rFonts w:ascii="Times New Roman" w:hAnsi="Times New Roman" w:cs="Times New Roman"/>
              </w:rPr>
              <w:t>N</w:t>
            </w:r>
            <w:r w:rsidR="00142187">
              <w:rPr>
                <w:rFonts w:ascii="Times New Roman" w:hAnsi="Times New Roman" w:cs="Times New Roman"/>
              </w:rPr>
              <w:t>ot</w:t>
            </w:r>
            <w:r w:rsidR="007D095B">
              <w:rPr>
                <w:rFonts w:ascii="Times New Roman" w:hAnsi="Times New Roman" w:cs="Times New Roman"/>
              </w:rPr>
              <w:t>ing</w:t>
            </w:r>
            <w:r w:rsidR="00142187">
              <w:rPr>
                <w:rFonts w:ascii="Times New Roman" w:hAnsi="Times New Roman" w:cs="Times New Roman"/>
              </w:rPr>
              <w:t xml:space="preserve"> that the “history shows the Legislature believed the deterrent effect of criminal sanctions was not enough to reduce thefts</w:t>
            </w:r>
            <w:r w:rsidR="005B2B45">
              <w:rPr>
                <w:rFonts w:ascii="Times New Roman" w:hAnsi="Times New Roman" w:cs="Times New Roman"/>
              </w:rPr>
              <w:t>,</w:t>
            </w:r>
            <w:r w:rsidR="00142187">
              <w:rPr>
                <w:rFonts w:ascii="Times New Roman" w:hAnsi="Times New Roman" w:cs="Times New Roman"/>
              </w:rPr>
              <w:t>”</w:t>
            </w:r>
            <w:r w:rsidR="001E61B1">
              <w:rPr>
                <w:rFonts w:ascii="Times New Roman" w:hAnsi="Times New Roman" w:cs="Times New Roman"/>
              </w:rPr>
              <w:t xml:space="preserve"> the Court</w:t>
            </w:r>
            <w:r>
              <w:rPr>
                <w:rFonts w:ascii="Times New Roman" w:hAnsi="Times New Roman" w:cs="Times New Roman"/>
              </w:rPr>
              <w:t xml:space="preserve"> agreed that “a criminal conviction is not a prerequisite to recovery of treble damages under section 496(c).”</w:t>
            </w:r>
            <w:r w:rsidR="00912B11">
              <w:rPr>
                <w:rFonts w:ascii="Times New Roman" w:hAnsi="Times New Roman" w:cs="Times New Roman"/>
              </w:rPr>
              <w:t xml:space="preserve">  </w:t>
            </w:r>
            <w:r w:rsidR="001C18D8">
              <w:rPr>
                <w:rFonts w:ascii="Times New Roman" w:hAnsi="Times New Roman" w:cs="Times New Roman"/>
              </w:rPr>
              <w:t>However, in so concluding, the Court observed that not all commercial</w:t>
            </w:r>
            <w:r w:rsidR="001311F9">
              <w:rPr>
                <w:rFonts w:ascii="Times New Roman" w:hAnsi="Times New Roman" w:cs="Times New Roman"/>
              </w:rPr>
              <w:t xml:space="preserve"> theft-related tort</w:t>
            </w:r>
            <w:r w:rsidR="001C18D8">
              <w:rPr>
                <w:rFonts w:ascii="Times New Roman" w:hAnsi="Times New Roman" w:cs="Times New Roman"/>
              </w:rPr>
              <w:t xml:space="preserve"> disputes</w:t>
            </w:r>
            <w:r w:rsidR="0061273B">
              <w:rPr>
                <w:rFonts w:ascii="Times New Roman" w:hAnsi="Times New Roman" w:cs="Times New Roman"/>
              </w:rPr>
              <w:t xml:space="preserve"> </w:t>
            </w:r>
            <w:r w:rsidR="001311F9">
              <w:rPr>
                <w:rFonts w:ascii="Times New Roman" w:hAnsi="Times New Roman" w:cs="Times New Roman"/>
              </w:rPr>
              <w:t>will amount to “theft.”</w:t>
            </w:r>
            <w:r w:rsidR="00912B11">
              <w:rPr>
                <w:rFonts w:ascii="Times New Roman" w:hAnsi="Times New Roman" w:cs="Times New Roman"/>
              </w:rPr>
              <w:t xml:space="preserve"> </w:t>
            </w:r>
            <w:r w:rsidR="001311F9">
              <w:rPr>
                <w:rFonts w:ascii="Times New Roman" w:hAnsi="Times New Roman" w:cs="Times New Roman"/>
              </w:rPr>
              <w:t xml:space="preserve"> Rather, to prove theft and be entitled to the heightened Penal Code damages, </w:t>
            </w:r>
            <w:r w:rsidR="00CF7ADE">
              <w:rPr>
                <w:rFonts w:ascii="Times New Roman" w:hAnsi="Times New Roman" w:cs="Times New Roman"/>
              </w:rPr>
              <w:t>a plaintiff must establish criminal intent on the part of the defendant beyond “</w:t>
            </w:r>
            <w:r w:rsidR="00CF7ADE" w:rsidRPr="00CF7ADE">
              <w:rPr>
                <w:rFonts w:ascii="Times New Roman" w:hAnsi="Times New Roman" w:cs="Times New Roman"/>
              </w:rPr>
              <w:t>mere proof of nonperformance or actual falsity.</w:t>
            </w:r>
            <w:r w:rsidR="00CF7ADE">
              <w:rPr>
                <w:rFonts w:ascii="Times New Roman" w:hAnsi="Times New Roman" w:cs="Times New Roman"/>
              </w:rPr>
              <w:t>”</w:t>
            </w:r>
          </w:p>
          <w:p w14:paraId="7B867A96" w14:textId="77777777" w:rsidR="00717259" w:rsidRPr="00691052" w:rsidRDefault="00717259" w:rsidP="00546A26">
            <w:pPr>
              <w:jc w:val="both"/>
              <w:rPr>
                <w:rFonts w:ascii="Times New Roman" w:eastAsia="Times New Roman" w:hAnsi="Times New Roman" w:cs="Times New Roman"/>
              </w:rPr>
            </w:pPr>
          </w:p>
          <w:p w14:paraId="28DE7740" w14:textId="26036FE5" w:rsidR="00546A26" w:rsidRPr="00691052" w:rsidRDefault="00546A26" w:rsidP="00546A26">
            <w:pPr>
              <w:jc w:val="both"/>
              <w:rPr>
                <w:rFonts w:ascii="Times New Roman" w:eastAsia="Times New Roman" w:hAnsi="Times New Roman" w:cs="Times New Roman"/>
              </w:rPr>
            </w:pPr>
            <w:r w:rsidRPr="00691052">
              <w:rPr>
                <w:rFonts w:ascii="Times New Roman" w:eastAsia="Times New Roman" w:hAnsi="Times New Roman" w:cs="Times New Roman"/>
                <w:b/>
                <w:bCs/>
                <w:u w:val="single"/>
              </w:rPr>
              <w:t>Take Away:</w:t>
            </w:r>
          </w:p>
          <w:p w14:paraId="79919EC0" w14:textId="77777777" w:rsidR="00546A26" w:rsidRPr="00691052" w:rsidRDefault="00546A26" w:rsidP="00546A26">
            <w:pPr>
              <w:jc w:val="both"/>
              <w:rPr>
                <w:rFonts w:ascii="Times New Roman" w:eastAsia="Times New Roman" w:hAnsi="Times New Roman" w:cs="Times New Roman"/>
              </w:rPr>
            </w:pPr>
            <w:r w:rsidRPr="00691052">
              <w:rPr>
                <w:rFonts w:ascii="Times New Roman" w:eastAsia="Times New Roman" w:hAnsi="Times New Roman" w:cs="Times New Roman"/>
              </w:rPr>
              <w:t> </w:t>
            </w:r>
          </w:p>
          <w:p w14:paraId="5089FD53" w14:textId="77777777" w:rsidR="005B2B45" w:rsidRDefault="00E35191" w:rsidP="00717259">
            <w:pPr>
              <w:jc w:val="both"/>
              <w:rPr>
                <w:rFonts w:ascii="Times New Roman" w:eastAsia="Times New Roman" w:hAnsi="Times New Roman" w:cs="Times New Roman"/>
              </w:rPr>
            </w:pPr>
            <w:r>
              <w:rPr>
                <w:rFonts w:ascii="Times New Roman" w:eastAsia="Times New Roman" w:hAnsi="Times New Roman" w:cs="Times New Roman"/>
              </w:rPr>
              <w:t>The Court’s holding has two major implications</w:t>
            </w:r>
            <w:r w:rsidR="005B2B45">
              <w:rPr>
                <w:rFonts w:ascii="Times New Roman" w:eastAsia="Times New Roman" w:hAnsi="Times New Roman" w:cs="Times New Roman"/>
              </w:rPr>
              <w:t>:</w:t>
            </w:r>
            <w:r>
              <w:rPr>
                <w:rFonts w:ascii="Times New Roman" w:eastAsia="Times New Roman" w:hAnsi="Times New Roman" w:cs="Times New Roman"/>
              </w:rPr>
              <w:t xml:space="preserve"> </w:t>
            </w:r>
            <w:r w:rsidR="00912B11">
              <w:rPr>
                <w:rFonts w:ascii="Times New Roman" w:eastAsia="Times New Roman" w:hAnsi="Times New Roman" w:cs="Times New Roman"/>
              </w:rPr>
              <w:t xml:space="preserve"> </w:t>
            </w:r>
          </w:p>
          <w:p w14:paraId="249CA2C0" w14:textId="77777777" w:rsidR="008F1928" w:rsidRDefault="008F1928" w:rsidP="00717259">
            <w:pPr>
              <w:jc w:val="both"/>
              <w:rPr>
                <w:rFonts w:ascii="Times New Roman" w:eastAsia="Times New Roman" w:hAnsi="Times New Roman" w:cs="Times New Roman"/>
                <w:i/>
                <w:iCs/>
              </w:rPr>
            </w:pPr>
          </w:p>
          <w:p w14:paraId="61FF4640" w14:textId="3CBCB62A" w:rsidR="008F1928" w:rsidRDefault="00E35191" w:rsidP="00717259">
            <w:pPr>
              <w:jc w:val="both"/>
              <w:rPr>
                <w:rFonts w:ascii="Times New Roman" w:eastAsia="Times New Roman" w:hAnsi="Times New Roman" w:cs="Times New Roman"/>
              </w:rPr>
            </w:pPr>
            <w:r>
              <w:rPr>
                <w:rFonts w:ascii="Times New Roman" w:eastAsia="Times New Roman" w:hAnsi="Times New Roman" w:cs="Times New Roman"/>
                <w:i/>
                <w:iCs/>
              </w:rPr>
              <w:t xml:space="preserve">First, </w:t>
            </w:r>
            <w:r w:rsidR="00B11059">
              <w:rPr>
                <w:rFonts w:ascii="Times New Roman" w:eastAsia="Times New Roman" w:hAnsi="Times New Roman" w:cs="Times New Roman"/>
              </w:rPr>
              <w:t>limited partners seeking to bring an action for diversion of partnership assets now have precedent to rely upon to recover</w:t>
            </w:r>
            <w:r w:rsidR="003F4C02">
              <w:rPr>
                <w:rFonts w:ascii="Times New Roman" w:eastAsia="Times New Roman" w:hAnsi="Times New Roman" w:cs="Times New Roman"/>
              </w:rPr>
              <w:t>, in addition to the other normally recoverable compensatory damages,</w:t>
            </w:r>
            <w:r w:rsidR="00B11059">
              <w:rPr>
                <w:rFonts w:ascii="Times New Roman" w:eastAsia="Times New Roman" w:hAnsi="Times New Roman" w:cs="Times New Roman"/>
              </w:rPr>
              <w:t xml:space="preserve"> three times the amount of</w:t>
            </w:r>
            <w:r w:rsidR="003F4C02">
              <w:rPr>
                <w:rFonts w:ascii="Times New Roman" w:eastAsia="Times New Roman" w:hAnsi="Times New Roman" w:cs="Times New Roman"/>
              </w:rPr>
              <w:t xml:space="preserve"> said</w:t>
            </w:r>
            <w:r w:rsidR="002A3E27">
              <w:rPr>
                <w:rFonts w:ascii="Times New Roman" w:eastAsia="Times New Roman" w:hAnsi="Times New Roman" w:cs="Times New Roman"/>
              </w:rPr>
              <w:t xml:space="preserve"> compensatory</w:t>
            </w:r>
            <w:r w:rsidR="00B11059">
              <w:rPr>
                <w:rFonts w:ascii="Times New Roman" w:eastAsia="Times New Roman" w:hAnsi="Times New Roman" w:cs="Times New Roman"/>
              </w:rPr>
              <w:t xml:space="preserve"> dam</w:t>
            </w:r>
            <w:r w:rsidR="002A3E27">
              <w:rPr>
                <w:rFonts w:ascii="Times New Roman" w:eastAsia="Times New Roman" w:hAnsi="Times New Roman" w:cs="Times New Roman"/>
              </w:rPr>
              <w:t>a</w:t>
            </w:r>
            <w:r w:rsidR="00B11059">
              <w:rPr>
                <w:rFonts w:ascii="Times New Roman" w:eastAsia="Times New Roman" w:hAnsi="Times New Roman" w:cs="Times New Roman"/>
              </w:rPr>
              <w:t>ges</w:t>
            </w:r>
            <w:r w:rsidR="00A43BC1">
              <w:rPr>
                <w:rFonts w:ascii="Times New Roman" w:eastAsia="Times New Roman" w:hAnsi="Times New Roman" w:cs="Times New Roman"/>
              </w:rPr>
              <w:t xml:space="preserve"> without needing to </w:t>
            </w:r>
            <w:r w:rsidR="004763BA">
              <w:rPr>
                <w:rFonts w:ascii="Times New Roman" w:eastAsia="Times New Roman" w:hAnsi="Times New Roman" w:cs="Times New Roman"/>
              </w:rPr>
              <w:t xml:space="preserve">meet </w:t>
            </w:r>
            <w:r w:rsidR="008F1928">
              <w:rPr>
                <w:rFonts w:ascii="Times New Roman" w:eastAsia="Times New Roman" w:hAnsi="Times New Roman" w:cs="Times New Roman"/>
              </w:rPr>
              <w:t>the</w:t>
            </w:r>
            <w:r w:rsidR="004763BA">
              <w:rPr>
                <w:rFonts w:ascii="Times New Roman" w:eastAsia="Times New Roman" w:hAnsi="Times New Roman" w:cs="Times New Roman"/>
              </w:rPr>
              <w:t xml:space="preserve"> burden of clear and convincing evid</w:t>
            </w:r>
            <w:r w:rsidR="003F4C02">
              <w:rPr>
                <w:rFonts w:ascii="Times New Roman" w:eastAsia="Times New Roman" w:hAnsi="Times New Roman" w:cs="Times New Roman"/>
              </w:rPr>
              <w:t>ence</w:t>
            </w:r>
            <w:r w:rsidR="00C05C22">
              <w:rPr>
                <w:rFonts w:ascii="Times New Roman" w:eastAsia="Times New Roman" w:hAnsi="Times New Roman" w:cs="Times New Roman"/>
              </w:rPr>
              <w:t xml:space="preserve"> as normally required to obtain punitive damages</w:t>
            </w:r>
            <w:r w:rsidR="002A3E27">
              <w:rPr>
                <w:rFonts w:ascii="Times New Roman" w:eastAsia="Times New Roman" w:hAnsi="Times New Roman" w:cs="Times New Roman"/>
              </w:rPr>
              <w:t xml:space="preserve">, as well as </w:t>
            </w:r>
            <w:r w:rsidR="0047049E">
              <w:rPr>
                <w:rFonts w:ascii="Times New Roman" w:eastAsia="Times New Roman" w:hAnsi="Times New Roman" w:cs="Times New Roman"/>
              </w:rPr>
              <w:t xml:space="preserve">to recover </w:t>
            </w:r>
            <w:r w:rsidR="002A3E27">
              <w:rPr>
                <w:rFonts w:ascii="Times New Roman" w:eastAsia="Times New Roman" w:hAnsi="Times New Roman" w:cs="Times New Roman"/>
              </w:rPr>
              <w:t xml:space="preserve">attorney’s fees </w:t>
            </w:r>
            <w:r w:rsidR="0093174B">
              <w:rPr>
                <w:rFonts w:ascii="Times New Roman" w:eastAsia="Times New Roman" w:hAnsi="Times New Roman" w:cs="Times New Roman"/>
              </w:rPr>
              <w:t>regardless of whether or not there is an applicable contractual provision</w:t>
            </w:r>
            <w:r w:rsidR="000B59A8">
              <w:rPr>
                <w:rFonts w:ascii="Times New Roman" w:eastAsia="Times New Roman" w:hAnsi="Times New Roman" w:cs="Times New Roman"/>
              </w:rPr>
              <w:t>.</w:t>
            </w:r>
            <w:r w:rsidR="00912B11">
              <w:rPr>
                <w:rFonts w:ascii="Times New Roman" w:eastAsia="Times New Roman" w:hAnsi="Times New Roman" w:cs="Times New Roman"/>
              </w:rPr>
              <w:t xml:space="preserve"> </w:t>
            </w:r>
            <w:r w:rsidR="000B59A8">
              <w:rPr>
                <w:rFonts w:ascii="Times New Roman" w:eastAsia="Times New Roman" w:hAnsi="Times New Roman" w:cs="Times New Roman"/>
              </w:rPr>
              <w:t xml:space="preserve"> </w:t>
            </w:r>
          </w:p>
          <w:p w14:paraId="699AA135" w14:textId="77777777" w:rsidR="008F1928" w:rsidRDefault="008F1928" w:rsidP="00717259">
            <w:pPr>
              <w:jc w:val="both"/>
              <w:rPr>
                <w:rFonts w:ascii="Times New Roman" w:eastAsia="Times New Roman" w:hAnsi="Times New Roman" w:cs="Times New Roman"/>
                <w:i/>
                <w:iCs/>
              </w:rPr>
            </w:pPr>
          </w:p>
          <w:p w14:paraId="6284170C" w14:textId="1345D817" w:rsidR="00546A26" w:rsidRPr="00B762C3" w:rsidRDefault="000B59A8" w:rsidP="00717259">
            <w:pPr>
              <w:jc w:val="both"/>
              <w:rPr>
                <w:rFonts w:ascii="Times New Roman" w:eastAsia="Times New Roman" w:hAnsi="Times New Roman" w:cs="Times New Roman"/>
              </w:rPr>
            </w:pPr>
            <w:r>
              <w:rPr>
                <w:rFonts w:ascii="Times New Roman" w:eastAsia="Times New Roman" w:hAnsi="Times New Roman" w:cs="Times New Roman"/>
                <w:i/>
                <w:iCs/>
              </w:rPr>
              <w:t xml:space="preserve">Second, </w:t>
            </w:r>
            <w:r>
              <w:rPr>
                <w:rFonts w:ascii="Times New Roman" w:eastAsia="Times New Roman" w:hAnsi="Times New Roman" w:cs="Times New Roman"/>
              </w:rPr>
              <w:t xml:space="preserve">plaintiffs involved in other commercial disputes may also be able to </w:t>
            </w:r>
            <w:r w:rsidR="00B9307C">
              <w:rPr>
                <w:rFonts w:ascii="Times New Roman" w:eastAsia="Times New Roman" w:hAnsi="Times New Roman" w:cs="Times New Roman"/>
              </w:rPr>
              <w:t>recover treble damages and attorney’s fees if the</w:t>
            </w:r>
            <w:r w:rsidR="00552C4E">
              <w:rPr>
                <w:rFonts w:ascii="Times New Roman" w:eastAsia="Times New Roman" w:hAnsi="Times New Roman" w:cs="Times New Roman"/>
              </w:rPr>
              <w:t>y</w:t>
            </w:r>
            <w:r w:rsidR="00B9307C">
              <w:rPr>
                <w:rFonts w:ascii="Times New Roman" w:eastAsia="Times New Roman" w:hAnsi="Times New Roman" w:cs="Times New Roman"/>
              </w:rPr>
              <w:t xml:space="preserve"> plead and prove the requisite criminal intent </w:t>
            </w:r>
            <w:r w:rsidR="00761E27">
              <w:rPr>
                <w:rFonts w:ascii="Times New Roman" w:eastAsia="Times New Roman" w:hAnsi="Times New Roman" w:cs="Times New Roman"/>
              </w:rPr>
              <w:t>under</w:t>
            </w:r>
            <w:r w:rsidR="003A7F50">
              <w:rPr>
                <w:rFonts w:ascii="Times New Roman" w:eastAsia="Times New Roman" w:hAnsi="Times New Roman" w:cs="Times New Roman"/>
              </w:rPr>
              <w:t xml:space="preserve"> this section of the Penal Code. </w:t>
            </w:r>
            <w:r w:rsidR="00912B11">
              <w:rPr>
                <w:rFonts w:ascii="Times New Roman" w:eastAsia="Times New Roman" w:hAnsi="Times New Roman" w:cs="Times New Roman"/>
              </w:rPr>
              <w:t xml:space="preserve"> </w:t>
            </w:r>
            <w:r w:rsidR="00D832D4">
              <w:rPr>
                <w:rFonts w:ascii="Times New Roman" w:eastAsia="Times New Roman" w:hAnsi="Times New Roman" w:cs="Times New Roman"/>
              </w:rPr>
              <w:t xml:space="preserve">The implications are equally as strong for defendants:  The stronger the basis of any fraud claim, the greater the risk. </w:t>
            </w:r>
          </w:p>
          <w:p w14:paraId="00750566" w14:textId="77777777" w:rsidR="00546A26" w:rsidRPr="00691052" w:rsidRDefault="00546A26" w:rsidP="00546A26">
            <w:pPr>
              <w:jc w:val="both"/>
              <w:rPr>
                <w:rFonts w:ascii="Times New Roman" w:eastAsia="Times New Roman" w:hAnsi="Times New Roman" w:cs="Times New Roman"/>
              </w:rPr>
            </w:pPr>
            <w:r w:rsidRPr="00691052">
              <w:rPr>
                <w:rFonts w:ascii="Times New Roman" w:eastAsia="Times New Roman" w:hAnsi="Times New Roman" w:cs="Times New Roman"/>
              </w:rPr>
              <w:t> </w:t>
            </w:r>
          </w:p>
          <w:p w14:paraId="245CCBF5" w14:textId="2F090F2D" w:rsidR="00546A26" w:rsidRPr="00691052" w:rsidRDefault="00546A26" w:rsidP="00546A26">
            <w:pPr>
              <w:jc w:val="both"/>
              <w:rPr>
                <w:rFonts w:ascii="Times New Roman" w:eastAsia="Times New Roman" w:hAnsi="Times New Roman" w:cs="Times New Roman"/>
              </w:rPr>
            </w:pPr>
            <w:r w:rsidRPr="00691052">
              <w:rPr>
                <w:rFonts w:ascii="Times New Roman" w:eastAsia="Times New Roman" w:hAnsi="Times New Roman" w:cs="Times New Roman"/>
              </w:rPr>
              <w:t>By:</w:t>
            </w:r>
            <w:r w:rsidR="000A49FF">
              <w:rPr>
                <w:rFonts w:ascii="Times New Roman" w:eastAsia="Times New Roman" w:hAnsi="Times New Roman" w:cs="Times New Roman"/>
              </w:rPr>
              <w:tab/>
            </w:r>
            <w:r w:rsidRPr="00691052">
              <w:rPr>
                <w:rFonts w:ascii="Times New Roman" w:eastAsia="Times New Roman" w:hAnsi="Times New Roman" w:cs="Times New Roman"/>
              </w:rPr>
              <w:t>Clifford R. Horner, Esq.</w:t>
            </w:r>
          </w:p>
          <w:p w14:paraId="17094ECC" w14:textId="7DB5BF14" w:rsidR="00546A26" w:rsidRPr="00691052" w:rsidRDefault="000A49FF" w:rsidP="00546A26">
            <w:pPr>
              <w:jc w:val="both"/>
              <w:rPr>
                <w:rFonts w:ascii="Times New Roman" w:eastAsia="Times New Roman" w:hAnsi="Times New Roman" w:cs="Times New Roman"/>
              </w:rPr>
            </w:pPr>
            <w:r>
              <w:rPr>
                <w:rFonts w:ascii="Times New Roman" w:eastAsia="Times New Roman" w:hAnsi="Times New Roman" w:cs="Times New Roman"/>
              </w:rPr>
              <w:tab/>
              <w:t>Daniel Boord</w:t>
            </w:r>
            <w:r w:rsidR="00546A26" w:rsidRPr="00691052">
              <w:rPr>
                <w:rFonts w:ascii="Times New Roman" w:eastAsia="Times New Roman" w:hAnsi="Times New Roman" w:cs="Times New Roman"/>
              </w:rPr>
              <w:t>, Esq.</w:t>
            </w:r>
          </w:p>
        </w:tc>
      </w:tr>
      <w:tr w:rsidR="000A49FF" w:rsidRPr="00691052" w14:paraId="796DA090" w14:textId="77777777" w:rsidTr="00691052">
        <w:trPr>
          <w:trHeight w:val="300"/>
        </w:trPr>
        <w:tc>
          <w:tcPr>
            <w:tcW w:w="0" w:type="auto"/>
            <w:tcMar>
              <w:top w:w="150" w:type="dxa"/>
              <w:left w:w="300" w:type="dxa"/>
              <w:bottom w:w="150" w:type="dxa"/>
              <w:right w:w="300" w:type="dxa"/>
            </w:tcMar>
          </w:tcPr>
          <w:p w14:paraId="2C9C0B63" w14:textId="77777777" w:rsidR="000A49FF" w:rsidRPr="00691052" w:rsidRDefault="000A49FF" w:rsidP="00546A26">
            <w:pPr>
              <w:rPr>
                <w:rFonts w:ascii="Times New Roman" w:eastAsia="Times New Roman" w:hAnsi="Times New Roman" w:cs="Times New Roman"/>
                <w:b/>
                <w:bCs/>
                <w:u w:val="single"/>
              </w:rPr>
            </w:pPr>
          </w:p>
        </w:tc>
      </w:tr>
    </w:tbl>
    <w:p w14:paraId="0EDC9902" w14:textId="77777777" w:rsidR="00C85573" w:rsidRPr="00691052" w:rsidRDefault="00C85573"/>
    <w:sectPr w:rsidR="00C85573" w:rsidRPr="006910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A26"/>
    <w:rsid w:val="00015E8B"/>
    <w:rsid w:val="00021BC5"/>
    <w:rsid w:val="000300F9"/>
    <w:rsid w:val="000447E1"/>
    <w:rsid w:val="00065558"/>
    <w:rsid w:val="000950AC"/>
    <w:rsid w:val="000A49FF"/>
    <w:rsid w:val="000B59A8"/>
    <w:rsid w:val="00105C1B"/>
    <w:rsid w:val="001311F9"/>
    <w:rsid w:val="00142187"/>
    <w:rsid w:val="00146241"/>
    <w:rsid w:val="00171E44"/>
    <w:rsid w:val="001A06EC"/>
    <w:rsid w:val="001A0D7A"/>
    <w:rsid w:val="001A23A5"/>
    <w:rsid w:val="001A7C16"/>
    <w:rsid w:val="001C18D8"/>
    <w:rsid w:val="001C7F99"/>
    <w:rsid w:val="001E248E"/>
    <w:rsid w:val="001E61B1"/>
    <w:rsid w:val="001F71DE"/>
    <w:rsid w:val="00207D35"/>
    <w:rsid w:val="00214C05"/>
    <w:rsid w:val="002A3E27"/>
    <w:rsid w:val="002B631F"/>
    <w:rsid w:val="002D0E48"/>
    <w:rsid w:val="002F1FF4"/>
    <w:rsid w:val="00307445"/>
    <w:rsid w:val="00333FBC"/>
    <w:rsid w:val="00360A5D"/>
    <w:rsid w:val="00382D5B"/>
    <w:rsid w:val="003A4B9F"/>
    <w:rsid w:val="003A7F50"/>
    <w:rsid w:val="003B4661"/>
    <w:rsid w:val="003D11D6"/>
    <w:rsid w:val="003F4C02"/>
    <w:rsid w:val="00463428"/>
    <w:rsid w:val="0047049E"/>
    <w:rsid w:val="004763BA"/>
    <w:rsid w:val="004B2129"/>
    <w:rsid w:val="00537158"/>
    <w:rsid w:val="00546A26"/>
    <w:rsid w:val="00551829"/>
    <w:rsid w:val="00552C4E"/>
    <w:rsid w:val="00566AAF"/>
    <w:rsid w:val="00571600"/>
    <w:rsid w:val="005924EF"/>
    <w:rsid w:val="005B2B45"/>
    <w:rsid w:val="0061273B"/>
    <w:rsid w:val="00620F55"/>
    <w:rsid w:val="00686E91"/>
    <w:rsid w:val="00691052"/>
    <w:rsid w:val="006D6B3E"/>
    <w:rsid w:val="006F56F8"/>
    <w:rsid w:val="00717259"/>
    <w:rsid w:val="00717B2D"/>
    <w:rsid w:val="00761E27"/>
    <w:rsid w:val="007673E5"/>
    <w:rsid w:val="007D095B"/>
    <w:rsid w:val="0081750A"/>
    <w:rsid w:val="00833DC7"/>
    <w:rsid w:val="008724CC"/>
    <w:rsid w:val="00897E8F"/>
    <w:rsid w:val="008C2030"/>
    <w:rsid w:val="008F1928"/>
    <w:rsid w:val="008F1CD5"/>
    <w:rsid w:val="00912B11"/>
    <w:rsid w:val="0093174B"/>
    <w:rsid w:val="009471C3"/>
    <w:rsid w:val="009537CB"/>
    <w:rsid w:val="009622C5"/>
    <w:rsid w:val="009969E8"/>
    <w:rsid w:val="009A2DB3"/>
    <w:rsid w:val="009C09B9"/>
    <w:rsid w:val="009F0229"/>
    <w:rsid w:val="00A01685"/>
    <w:rsid w:val="00A02E96"/>
    <w:rsid w:val="00A04857"/>
    <w:rsid w:val="00A4274C"/>
    <w:rsid w:val="00A43BC1"/>
    <w:rsid w:val="00A53C77"/>
    <w:rsid w:val="00A86660"/>
    <w:rsid w:val="00AD1D04"/>
    <w:rsid w:val="00B04844"/>
    <w:rsid w:val="00B11059"/>
    <w:rsid w:val="00B762C3"/>
    <w:rsid w:val="00B90C1A"/>
    <w:rsid w:val="00B9307C"/>
    <w:rsid w:val="00B94C18"/>
    <w:rsid w:val="00BA2B40"/>
    <w:rsid w:val="00C0251F"/>
    <w:rsid w:val="00C05283"/>
    <w:rsid w:val="00C05C22"/>
    <w:rsid w:val="00C16FFB"/>
    <w:rsid w:val="00C31633"/>
    <w:rsid w:val="00C61771"/>
    <w:rsid w:val="00C85573"/>
    <w:rsid w:val="00CF7ADE"/>
    <w:rsid w:val="00D22078"/>
    <w:rsid w:val="00D63693"/>
    <w:rsid w:val="00D736E7"/>
    <w:rsid w:val="00D832D4"/>
    <w:rsid w:val="00DC56AF"/>
    <w:rsid w:val="00DF15CE"/>
    <w:rsid w:val="00E137F0"/>
    <w:rsid w:val="00E35191"/>
    <w:rsid w:val="00E52A57"/>
    <w:rsid w:val="00E67E1C"/>
    <w:rsid w:val="00E9079C"/>
    <w:rsid w:val="00ED349B"/>
    <w:rsid w:val="00F03E77"/>
    <w:rsid w:val="00F541BC"/>
    <w:rsid w:val="00F709B2"/>
    <w:rsid w:val="00FA3E59"/>
    <w:rsid w:val="00FD5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7C0BA"/>
  <w15:chartTrackingRefBased/>
  <w15:docId w15:val="{51A1975C-6972-F04F-8318-233856A16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46A26"/>
  </w:style>
  <w:style w:type="character" w:styleId="Emphasis">
    <w:name w:val="Emphasis"/>
    <w:basedOn w:val="DefaultParagraphFont"/>
    <w:uiPriority w:val="20"/>
    <w:qFormat/>
    <w:rsid w:val="00546A26"/>
    <w:rPr>
      <w:i/>
      <w:iCs/>
    </w:rPr>
  </w:style>
  <w:style w:type="character" w:customStyle="1" w:styleId="cosearchterm">
    <w:name w:val="co_searchterm"/>
    <w:basedOn w:val="DefaultParagraphFont"/>
    <w:rsid w:val="00546A26"/>
  </w:style>
  <w:style w:type="character" w:styleId="Hyperlink">
    <w:name w:val="Hyperlink"/>
    <w:basedOn w:val="DefaultParagraphFont"/>
    <w:uiPriority w:val="99"/>
    <w:semiHidden/>
    <w:unhideWhenUsed/>
    <w:rsid w:val="00546A26"/>
    <w:rPr>
      <w:color w:val="0000FF"/>
      <w:u w:val="single"/>
    </w:rPr>
  </w:style>
  <w:style w:type="character" w:customStyle="1" w:styleId="costarpage">
    <w:name w:val="co_starpage"/>
    <w:basedOn w:val="DefaultParagraphFont"/>
    <w:rsid w:val="00546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52942">
      <w:bodyDiv w:val="1"/>
      <w:marLeft w:val="0"/>
      <w:marRight w:val="0"/>
      <w:marTop w:val="0"/>
      <w:marBottom w:val="0"/>
      <w:divBdr>
        <w:top w:val="none" w:sz="0" w:space="0" w:color="auto"/>
        <w:left w:val="none" w:sz="0" w:space="0" w:color="auto"/>
        <w:bottom w:val="none" w:sz="0" w:space="0" w:color="auto"/>
        <w:right w:val="none" w:sz="0" w:space="0" w:color="auto"/>
      </w:divBdr>
    </w:div>
    <w:div w:id="650402083">
      <w:bodyDiv w:val="1"/>
      <w:marLeft w:val="0"/>
      <w:marRight w:val="0"/>
      <w:marTop w:val="0"/>
      <w:marBottom w:val="0"/>
      <w:divBdr>
        <w:top w:val="none" w:sz="0" w:space="0" w:color="auto"/>
        <w:left w:val="none" w:sz="0" w:space="0" w:color="auto"/>
        <w:bottom w:val="none" w:sz="0" w:space="0" w:color="auto"/>
        <w:right w:val="none" w:sz="0" w:space="0" w:color="auto"/>
      </w:divBdr>
    </w:div>
    <w:div w:id="728841952">
      <w:bodyDiv w:val="1"/>
      <w:marLeft w:val="0"/>
      <w:marRight w:val="0"/>
      <w:marTop w:val="0"/>
      <w:marBottom w:val="0"/>
      <w:divBdr>
        <w:top w:val="none" w:sz="0" w:space="0" w:color="auto"/>
        <w:left w:val="none" w:sz="0" w:space="0" w:color="auto"/>
        <w:bottom w:val="none" w:sz="0" w:space="0" w:color="auto"/>
        <w:right w:val="none" w:sz="0" w:space="0" w:color="auto"/>
      </w:divBdr>
      <w:divsChild>
        <w:div w:id="1850368274">
          <w:marLeft w:val="0"/>
          <w:marRight w:val="0"/>
          <w:marTop w:val="0"/>
          <w:marBottom w:val="0"/>
          <w:divBdr>
            <w:top w:val="none" w:sz="0" w:space="0" w:color="auto"/>
            <w:left w:val="none" w:sz="0" w:space="0" w:color="auto"/>
            <w:bottom w:val="none" w:sz="0" w:space="0" w:color="auto"/>
            <w:right w:val="none" w:sz="0" w:space="0" w:color="auto"/>
          </w:divBdr>
          <w:divsChild>
            <w:div w:id="1839730832">
              <w:marLeft w:val="0"/>
              <w:marRight w:val="0"/>
              <w:marTop w:val="0"/>
              <w:marBottom w:val="0"/>
              <w:divBdr>
                <w:top w:val="none" w:sz="0" w:space="0" w:color="auto"/>
                <w:left w:val="none" w:sz="0" w:space="0" w:color="auto"/>
                <w:bottom w:val="none" w:sz="0" w:space="0" w:color="auto"/>
                <w:right w:val="none" w:sz="0" w:space="0" w:color="auto"/>
              </w:divBdr>
              <w:divsChild>
                <w:div w:id="201680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589552">
          <w:marLeft w:val="0"/>
          <w:marRight w:val="0"/>
          <w:marTop w:val="0"/>
          <w:marBottom w:val="0"/>
          <w:divBdr>
            <w:top w:val="none" w:sz="0" w:space="0" w:color="auto"/>
            <w:left w:val="none" w:sz="0" w:space="0" w:color="auto"/>
            <w:bottom w:val="none" w:sz="0" w:space="0" w:color="auto"/>
            <w:right w:val="none" w:sz="0" w:space="0" w:color="auto"/>
          </w:divBdr>
          <w:divsChild>
            <w:div w:id="23750502">
              <w:marLeft w:val="0"/>
              <w:marRight w:val="0"/>
              <w:marTop w:val="0"/>
              <w:marBottom w:val="0"/>
              <w:divBdr>
                <w:top w:val="none" w:sz="0" w:space="0" w:color="auto"/>
                <w:left w:val="none" w:sz="0" w:space="0" w:color="auto"/>
                <w:bottom w:val="none" w:sz="0" w:space="0" w:color="auto"/>
                <w:right w:val="none" w:sz="0" w:space="0" w:color="auto"/>
              </w:divBdr>
              <w:divsChild>
                <w:div w:id="32108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315">
          <w:marLeft w:val="0"/>
          <w:marRight w:val="0"/>
          <w:marTop w:val="0"/>
          <w:marBottom w:val="0"/>
          <w:divBdr>
            <w:top w:val="none" w:sz="0" w:space="0" w:color="auto"/>
            <w:left w:val="none" w:sz="0" w:space="0" w:color="auto"/>
            <w:bottom w:val="none" w:sz="0" w:space="0" w:color="auto"/>
            <w:right w:val="none" w:sz="0" w:space="0" w:color="auto"/>
          </w:divBdr>
          <w:divsChild>
            <w:div w:id="1132940973">
              <w:marLeft w:val="0"/>
              <w:marRight w:val="0"/>
              <w:marTop w:val="0"/>
              <w:marBottom w:val="0"/>
              <w:divBdr>
                <w:top w:val="none" w:sz="0" w:space="0" w:color="auto"/>
                <w:left w:val="none" w:sz="0" w:space="0" w:color="auto"/>
                <w:bottom w:val="none" w:sz="0" w:space="0" w:color="auto"/>
                <w:right w:val="none" w:sz="0" w:space="0" w:color="auto"/>
              </w:divBdr>
            </w:div>
          </w:divsChild>
        </w:div>
        <w:div w:id="1685788521">
          <w:marLeft w:val="0"/>
          <w:marRight w:val="0"/>
          <w:marTop w:val="0"/>
          <w:marBottom w:val="0"/>
          <w:divBdr>
            <w:top w:val="none" w:sz="0" w:space="0" w:color="auto"/>
            <w:left w:val="none" w:sz="0" w:space="0" w:color="auto"/>
            <w:bottom w:val="none" w:sz="0" w:space="0" w:color="auto"/>
            <w:right w:val="none" w:sz="0" w:space="0" w:color="auto"/>
          </w:divBdr>
          <w:divsChild>
            <w:div w:id="1803227874">
              <w:marLeft w:val="0"/>
              <w:marRight w:val="0"/>
              <w:marTop w:val="0"/>
              <w:marBottom w:val="0"/>
              <w:divBdr>
                <w:top w:val="none" w:sz="0" w:space="0" w:color="auto"/>
                <w:left w:val="none" w:sz="0" w:space="0" w:color="auto"/>
                <w:bottom w:val="none" w:sz="0" w:space="0" w:color="auto"/>
                <w:right w:val="none" w:sz="0" w:space="0" w:color="auto"/>
              </w:divBdr>
              <w:divsChild>
                <w:div w:id="7097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804097">
      <w:bodyDiv w:val="1"/>
      <w:marLeft w:val="0"/>
      <w:marRight w:val="0"/>
      <w:marTop w:val="0"/>
      <w:marBottom w:val="0"/>
      <w:divBdr>
        <w:top w:val="none" w:sz="0" w:space="0" w:color="auto"/>
        <w:left w:val="none" w:sz="0" w:space="0" w:color="auto"/>
        <w:bottom w:val="none" w:sz="0" w:space="0" w:color="auto"/>
        <w:right w:val="none" w:sz="0" w:space="0" w:color="auto"/>
      </w:divBdr>
    </w:div>
    <w:div w:id="1028070086">
      <w:bodyDiv w:val="1"/>
      <w:marLeft w:val="0"/>
      <w:marRight w:val="0"/>
      <w:marTop w:val="0"/>
      <w:marBottom w:val="0"/>
      <w:divBdr>
        <w:top w:val="none" w:sz="0" w:space="0" w:color="auto"/>
        <w:left w:val="none" w:sz="0" w:space="0" w:color="auto"/>
        <w:bottom w:val="none" w:sz="0" w:space="0" w:color="auto"/>
        <w:right w:val="none" w:sz="0" w:space="0" w:color="auto"/>
      </w:divBdr>
      <w:divsChild>
        <w:div w:id="272636599">
          <w:marLeft w:val="0"/>
          <w:marRight w:val="0"/>
          <w:marTop w:val="0"/>
          <w:marBottom w:val="0"/>
          <w:divBdr>
            <w:top w:val="none" w:sz="0" w:space="0" w:color="auto"/>
            <w:left w:val="none" w:sz="0" w:space="0" w:color="auto"/>
            <w:bottom w:val="none" w:sz="0" w:space="0" w:color="auto"/>
            <w:right w:val="none" w:sz="0" w:space="0" w:color="auto"/>
          </w:divBdr>
        </w:div>
        <w:div w:id="47925668">
          <w:marLeft w:val="0"/>
          <w:marRight w:val="0"/>
          <w:marTop w:val="240"/>
          <w:marBottom w:val="0"/>
          <w:divBdr>
            <w:top w:val="none" w:sz="0" w:space="0" w:color="auto"/>
            <w:left w:val="none" w:sz="0" w:space="0" w:color="auto"/>
            <w:bottom w:val="none" w:sz="0" w:space="0" w:color="auto"/>
            <w:right w:val="none" w:sz="0" w:space="0" w:color="auto"/>
          </w:divBdr>
          <w:divsChild>
            <w:div w:id="196249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541033">
      <w:bodyDiv w:val="1"/>
      <w:marLeft w:val="0"/>
      <w:marRight w:val="0"/>
      <w:marTop w:val="0"/>
      <w:marBottom w:val="0"/>
      <w:divBdr>
        <w:top w:val="none" w:sz="0" w:space="0" w:color="auto"/>
        <w:left w:val="none" w:sz="0" w:space="0" w:color="auto"/>
        <w:bottom w:val="none" w:sz="0" w:space="0" w:color="auto"/>
        <w:right w:val="none" w:sz="0" w:space="0" w:color="auto"/>
      </w:divBdr>
    </w:div>
    <w:div w:id="1485051095">
      <w:bodyDiv w:val="1"/>
      <w:marLeft w:val="0"/>
      <w:marRight w:val="0"/>
      <w:marTop w:val="0"/>
      <w:marBottom w:val="0"/>
      <w:divBdr>
        <w:top w:val="none" w:sz="0" w:space="0" w:color="auto"/>
        <w:left w:val="none" w:sz="0" w:space="0" w:color="auto"/>
        <w:bottom w:val="none" w:sz="0" w:space="0" w:color="auto"/>
        <w:right w:val="none" w:sz="0" w:space="0" w:color="auto"/>
      </w:divBdr>
    </w:div>
    <w:div w:id="1521817297">
      <w:bodyDiv w:val="1"/>
      <w:marLeft w:val="0"/>
      <w:marRight w:val="0"/>
      <w:marTop w:val="0"/>
      <w:marBottom w:val="0"/>
      <w:divBdr>
        <w:top w:val="none" w:sz="0" w:space="0" w:color="auto"/>
        <w:left w:val="none" w:sz="0" w:space="0" w:color="auto"/>
        <w:bottom w:val="none" w:sz="0" w:space="0" w:color="auto"/>
        <w:right w:val="none" w:sz="0" w:space="0" w:color="auto"/>
      </w:divBdr>
      <w:divsChild>
        <w:div w:id="454715090">
          <w:marLeft w:val="0"/>
          <w:marRight w:val="0"/>
          <w:marTop w:val="240"/>
          <w:marBottom w:val="0"/>
          <w:divBdr>
            <w:top w:val="none" w:sz="0" w:space="0" w:color="auto"/>
            <w:left w:val="none" w:sz="0" w:space="0" w:color="auto"/>
            <w:bottom w:val="none" w:sz="0" w:space="0" w:color="auto"/>
            <w:right w:val="none" w:sz="0" w:space="0" w:color="auto"/>
          </w:divBdr>
          <w:divsChild>
            <w:div w:id="1153059906">
              <w:marLeft w:val="0"/>
              <w:marRight w:val="0"/>
              <w:marTop w:val="0"/>
              <w:marBottom w:val="0"/>
              <w:divBdr>
                <w:top w:val="none" w:sz="0" w:space="0" w:color="auto"/>
                <w:left w:val="none" w:sz="0" w:space="0" w:color="auto"/>
                <w:bottom w:val="none" w:sz="0" w:space="0" w:color="auto"/>
                <w:right w:val="none" w:sz="0" w:space="0" w:color="auto"/>
              </w:divBdr>
            </w:div>
          </w:divsChild>
        </w:div>
        <w:div w:id="2139444749">
          <w:marLeft w:val="0"/>
          <w:marRight w:val="0"/>
          <w:marTop w:val="240"/>
          <w:marBottom w:val="0"/>
          <w:divBdr>
            <w:top w:val="none" w:sz="0" w:space="0" w:color="auto"/>
            <w:left w:val="none" w:sz="0" w:space="0" w:color="auto"/>
            <w:bottom w:val="none" w:sz="0" w:space="0" w:color="auto"/>
            <w:right w:val="none" w:sz="0" w:space="0" w:color="auto"/>
          </w:divBdr>
          <w:divsChild>
            <w:div w:id="57196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2828">
      <w:bodyDiv w:val="1"/>
      <w:marLeft w:val="0"/>
      <w:marRight w:val="0"/>
      <w:marTop w:val="0"/>
      <w:marBottom w:val="0"/>
      <w:divBdr>
        <w:top w:val="none" w:sz="0" w:space="0" w:color="auto"/>
        <w:left w:val="none" w:sz="0" w:space="0" w:color="auto"/>
        <w:bottom w:val="none" w:sz="0" w:space="0" w:color="auto"/>
        <w:right w:val="none" w:sz="0" w:space="0" w:color="auto"/>
      </w:divBdr>
    </w:div>
    <w:div w:id="1725711952">
      <w:bodyDiv w:val="1"/>
      <w:marLeft w:val="0"/>
      <w:marRight w:val="0"/>
      <w:marTop w:val="0"/>
      <w:marBottom w:val="0"/>
      <w:divBdr>
        <w:top w:val="none" w:sz="0" w:space="0" w:color="auto"/>
        <w:left w:val="none" w:sz="0" w:space="0" w:color="auto"/>
        <w:bottom w:val="none" w:sz="0" w:space="0" w:color="auto"/>
        <w:right w:val="none" w:sz="0" w:space="0" w:color="auto"/>
      </w:divBdr>
    </w:div>
    <w:div w:id="186813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2</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Hifai</dc:creator>
  <cp:keywords/>
  <dc:description/>
  <cp:lastModifiedBy>Stacey O'Brien</cp:lastModifiedBy>
  <cp:revision>19</cp:revision>
  <dcterms:created xsi:type="dcterms:W3CDTF">2022-08-12T23:28:00Z</dcterms:created>
  <dcterms:modified xsi:type="dcterms:W3CDTF">2023-10-24T21:47:00Z</dcterms:modified>
</cp:coreProperties>
</file>