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96C5" w14:textId="12666BB2" w:rsidR="009D63B2" w:rsidRPr="00C1495A" w:rsidRDefault="009D63B2" w:rsidP="00C1495A">
      <w:pPr>
        <w:shd w:val="clear" w:color="auto" w:fill="E6AC00"/>
        <w:jc w:val="cente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0DAAFE5A" w:rsidR="009D63B2" w:rsidRDefault="00AA7202" w:rsidP="02982C1A">
      <w:pPr>
        <w:shd w:val="clear" w:color="auto" w:fill="1F3864" w:themeFill="accent1" w:themeFillShade="80"/>
        <w:spacing w:before="80" w:after="60"/>
        <w:jc w:val="center"/>
      </w:pPr>
      <w:r>
        <w:rPr>
          <w:b/>
          <w:bCs/>
          <w:i/>
          <w:iCs/>
          <w:color w:val="1155CC"/>
        </w:rPr>
        <w:t xml:space="preserve">Soul to Sole </w:t>
      </w:r>
      <w:proofErr w:type="spellStart"/>
      <w:r>
        <w:rPr>
          <w:b/>
          <w:bCs/>
          <w:i/>
          <w:iCs/>
          <w:color w:val="1155CC"/>
        </w:rPr>
        <w:t>Holistics</w:t>
      </w:r>
      <w:proofErr w:type="spellEnd"/>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1DE0F31F" w:rsidR="009D63B2" w:rsidRDefault="24663213">
      <w:pPr>
        <w:spacing w:before="80" w:after="120"/>
      </w:pPr>
      <w:r w:rsidRPr="02982C1A">
        <w:rPr>
          <w:sz w:val="20"/>
          <w:szCs w:val="20"/>
        </w:rPr>
        <w:t xml:space="preserve">This document sets out the </w:t>
      </w:r>
      <w:proofErr w:type="gramStart"/>
      <w:r w:rsidRPr="02982C1A">
        <w:rPr>
          <w:sz w:val="20"/>
          <w:szCs w:val="20"/>
        </w:rPr>
        <w:t>complaints</w:t>
      </w:r>
      <w:proofErr w:type="gramEnd"/>
      <w:r w:rsidRPr="02982C1A">
        <w:rPr>
          <w:sz w:val="20"/>
          <w:szCs w:val="20"/>
        </w:rPr>
        <w:t xml:space="preserve"> procedure for </w:t>
      </w:r>
      <w:r w:rsidR="00C1495A" w:rsidRPr="00C1495A">
        <w:rPr>
          <w:b/>
          <w:bCs/>
          <w:i/>
          <w:iCs/>
          <w:color w:val="auto"/>
          <w:sz w:val="20"/>
          <w:szCs w:val="20"/>
        </w:rPr>
        <w:t xml:space="preserve">Soul to Sole </w:t>
      </w:r>
      <w:proofErr w:type="spellStart"/>
      <w:r w:rsidR="00C1495A" w:rsidRPr="00C1495A">
        <w:rPr>
          <w:b/>
          <w:bCs/>
          <w:i/>
          <w:iCs/>
          <w:color w:val="auto"/>
          <w:sz w:val="20"/>
          <w:szCs w:val="20"/>
        </w:rPr>
        <w:t>Holistics</w:t>
      </w:r>
      <w:proofErr w:type="spellEnd"/>
      <w:r w:rsidRPr="00C1495A">
        <w:rPr>
          <w:color w:val="auto"/>
          <w:sz w:val="20"/>
          <w:szCs w:val="20"/>
        </w:rPr>
        <w:t xml:space="preserve"> </w:t>
      </w:r>
      <w:r w:rsidRPr="02982C1A">
        <w:rPr>
          <w:sz w:val="20"/>
          <w:szCs w:val="20"/>
        </w:rPr>
        <w:t>(referred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7606DB51" w:rsidR="009D63B2" w:rsidRDefault="00C1495A" w:rsidP="02982C1A">
            <w:pPr>
              <w:rPr>
                <w:b/>
                <w:bCs/>
                <w:i/>
                <w:iCs/>
                <w:color w:val="1155CC"/>
                <w:sz w:val="20"/>
                <w:szCs w:val="20"/>
              </w:rPr>
            </w:pPr>
            <w:r>
              <w:rPr>
                <w:b/>
                <w:bCs/>
                <w:i/>
                <w:iCs/>
                <w:color w:val="1155CC"/>
                <w:sz w:val="20"/>
                <w:szCs w:val="20"/>
              </w:rPr>
              <w:t xml:space="preserve">Soul to Sole </w:t>
            </w:r>
            <w:proofErr w:type="spellStart"/>
            <w:r>
              <w:rPr>
                <w:b/>
                <w:bCs/>
                <w:i/>
                <w:iCs/>
                <w:color w:val="1155CC"/>
                <w:sz w:val="20"/>
                <w:szCs w:val="20"/>
              </w:rPr>
              <w:t>Holistics</w:t>
            </w:r>
            <w:proofErr w:type="spellEnd"/>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326BCEBB" w:rsidR="009D63B2" w:rsidRDefault="00C1495A" w:rsidP="02982C1A">
            <w:pPr>
              <w:rPr>
                <w:b/>
                <w:bCs/>
                <w:i/>
                <w:iCs/>
                <w:color w:val="1155CC"/>
                <w:sz w:val="20"/>
                <w:szCs w:val="20"/>
              </w:rPr>
            </w:pPr>
            <w:r>
              <w:rPr>
                <w:b/>
                <w:bCs/>
                <w:i/>
                <w:iCs/>
                <w:color w:val="1155CC"/>
                <w:sz w:val="20"/>
                <w:szCs w:val="20"/>
              </w:rPr>
              <w:t>16 Castle Hill Avenue, Folkestone, CT20 2QT</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1D8AC906" w:rsidR="009D63B2" w:rsidRDefault="00C1495A" w:rsidP="02982C1A">
            <w:pPr>
              <w:spacing w:line="259" w:lineRule="auto"/>
              <w:rPr>
                <w:b/>
                <w:bCs/>
                <w:i/>
                <w:iCs/>
                <w:color w:val="1155CC"/>
                <w:sz w:val="20"/>
                <w:szCs w:val="20"/>
              </w:rPr>
            </w:pPr>
            <w:r>
              <w:rPr>
                <w:b/>
                <w:bCs/>
                <w:i/>
                <w:iCs/>
                <w:color w:val="1155CC"/>
                <w:sz w:val="20"/>
                <w:szCs w:val="20"/>
              </w:rPr>
              <w:t>info@soultosoleholistics.co.uk</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27E8F0E9" w:rsidR="009D63B2" w:rsidRDefault="00C1495A" w:rsidP="02982C1A">
            <w:pPr>
              <w:spacing w:line="259" w:lineRule="auto"/>
              <w:rPr>
                <w:b/>
                <w:bCs/>
                <w:i/>
                <w:iCs/>
                <w:color w:val="1155CC"/>
                <w:sz w:val="20"/>
                <w:szCs w:val="20"/>
              </w:rPr>
            </w:pPr>
            <w:r>
              <w:rPr>
                <w:b/>
                <w:bCs/>
                <w:i/>
                <w:iCs/>
                <w:color w:val="1155CC"/>
                <w:sz w:val="20"/>
                <w:szCs w:val="20"/>
              </w:rPr>
              <w:t>Reana Herchenhan</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7E098D7C" w:rsidR="009D63B2" w:rsidRDefault="00C1495A" w:rsidP="02982C1A">
            <w:pPr>
              <w:rPr>
                <w:b/>
                <w:bCs/>
                <w:i/>
                <w:iCs/>
                <w:color w:val="1155CC"/>
                <w:sz w:val="20"/>
                <w:szCs w:val="20"/>
              </w:rPr>
            </w:pPr>
            <w:r>
              <w:rPr>
                <w:b/>
                <w:bCs/>
                <w:i/>
                <w:iCs/>
                <w:color w:val="1155CC"/>
                <w:sz w:val="20"/>
                <w:szCs w:val="20"/>
              </w:rPr>
              <w:t>Available on request</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332CF882"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 </w:t>
      </w:r>
      <w:r w:rsidRPr="00C1495A">
        <w:rPr>
          <w:i/>
          <w:iCs/>
          <w:color w:val="auto"/>
          <w:sz w:val="20"/>
          <w:szCs w:val="20"/>
        </w:rPr>
        <w:t>either by post or by email</w:t>
      </w:r>
      <w:r w:rsidRPr="02982C1A">
        <w:rPr>
          <w:sz w:val="20"/>
          <w:szCs w:val="20"/>
        </w:rPr>
        <w:t>—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3C050B"/>
    <w:rsid w:val="00526CC3"/>
    <w:rsid w:val="0061FBF4"/>
    <w:rsid w:val="00633C7C"/>
    <w:rsid w:val="006B7C69"/>
    <w:rsid w:val="00891DFB"/>
    <w:rsid w:val="009D63B2"/>
    <w:rsid w:val="00AA7202"/>
    <w:rsid w:val="00C1495A"/>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48F6F6FF-A419-4AEC-BB39-096159336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Reana Herchenhan</cp:lastModifiedBy>
  <cp:revision>2</cp:revision>
  <dcterms:created xsi:type="dcterms:W3CDTF">2026-05-19T14:20:00Z</dcterms:created>
  <dcterms:modified xsi:type="dcterms:W3CDTF">2026-05-19T14:20:00Z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