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Mark 14:22-52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22-25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Passover setting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unique?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mystery of Holy Communion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26-31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Preparing the disciples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they feeling and thinking with all Jesus is saying to them?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32-42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Gethsemane?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v. 36 teach us about the humanity and divinity of Christ?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think I’d fall asleep too!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Jesus spends time with His Father before the most significant event in history.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this teach you about prayer?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43-52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 the actions of the disciples: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48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Judas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line="48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Peter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48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rest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 the action of Jesus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was the young man most likely?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