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90" w:rsidRPr="007D4170" w:rsidRDefault="004B7D5F" w:rsidP="007D41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WATERSMEET </w:t>
      </w:r>
      <w:r w:rsidR="007D4170" w:rsidRPr="007D4170">
        <w:rPr>
          <w:b/>
          <w:sz w:val="40"/>
          <w:szCs w:val="40"/>
        </w:rPr>
        <w:t>HIRE RATES</w:t>
      </w:r>
    </w:p>
    <w:p w:rsidR="004E0F90" w:rsidRPr="006B2F42" w:rsidRDefault="00097DD0" w:rsidP="006B2F42">
      <w:pPr>
        <w:jc w:val="center"/>
        <w:rPr>
          <w:sz w:val="40"/>
          <w:szCs w:val="40"/>
        </w:rPr>
      </w:pPr>
      <w:r>
        <w:rPr>
          <w:sz w:val="40"/>
          <w:szCs w:val="40"/>
        </w:rPr>
        <w:t>April 2019 - March 2020</w:t>
      </w:r>
    </w:p>
    <w:tbl>
      <w:tblPr>
        <w:tblStyle w:val="TableGrid"/>
        <w:tblW w:w="1105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6"/>
        <w:gridCol w:w="1275"/>
        <w:gridCol w:w="1275"/>
      </w:tblGrid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b/>
                <w:bCs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CE4FA8" w:rsidP="004961B6">
            <w:pP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Ex</w:t>
            </w:r>
            <w:r w:rsidR="004D508D" w:rsidRPr="006F0A75"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. VAT</w:t>
            </w:r>
          </w:p>
        </w:tc>
        <w:tc>
          <w:tcPr>
            <w:tcW w:w="1275" w:type="dxa"/>
          </w:tcPr>
          <w:p w:rsidR="004D508D" w:rsidRPr="006F0A75" w:rsidRDefault="00CE4FA8" w:rsidP="004961B6">
            <w:pP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Inc</w:t>
            </w:r>
            <w:r w:rsidR="004D508D"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. VAT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b/>
                <w:bCs/>
                <w:kern w:val="24"/>
                <w:sz w:val="32"/>
                <w:szCs w:val="32"/>
                <w:lang w:eastAsia="en-GB"/>
              </w:rPr>
            </w:pPr>
            <w:r w:rsidRPr="006F0A75">
              <w:rPr>
                <w:rFonts w:eastAsiaTheme="minorEastAsia"/>
                <w:b/>
                <w:bCs/>
                <w:kern w:val="24"/>
                <w:sz w:val="32"/>
                <w:szCs w:val="32"/>
                <w:lang w:eastAsia="en-GB"/>
              </w:rPr>
              <w:t xml:space="preserve">WHOLE VENUE </w:t>
            </w:r>
          </w:p>
          <w:p w:rsidR="004D508D" w:rsidRPr="006F0A75" w:rsidRDefault="004D508D" w:rsidP="004961B6">
            <w:pPr>
              <w:rPr>
                <w:rFonts w:eastAsiaTheme="minorEastAsia"/>
                <w:b/>
                <w:bCs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b/>
                <w:bCs/>
                <w:kern w:val="24"/>
                <w:sz w:val="24"/>
                <w:szCs w:val="24"/>
                <w:lang w:eastAsia="en-GB"/>
              </w:rPr>
              <w:t xml:space="preserve">INCLUDES: </w:t>
            </w:r>
            <w:r w:rsidRPr="006F0A75">
              <w:rPr>
                <w:rFonts w:eastAsiaTheme="minorEastAsia"/>
                <w:bCs/>
                <w:kern w:val="24"/>
                <w:sz w:val="24"/>
                <w:szCs w:val="24"/>
                <w:lang w:eastAsia="en-GB"/>
              </w:rPr>
              <w:t>AUDITORIUM</w:t>
            </w:r>
            <w:r>
              <w:rPr>
                <w:rFonts w:eastAsiaTheme="minorEastAsia"/>
                <w:bCs/>
                <w:kern w:val="24"/>
                <w:sz w:val="24"/>
                <w:szCs w:val="24"/>
                <w:lang w:eastAsia="en-GB"/>
              </w:rPr>
              <w:t xml:space="preserve">, UPPER FOYER, </w:t>
            </w:r>
            <w:r w:rsidRPr="006F0A75">
              <w:rPr>
                <w:rFonts w:eastAsiaTheme="minorEastAsia"/>
                <w:bCs/>
                <w:kern w:val="24"/>
                <w:sz w:val="24"/>
                <w:szCs w:val="24"/>
                <w:lang w:eastAsia="en-GB"/>
              </w:rPr>
              <w:t>DRESSING ROOMS</w:t>
            </w:r>
            <w:r>
              <w:rPr>
                <w:rFonts w:eastAsiaTheme="minorEastAsia"/>
                <w:bCs/>
                <w:kern w:val="24"/>
                <w:sz w:val="24"/>
                <w:szCs w:val="24"/>
                <w:lang w:eastAsia="en-GB"/>
              </w:rPr>
              <w:t xml:space="preserve"> &amp; WATERSMEET BAR</w:t>
            </w:r>
          </w:p>
          <w:p w:rsidR="004D508D" w:rsidRPr="006F0A75" w:rsidRDefault="004D508D" w:rsidP="004961B6">
            <w:pPr>
              <w:rPr>
                <w:rFonts w:eastAsiaTheme="minorEastAsia"/>
                <w:b/>
                <w:bCs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b/>
                <w:bCs/>
                <w:kern w:val="24"/>
                <w:sz w:val="24"/>
                <w:szCs w:val="24"/>
                <w:lang w:eastAsia="en-GB"/>
              </w:rPr>
              <w:t xml:space="preserve">DOES NOT INCLUDE: </w:t>
            </w:r>
            <w:r w:rsidRPr="006F0A75">
              <w:rPr>
                <w:rFonts w:eastAsiaTheme="minorEastAsia"/>
                <w:bCs/>
                <w:kern w:val="24"/>
                <w:sz w:val="24"/>
                <w:szCs w:val="24"/>
                <w:lang w:eastAsia="en-GB"/>
              </w:rPr>
              <w:t>KIOSK, BAR &amp; COLNE ROOM</w:t>
            </w:r>
            <w:r>
              <w:rPr>
                <w:rFonts w:eastAsiaTheme="minorEastAsia"/>
                <w:bCs/>
                <w:kern w:val="24"/>
                <w:sz w:val="24"/>
                <w:szCs w:val="24"/>
                <w:lang w:eastAsia="en-GB"/>
              </w:rPr>
              <w:t xml:space="preserve"> FOR OWN USE</w:t>
            </w: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b/>
                <w:bCs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b/>
                <w:bCs/>
                <w:kern w:val="24"/>
                <w:sz w:val="24"/>
                <w:szCs w:val="24"/>
                <w:lang w:eastAsia="en-GB"/>
              </w:rPr>
              <w:t xml:space="preserve">Commercial Rate </w:t>
            </w:r>
            <w:r w:rsidRPr="006F0A75"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(per hour)</w:t>
            </w: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bCs/>
                <w:kern w:val="24"/>
                <w:sz w:val="24"/>
                <w:szCs w:val="24"/>
                <w:lang w:eastAsia="en-GB"/>
              </w:rPr>
              <w:t xml:space="preserve">Theatre Style </w:t>
            </w:r>
            <w:r w:rsidRPr="004E0F90">
              <w:rPr>
                <w:rFonts w:eastAsiaTheme="minorEastAsia"/>
                <w:bCs/>
                <w:kern w:val="24"/>
                <w:sz w:val="24"/>
                <w:szCs w:val="24"/>
                <w:lang w:eastAsia="en-GB"/>
              </w:rPr>
              <w:t xml:space="preserve">– Mon-Fri    </w:t>
            </w:r>
          </w:p>
        </w:tc>
        <w:tc>
          <w:tcPr>
            <w:tcW w:w="1275" w:type="dxa"/>
          </w:tcPr>
          <w:p w:rsidR="004D508D" w:rsidRPr="006F0A75" w:rsidRDefault="005E6975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£17</w:t>
            </w:r>
            <w:r w:rsidR="00987CB0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4.3</w:t>
            </w:r>
            <w:r w:rsidR="00733E9A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</w:tcPr>
          <w:p w:rsidR="004D508D" w:rsidRPr="006F0A75" w:rsidRDefault="00D760D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£209.16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Theatre Style – Sat-Sun</w:t>
            </w:r>
          </w:p>
        </w:tc>
        <w:tc>
          <w:tcPr>
            <w:tcW w:w="1275" w:type="dxa"/>
          </w:tcPr>
          <w:p w:rsidR="004D508D" w:rsidRPr="006F0A75" w:rsidRDefault="005E6975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</w:t>
            </w:r>
            <w:r w:rsidR="00987CB0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94.8</w:t>
            </w:r>
            <w:r w:rsidR="00733E9A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£233.76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Cabaret Style – Mon-Fri</w:t>
            </w:r>
          </w:p>
        </w:tc>
        <w:tc>
          <w:tcPr>
            <w:tcW w:w="1275" w:type="dxa"/>
          </w:tcPr>
          <w:p w:rsidR="004D508D" w:rsidRPr="006F0A75" w:rsidRDefault="00733E9A" w:rsidP="005E6975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</w:t>
            </w:r>
            <w:r w:rsidR="00987CB0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205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.00</w:t>
            </w:r>
          </w:p>
        </w:tc>
        <w:tc>
          <w:tcPr>
            <w:tcW w:w="1275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£246.00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Cabaret Style – Sat-Sun</w:t>
            </w:r>
          </w:p>
        </w:tc>
        <w:tc>
          <w:tcPr>
            <w:tcW w:w="1275" w:type="dxa"/>
          </w:tcPr>
          <w:p w:rsidR="004D508D" w:rsidRPr="006F0A75" w:rsidRDefault="00987CB0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£235.8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£282.96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Not for Profit Rate (per hour)</w:t>
            </w: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0A18C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bCs/>
                <w:kern w:val="24"/>
                <w:sz w:val="24"/>
                <w:szCs w:val="24"/>
                <w:lang w:eastAsia="en-GB"/>
              </w:rPr>
              <w:t xml:space="preserve">Theatre Style </w:t>
            </w:r>
            <w:r w:rsidRPr="004E0F90">
              <w:rPr>
                <w:rFonts w:eastAsiaTheme="minorEastAsia"/>
                <w:bCs/>
                <w:kern w:val="24"/>
                <w:sz w:val="24"/>
                <w:szCs w:val="24"/>
                <w:lang w:eastAsia="en-GB"/>
              </w:rPr>
              <w:t xml:space="preserve">– Mon-Fri    </w:t>
            </w:r>
          </w:p>
        </w:tc>
        <w:tc>
          <w:tcPr>
            <w:tcW w:w="1275" w:type="dxa"/>
          </w:tcPr>
          <w:p w:rsidR="004D508D" w:rsidRPr="006F0A75" w:rsidRDefault="00987CB0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£99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.50</w:t>
            </w:r>
          </w:p>
        </w:tc>
        <w:tc>
          <w:tcPr>
            <w:tcW w:w="1275" w:type="dxa"/>
          </w:tcPr>
          <w:p w:rsidR="004D508D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£119.40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0A18C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Theatre Style – Sat-Sun</w:t>
            </w:r>
          </w:p>
        </w:tc>
        <w:tc>
          <w:tcPr>
            <w:tcW w:w="127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£119.2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</w:tcPr>
          <w:p w:rsidR="004D508D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£143.04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0A18C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Cabaret Style – Mon-Fri</w:t>
            </w:r>
          </w:p>
        </w:tc>
        <w:tc>
          <w:tcPr>
            <w:tcW w:w="127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£144.4</w:t>
            </w:r>
            <w:r w:rsidR="00733E9A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£173.28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0A18C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Cabaret Style – Sat-Sun</w:t>
            </w:r>
          </w:p>
        </w:tc>
        <w:tc>
          <w:tcPr>
            <w:tcW w:w="127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£175.3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£210.36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</w:pPr>
            <w:r w:rsidRPr="006F0A75"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  <w:t xml:space="preserve">COLNE ROOM </w:t>
            </w: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Commercial Rate (per hour)</w:t>
            </w: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Mon-Fri</w:t>
            </w:r>
          </w:p>
        </w:tc>
        <w:tc>
          <w:tcPr>
            <w:tcW w:w="127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£41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.00</w:t>
            </w:r>
          </w:p>
        </w:tc>
        <w:tc>
          <w:tcPr>
            <w:tcW w:w="1275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£49.20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Sat-Sun</w:t>
            </w:r>
          </w:p>
        </w:tc>
        <w:tc>
          <w:tcPr>
            <w:tcW w:w="127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£56.4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£67.68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Not for Profit Rate (per hour)</w:t>
            </w: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Mon-Fri</w:t>
            </w:r>
          </w:p>
        </w:tc>
        <w:tc>
          <w:tcPr>
            <w:tcW w:w="127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£33.4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£40.08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Sat-Sun</w:t>
            </w:r>
          </w:p>
        </w:tc>
        <w:tc>
          <w:tcPr>
            <w:tcW w:w="127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£52.4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£62.88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853279" w:rsidRDefault="004D508D" w:rsidP="004961B6">
            <w:pP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Three Rivers District Council</w:t>
            </w:r>
            <w:r w:rsidRPr="00853279"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 xml:space="preserve"> Rate</w:t>
            </w:r>
            <w: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 xml:space="preserve"> (per hour)</w:t>
            </w: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Anytime</w:t>
            </w:r>
          </w:p>
        </w:tc>
        <w:tc>
          <w:tcPr>
            <w:tcW w:w="1275" w:type="dxa"/>
          </w:tcPr>
          <w:p w:rsidR="004D508D" w:rsidRPr="006F0A75" w:rsidRDefault="005E6975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£18.00</w:t>
            </w:r>
          </w:p>
        </w:tc>
        <w:tc>
          <w:tcPr>
            <w:tcW w:w="1275" w:type="dxa"/>
          </w:tcPr>
          <w:p w:rsidR="004D508D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£21.60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0A18C6">
            <w:pPr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</w:pPr>
            <w:r w:rsidRPr="006F0A75"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  <w:t xml:space="preserve">DRESSING ROOMS </w:t>
            </w: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0A18C6">
            <w:pP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Commercial &amp; Not for Profit</w:t>
            </w:r>
            <w: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 xml:space="preserve"> Rate</w:t>
            </w:r>
            <w:r w:rsidRPr="006F0A75"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 xml:space="preserve"> (each per hour)</w:t>
            </w: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Mon-Fri</w:t>
            </w:r>
          </w:p>
        </w:tc>
        <w:tc>
          <w:tcPr>
            <w:tcW w:w="127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£12</w:t>
            </w:r>
            <w:r w:rsidR="00E779DF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.00</w:t>
            </w:r>
          </w:p>
        </w:tc>
        <w:tc>
          <w:tcPr>
            <w:tcW w:w="1275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£14.40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Sat-Sun</w:t>
            </w: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£15</w:t>
            </w:r>
            <w:r w:rsidR="00E779DF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.00</w:t>
            </w:r>
          </w:p>
        </w:tc>
        <w:tc>
          <w:tcPr>
            <w:tcW w:w="1275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£18.00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0A18C6">
            <w:pPr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</w:pPr>
            <w:r w:rsidRPr="006F0A75"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  <w:t xml:space="preserve">KITCHEN </w:t>
            </w:r>
          </w:p>
        </w:tc>
        <w:tc>
          <w:tcPr>
            <w:tcW w:w="1275" w:type="dxa"/>
          </w:tcPr>
          <w:p w:rsidR="004D508D" w:rsidRPr="006F0A75" w:rsidRDefault="004D508D" w:rsidP="000A18C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0A18C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0A18C6">
            <w:pP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Commercial &amp; Not for Profit Rate (per day)</w:t>
            </w:r>
          </w:p>
        </w:tc>
        <w:tc>
          <w:tcPr>
            <w:tcW w:w="1275" w:type="dxa"/>
          </w:tcPr>
          <w:p w:rsidR="004D508D" w:rsidRPr="006F0A75" w:rsidRDefault="004D508D" w:rsidP="000A18C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0A18C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0A18C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Mon-Fri</w:t>
            </w:r>
          </w:p>
        </w:tc>
        <w:tc>
          <w:tcPr>
            <w:tcW w:w="1275" w:type="dxa"/>
          </w:tcPr>
          <w:p w:rsidR="004D508D" w:rsidRPr="006F0A75" w:rsidRDefault="00317756" w:rsidP="000A18C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£79.4</w:t>
            </w:r>
            <w:r w:rsidR="00CE4FA8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</w:tcPr>
          <w:p w:rsidR="004D508D" w:rsidRPr="006F0A75" w:rsidRDefault="002A7E42" w:rsidP="000A18C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£95.28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0A18C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Sat-Sun</w:t>
            </w:r>
          </w:p>
        </w:tc>
        <w:tc>
          <w:tcPr>
            <w:tcW w:w="1275" w:type="dxa"/>
          </w:tcPr>
          <w:p w:rsidR="004D508D" w:rsidRPr="006F0A75" w:rsidRDefault="00317756" w:rsidP="000A18C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£99.8</w:t>
            </w:r>
            <w:r w:rsidR="00CE4FA8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</w:tcPr>
          <w:p w:rsidR="004D508D" w:rsidRPr="006F0A75" w:rsidRDefault="002A7E42" w:rsidP="000A18C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£119.76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Default="004D508D" w:rsidP="004961B6">
            <w:pPr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</w:pPr>
            <w:r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  <w:t>CORKAGE</w:t>
            </w:r>
          </w:p>
          <w:p w:rsidR="004D508D" w:rsidRPr="00F46021" w:rsidRDefault="004D508D" w:rsidP="004961B6">
            <w:pP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</w:pPr>
            <w:r w:rsidRPr="00F46021"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INCLUDES</w:t>
            </w:r>
            <w: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:</w:t>
            </w:r>
            <w:r w:rsidRPr="00F46021"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 xml:space="preserve"> USE OF KIOSK, BAR &amp; COLNE ROOM</w:t>
            </w: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Commercial &amp; Not for Profit Rate</w:t>
            </w:r>
            <w: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 xml:space="preserve"> (per day)</w:t>
            </w: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Anytime</w:t>
            </w:r>
            <w:r w:rsidR="00317756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 (per day)</w:t>
            </w:r>
          </w:p>
        </w:tc>
        <w:tc>
          <w:tcPr>
            <w:tcW w:w="1275" w:type="dxa"/>
          </w:tcPr>
          <w:p w:rsidR="004D508D" w:rsidRPr="006F0A75" w:rsidRDefault="00762B0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£500</w:t>
            </w:r>
            <w:r w:rsidR="00CE4FA8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.00</w:t>
            </w:r>
          </w:p>
        </w:tc>
        <w:tc>
          <w:tcPr>
            <w:tcW w:w="1275" w:type="dxa"/>
          </w:tcPr>
          <w:p w:rsidR="004D508D" w:rsidRDefault="00CE4FA8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£600.00</w:t>
            </w:r>
          </w:p>
        </w:tc>
      </w:tr>
      <w:tr w:rsidR="004D508D" w:rsidRPr="006F0A75" w:rsidTr="004D508D">
        <w:tc>
          <w:tcPr>
            <w:tcW w:w="8506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</w:tbl>
    <w:p w:rsidR="006B2F42" w:rsidRDefault="006B2F42">
      <w:r>
        <w:br w:type="page"/>
      </w:r>
    </w:p>
    <w:tbl>
      <w:tblPr>
        <w:tblStyle w:val="TableGrid"/>
        <w:tblW w:w="1120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0"/>
        <w:gridCol w:w="1265"/>
        <w:gridCol w:w="1149"/>
      </w:tblGrid>
      <w:tr w:rsidR="004D508D" w:rsidRPr="006F0A75" w:rsidTr="004D508D">
        <w:tc>
          <w:tcPr>
            <w:tcW w:w="8790" w:type="dxa"/>
          </w:tcPr>
          <w:p w:rsidR="004D508D" w:rsidRPr="006F0A75" w:rsidRDefault="004D508D" w:rsidP="006B2F42">
            <w:pPr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</w:pPr>
            <w:r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  <w:lastRenderedPageBreak/>
              <w:t>CLEANING CHARGE</w:t>
            </w:r>
          </w:p>
        </w:tc>
        <w:tc>
          <w:tcPr>
            <w:tcW w:w="1265" w:type="dxa"/>
          </w:tcPr>
          <w:p w:rsidR="004D508D" w:rsidRPr="00CE4FA8" w:rsidRDefault="00CE4FA8" w:rsidP="004961B6">
            <w:pP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</w:pPr>
            <w:r w:rsidRPr="00CE4FA8"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Ex. VAT</w:t>
            </w:r>
          </w:p>
        </w:tc>
        <w:tc>
          <w:tcPr>
            <w:tcW w:w="1149" w:type="dxa"/>
          </w:tcPr>
          <w:p w:rsidR="004D508D" w:rsidRPr="00CE4FA8" w:rsidRDefault="00CE4FA8" w:rsidP="004961B6">
            <w:pP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</w:pPr>
            <w:r w:rsidRPr="00CE4FA8"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  <w:t>Inc. VAT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853279" w:rsidRDefault="004D508D" w:rsidP="006B2F42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853279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If no food served</w:t>
            </w:r>
          </w:p>
        </w:tc>
        <w:tc>
          <w:tcPr>
            <w:tcW w:w="1265" w:type="dxa"/>
          </w:tcPr>
          <w:p w:rsidR="004D508D" w:rsidRPr="00F46021" w:rsidRDefault="005E6975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£25</w:t>
            </w:r>
            <w:r w:rsidR="004D508D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.00</w:t>
            </w:r>
          </w:p>
        </w:tc>
        <w:tc>
          <w:tcPr>
            <w:tcW w:w="1149" w:type="dxa"/>
          </w:tcPr>
          <w:p w:rsidR="004D508D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£30.00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853279" w:rsidRDefault="004D508D" w:rsidP="006B2F42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853279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If food served</w:t>
            </w:r>
          </w:p>
        </w:tc>
        <w:tc>
          <w:tcPr>
            <w:tcW w:w="1265" w:type="dxa"/>
          </w:tcPr>
          <w:p w:rsidR="004D508D" w:rsidRPr="00F46021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£50</w:t>
            </w:r>
            <w:r w:rsidR="004D508D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.00</w:t>
            </w:r>
          </w:p>
        </w:tc>
        <w:tc>
          <w:tcPr>
            <w:tcW w:w="1149" w:type="dxa"/>
          </w:tcPr>
          <w:p w:rsidR="004D508D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£60.00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F46021" w:rsidRDefault="004D508D" w:rsidP="006B2F42">
            <w:pPr>
              <w:rPr>
                <w:rFonts w:eastAsiaTheme="minorEastAsia"/>
                <w:b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65" w:type="dxa"/>
          </w:tcPr>
          <w:p w:rsidR="004D508D" w:rsidRPr="00F46021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149" w:type="dxa"/>
          </w:tcPr>
          <w:p w:rsidR="004D508D" w:rsidRPr="00F46021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6B2F42">
            <w:pPr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</w:pPr>
            <w:r w:rsidRPr="006F0A75"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  <w:t>ADDITIONAL STAFF</w:t>
            </w:r>
          </w:p>
        </w:tc>
        <w:tc>
          <w:tcPr>
            <w:tcW w:w="126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149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Lighting / Sound Technician</w:t>
            </w:r>
          </w:p>
        </w:tc>
        <w:tc>
          <w:tcPr>
            <w:tcW w:w="126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£22.7</w:t>
            </w:r>
            <w:r w:rsidR="004D508D"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£27.24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Stage Technician</w:t>
            </w:r>
          </w:p>
        </w:tc>
        <w:tc>
          <w:tcPr>
            <w:tcW w:w="126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£15.4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£18.48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Additional Stewards</w:t>
            </w: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 (each)</w:t>
            </w:r>
          </w:p>
        </w:tc>
        <w:tc>
          <w:tcPr>
            <w:tcW w:w="126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£9.7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£11.64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  <w:p w:rsidR="002B030D" w:rsidRPr="006F0A75" w:rsidRDefault="002B030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Performing Rights Fee</w:t>
            </w:r>
          </w:p>
        </w:tc>
        <w:tc>
          <w:tcPr>
            <w:tcW w:w="1265" w:type="dxa"/>
          </w:tcPr>
          <w:p w:rsidR="004D508D" w:rsidRPr="006F0A75" w:rsidRDefault="002B030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3% or £75.00 Flat Fee</w:t>
            </w:r>
            <w:bookmarkStart w:id="0" w:name="_GoBack"/>
            <w:bookmarkEnd w:id="0"/>
          </w:p>
        </w:tc>
        <w:tc>
          <w:tcPr>
            <w:tcW w:w="1149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  <w:p w:rsidR="002B030D" w:rsidRPr="006F0A75" w:rsidRDefault="002B030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</w:pPr>
            <w:r w:rsidRPr="006F0A75"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  <w:t>EQUIPMENT</w:t>
            </w:r>
          </w:p>
        </w:tc>
        <w:tc>
          <w:tcPr>
            <w:tcW w:w="1265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149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Microphones (Daily)</w:t>
            </w:r>
          </w:p>
        </w:tc>
        <w:tc>
          <w:tcPr>
            <w:tcW w:w="126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£9.1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£10.92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Microphones (Weekly)</w:t>
            </w:r>
          </w:p>
        </w:tc>
        <w:tc>
          <w:tcPr>
            <w:tcW w:w="126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£27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.</w:t>
            </w: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3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£32.76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Radio Microphones (Daily)</w:t>
            </w:r>
          </w:p>
        </w:tc>
        <w:tc>
          <w:tcPr>
            <w:tcW w:w="126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£14</w:t>
            </w:r>
            <w:r w:rsidR="005259A1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.0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£16.80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Radio Microphones (Weekly)</w:t>
            </w:r>
          </w:p>
        </w:tc>
        <w:tc>
          <w:tcPr>
            <w:tcW w:w="126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£42.0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£50.40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Follow Spots (Daily)</w:t>
            </w:r>
          </w:p>
        </w:tc>
        <w:tc>
          <w:tcPr>
            <w:tcW w:w="126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£19.2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£23.04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Follow Spots (Weekly)</w:t>
            </w:r>
          </w:p>
        </w:tc>
        <w:tc>
          <w:tcPr>
            <w:tcW w:w="126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£57.6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£69.12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Electric Piano (Daily)</w:t>
            </w:r>
          </w:p>
        </w:tc>
        <w:tc>
          <w:tcPr>
            <w:tcW w:w="126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£25.3</w:t>
            </w:r>
            <w:r w:rsidR="005E69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£30.36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Electric Piano (Weekly)</w:t>
            </w:r>
          </w:p>
        </w:tc>
        <w:tc>
          <w:tcPr>
            <w:tcW w:w="1265" w:type="dxa"/>
          </w:tcPr>
          <w:p w:rsidR="004D508D" w:rsidRPr="006F0A75" w:rsidRDefault="00317756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£75.9</w:t>
            </w:r>
            <w:r w:rsidR="005259A1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£91.08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Baby Grand Piano (Tuned)</w:t>
            </w:r>
          </w:p>
        </w:tc>
        <w:tc>
          <w:tcPr>
            <w:tcW w:w="1265" w:type="dxa"/>
          </w:tcPr>
          <w:p w:rsidR="004D508D" w:rsidRPr="006F0A75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£191.4</w:t>
            </w:r>
            <w:r w:rsidR="00406579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£229.68</w:t>
            </w:r>
          </w:p>
        </w:tc>
      </w:tr>
      <w:tr w:rsidR="00B3203F" w:rsidRPr="006F0A75" w:rsidTr="004D508D">
        <w:tc>
          <w:tcPr>
            <w:tcW w:w="8790" w:type="dxa"/>
          </w:tcPr>
          <w:p w:rsidR="00B3203F" w:rsidRPr="006F0A75" w:rsidRDefault="00B3203F" w:rsidP="00F17919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Portable Projector (Daily)</w:t>
            </w:r>
          </w:p>
        </w:tc>
        <w:tc>
          <w:tcPr>
            <w:tcW w:w="1265" w:type="dxa"/>
          </w:tcPr>
          <w:p w:rsidR="00B3203F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£12.60</w:t>
            </w:r>
          </w:p>
        </w:tc>
        <w:tc>
          <w:tcPr>
            <w:tcW w:w="1149" w:type="dxa"/>
          </w:tcPr>
          <w:p w:rsidR="00B3203F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£15.12</w:t>
            </w:r>
          </w:p>
        </w:tc>
      </w:tr>
      <w:tr w:rsidR="00B3203F" w:rsidRPr="006F0A75" w:rsidTr="004D508D">
        <w:tc>
          <w:tcPr>
            <w:tcW w:w="8790" w:type="dxa"/>
          </w:tcPr>
          <w:p w:rsidR="00B3203F" w:rsidRPr="006F0A75" w:rsidRDefault="00B3203F" w:rsidP="00F17919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Portable Projector (Weekly)</w:t>
            </w:r>
          </w:p>
        </w:tc>
        <w:tc>
          <w:tcPr>
            <w:tcW w:w="1265" w:type="dxa"/>
          </w:tcPr>
          <w:p w:rsidR="00B3203F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£37.80</w:t>
            </w:r>
          </w:p>
        </w:tc>
        <w:tc>
          <w:tcPr>
            <w:tcW w:w="1149" w:type="dxa"/>
          </w:tcPr>
          <w:p w:rsidR="00B3203F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£45.36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F17919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Auditorium Digital </w:t>
            </w:r>
            <w:r w:rsidR="00406579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Cinema </w:t>
            </w: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Projector</w:t>
            </w:r>
            <w:r w:rsidR="00406579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 (Daily)</w:t>
            </w:r>
          </w:p>
        </w:tc>
        <w:tc>
          <w:tcPr>
            <w:tcW w:w="1265" w:type="dxa"/>
          </w:tcPr>
          <w:p w:rsidR="004D508D" w:rsidRPr="006F0A75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£175</w:t>
            </w:r>
            <w:r w:rsidR="00406579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.00</w:t>
            </w:r>
          </w:p>
        </w:tc>
        <w:tc>
          <w:tcPr>
            <w:tcW w:w="1149" w:type="dxa"/>
          </w:tcPr>
          <w:p w:rsidR="004D508D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£210.00</w:t>
            </w:r>
          </w:p>
        </w:tc>
      </w:tr>
      <w:tr w:rsidR="00B3203F" w:rsidRPr="006F0A75" w:rsidTr="004D508D">
        <w:tc>
          <w:tcPr>
            <w:tcW w:w="8790" w:type="dxa"/>
          </w:tcPr>
          <w:p w:rsidR="00B3203F" w:rsidRPr="006F0A75" w:rsidRDefault="00B3203F" w:rsidP="00F17919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Auditorium Digital </w:t>
            </w: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Cinema </w:t>
            </w: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Projector</w:t>
            </w: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 (Weekly)</w:t>
            </w:r>
          </w:p>
        </w:tc>
        <w:tc>
          <w:tcPr>
            <w:tcW w:w="1265" w:type="dxa"/>
          </w:tcPr>
          <w:p w:rsidR="00B3203F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£525.00</w:t>
            </w:r>
          </w:p>
        </w:tc>
        <w:tc>
          <w:tcPr>
            <w:tcW w:w="1149" w:type="dxa"/>
          </w:tcPr>
          <w:p w:rsidR="00B3203F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£630.00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Staging/Risers (Daily)</w:t>
            </w:r>
          </w:p>
        </w:tc>
        <w:tc>
          <w:tcPr>
            <w:tcW w:w="1265" w:type="dxa"/>
          </w:tcPr>
          <w:p w:rsidR="004D508D" w:rsidRPr="006F0A75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£12.6</w:t>
            </w:r>
            <w:r w:rsidR="00406579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£15.12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Staging/Risers (Weekly)</w:t>
            </w:r>
          </w:p>
        </w:tc>
        <w:tc>
          <w:tcPr>
            <w:tcW w:w="1265" w:type="dxa"/>
          </w:tcPr>
          <w:p w:rsidR="004D508D" w:rsidRPr="006F0A75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£37.8</w:t>
            </w:r>
            <w:r w:rsidR="00406579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£45.36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Smoke Machine</w:t>
            </w:r>
            <w:r w:rsidR="00B3203F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 (Daily)</w:t>
            </w:r>
          </w:p>
        </w:tc>
        <w:tc>
          <w:tcPr>
            <w:tcW w:w="1265" w:type="dxa"/>
          </w:tcPr>
          <w:p w:rsidR="004D508D" w:rsidRPr="006F0A75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£50.2</w:t>
            </w:r>
            <w:r w:rsidR="00406579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£60.24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Smoke Machine Fluid</w:t>
            </w:r>
            <w:r w:rsidR="00B3203F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 (Daily)</w:t>
            </w:r>
          </w:p>
        </w:tc>
        <w:tc>
          <w:tcPr>
            <w:tcW w:w="1265" w:type="dxa"/>
          </w:tcPr>
          <w:p w:rsidR="004D508D" w:rsidRPr="006F0A75" w:rsidRDefault="00406579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£31</w:t>
            </w:r>
            <w:r w:rsidR="00B3203F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.8</w:t>
            </w:r>
            <w:r w:rsidR="00DD0963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£38.16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Haze Machine</w:t>
            </w:r>
            <w:r w:rsidR="00B3203F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 (Daily)</w:t>
            </w:r>
          </w:p>
        </w:tc>
        <w:tc>
          <w:tcPr>
            <w:tcW w:w="1265" w:type="dxa"/>
          </w:tcPr>
          <w:p w:rsidR="004D508D" w:rsidRPr="006F0A75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£38.3</w:t>
            </w:r>
            <w:r w:rsidR="00406579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£45.96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Haze Machine Fluid</w:t>
            </w:r>
            <w:r w:rsidR="00B3203F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 (Daily)</w:t>
            </w:r>
          </w:p>
        </w:tc>
        <w:tc>
          <w:tcPr>
            <w:tcW w:w="1265" w:type="dxa"/>
          </w:tcPr>
          <w:p w:rsidR="004D508D" w:rsidRPr="006F0A75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£25.2</w:t>
            </w:r>
            <w:r w:rsidR="00406579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£30.24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Flip Chart</w:t>
            </w:r>
            <w:r w:rsidR="00B3203F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 (Daily)</w:t>
            </w:r>
          </w:p>
        </w:tc>
        <w:tc>
          <w:tcPr>
            <w:tcW w:w="1265" w:type="dxa"/>
          </w:tcPr>
          <w:p w:rsidR="004D508D" w:rsidRPr="006F0A75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£6.40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£7.68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Lectern</w:t>
            </w:r>
            <w:r w:rsidR="00B3203F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 (Daily)</w:t>
            </w:r>
          </w:p>
        </w:tc>
        <w:tc>
          <w:tcPr>
            <w:tcW w:w="1265" w:type="dxa"/>
          </w:tcPr>
          <w:p w:rsidR="004D508D" w:rsidRPr="006F0A75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£6.40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£7.68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6F0A75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DVD / TV</w:t>
            </w:r>
            <w:r w:rsidR="00B3203F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 (Daily)</w:t>
            </w:r>
          </w:p>
        </w:tc>
        <w:tc>
          <w:tcPr>
            <w:tcW w:w="1265" w:type="dxa"/>
          </w:tcPr>
          <w:p w:rsidR="004D508D" w:rsidRPr="006F0A75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£31.1</w:t>
            </w:r>
            <w:r w:rsidR="00406579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£37.32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Colne Room Projector (Daily)</w:t>
            </w:r>
          </w:p>
        </w:tc>
        <w:tc>
          <w:tcPr>
            <w:tcW w:w="1265" w:type="dxa"/>
          </w:tcPr>
          <w:p w:rsidR="004D508D" w:rsidRPr="006F0A75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£12.6</w:t>
            </w:r>
            <w:r w:rsidR="00406579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49" w:type="dxa"/>
          </w:tcPr>
          <w:p w:rsidR="004D508D" w:rsidRPr="006F0A75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£15.12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Pr="006F0A75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Urn</w:t>
            </w:r>
            <w:r w:rsidR="00B3203F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 (Daily)</w:t>
            </w:r>
          </w:p>
        </w:tc>
        <w:tc>
          <w:tcPr>
            <w:tcW w:w="1265" w:type="dxa"/>
          </w:tcPr>
          <w:p w:rsidR="004D508D" w:rsidRPr="006F0A75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£6.40</w:t>
            </w:r>
          </w:p>
        </w:tc>
        <w:tc>
          <w:tcPr>
            <w:tcW w:w="1149" w:type="dxa"/>
          </w:tcPr>
          <w:p w:rsidR="004D508D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£7.68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65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149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790" w:type="dxa"/>
          </w:tcPr>
          <w:p w:rsidR="004D508D" w:rsidRPr="00EF0FB2" w:rsidRDefault="004D508D" w:rsidP="004961B6">
            <w:pPr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</w:pPr>
            <w:r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  <w:t>BOX OFFICE COMMISSION</w:t>
            </w:r>
          </w:p>
        </w:tc>
        <w:tc>
          <w:tcPr>
            <w:tcW w:w="1265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149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790" w:type="dxa"/>
          </w:tcPr>
          <w:p w:rsidR="004D508D" w:rsidRPr="00EF0FB2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 w:rsidRPr="00EF0FB2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 xml:space="preserve">Commercial </w:t>
            </w:r>
          </w:p>
        </w:tc>
        <w:tc>
          <w:tcPr>
            <w:tcW w:w="1265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8%</w:t>
            </w:r>
          </w:p>
        </w:tc>
        <w:tc>
          <w:tcPr>
            <w:tcW w:w="1149" w:type="dxa"/>
          </w:tcPr>
          <w:p w:rsidR="004D508D" w:rsidRDefault="00DE1C5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-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Not for Profit</w:t>
            </w:r>
          </w:p>
        </w:tc>
        <w:tc>
          <w:tcPr>
            <w:tcW w:w="1265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6%</w:t>
            </w:r>
          </w:p>
        </w:tc>
        <w:tc>
          <w:tcPr>
            <w:tcW w:w="1149" w:type="dxa"/>
          </w:tcPr>
          <w:p w:rsidR="004D508D" w:rsidRDefault="00DE1C5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-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65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149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790" w:type="dxa"/>
          </w:tcPr>
          <w:p w:rsidR="004D508D" w:rsidRPr="000A18C6" w:rsidRDefault="004D508D" w:rsidP="004961B6">
            <w:pPr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</w:pPr>
            <w:r w:rsidRPr="000A18C6">
              <w:rPr>
                <w:rFonts w:eastAsiaTheme="minorEastAsia"/>
                <w:b/>
                <w:kern w:val="24"/>
                <w:sz w:val="32"/>
                <w:szCs w:val="32"/>
                <w:lang w:eastAsia="en-GB"/>
              </w:rPr>
              <w:t>PACKAGES</w:t>
            </w:r>
          </w:p>
        </w:tc>
        <w:tc>
          <w:tcPr>
            <w:tcW w:w="1265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149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  <w:tr w:rsidR="004D508D" w:rsidRPr="006F0A75" w:rsidTr="004D508D">
        <w:tc>
          <w:tcPr>
            <w:tcW w:w="8790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Wedding Package (to include Watersmeet bar)</w:t>
            </w:r>
          </w:p>
        </w:tc>
        <w:tc>
          <w:tcPr>
            <w:tcW w:w="1265" w:type="dxa"/>
          </w:tcPr>
          <w:p w:rsidR="004D508D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£1,5</w:t>
            </w:r>
            <w:r w:rsidR="004D508D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00.00</w:t>
            </w:r>
          </w:p>
        </w:tc>
        <w:tc>
          <w:tcPr>
            <w:tcW w:w="1149" w:type="dxa"/>
          </w:tcPr>
          <w:p w:rsidR="004D508D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£1800.00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Prom Package (Mon-Thurs)</w:t>
            </w:r>
          </w:p>
        </w:tc>
        <w:tc>
          <w:tcPr>
            <w:tcW w:w="1265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£750.00</w:t>
            </w:r>
          </w:p>
        </w:tc>
        <w:tc>
          <w:tcPr>
            <w:tcW w:w="1149" w:type="dxa"/>
          </w:tcPr>
          <w:p w:rsidR="004D508D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£900.00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Colne Room Party Package – over 18s only (</w:t>
            </w:r>
            <w:r w:rsidR="00406579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Mon-Fri</w:t>
            </w: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265" w:type="dxa"/>
          </w:tcPr>
          <w:p w:rsidR="004D508D" w:rsidRDefault="00B3203F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£25</w:t>
            </w:r>
            <w:r w:rsidR="00DE1C5D"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1149" w:type="dxa"/>
          </w:tcPr>
          <w:p w:rsidR="004D508D" w:rsidRDefault="002A7E42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kern w:val="24"/>
                <w:sz w:val="24"/>
                <w:szCs w:val="24"/>
                <w:lang w:eastAsia="en-GB"/>
              </w:rPr>
              <w:t>£300.00</w:t>
            </w:r>
          </w:p>
        </w:tc>
      </w:tr>
      <w:tr w:rsidR="004D508D" w:rsidRPr="006F0A75" w:rsidTr="004D508D">
        <w:tc>
          <w:tcPr>
            <w:tcW w:w="8790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265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  <w:tc>
          <w:tcPr>
            <w:tcW w:w="1149" w:type="dxa"/>
          </w:tcPr>
          <w:p w:rsidR="004D508D" w:rsidRDefault="004D508D" w:rsidP="004961B6">
            <w:pPr>
              <w:rPr>
                <w:rFonts w:eastAsiaTheme="minorEastAsia"/>
                <w:kern w:val="24"/>
                <w:sz w:val="24"/>
                <w:szCs w:val="24"/>
                <w:lang w:eastAsia="en-GB"/>
              </w:rPr>
            </w:pPr>
          </w:p>
        </w:tc>
      </w:tr>
    </w:tbl>
    <w:p w:rsidR="00D125D8" w:rsidRPr="004E0F90" w:rsidRDefault="00D125D8" w:rsidP="004E0F90"/>
    <w:sectPr w:rsidR="00D125D8" w:rsidRPr="004E0F90" w:rsidSect="004D508D">
      <w:pgSz w:w="11906" w:h="16838"/>
      <w:pgMar w:top="851" w:right="144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90"/>
    <w:rsid w:val="00097DD0"/>
    <w:rsid w:val="000A18C6"/>
    <w:rsid w:val="002A7E42"/>
    <w:rsid w:val="002B030D"/>
    <w:rsid w:val="00317756"/>
    <w:rsid w:val="00406579"/>
    <w:rsid w:val="004961B6"/>
    <w:rsid w:val="004B7D5F"/>
    <w:rsid w:val="004D508D"/>
    <w:rsid w:val="004E0F90"/>
    <w:rsid w:val="004F6854"/>
    <w:rsid w:val="005259A1"/>
    <w:rsid w:val="005E6975"/>
    <w:rsid w:val="006B2F42"/>
    <w:rsid w:val="006F0A75"/>
    <w:rsid w:val="00733E9A"/>
    <w:rsid w:val="00752D41"/>
    <w:rsid w:val="00762B06"/>
    <w:rsid w:val="007D4170"/>
    <w:rsid w:val="00853279"/>
    <w:rsid w:val="008D6105"/>
    <w:rsid w:val="00987CB0"/>
    <w:rsid w:val="009E7661"/>
    <w:rsid w:val="00B3203F"/>
    <w:rsid w:val="00CE4FA8"/>
    <w:rsid w:val="00D125D8"/>
    <w:rsid w:val="00D45455"/>
    <w:rsid w:val="00D658B7"/>
    <w:rsid w:val="00D760D6"/>
    <w:rsid w:val="00DD0963"/>
    <w:rsid w:val="00DE1C5D"/>
    <w:rsid w:val="00E455FA"/>
    <w:rsid w:val="00E779DF"/>
    <w:rsid w:val="00EF0FB2"/>
    <w:rsid w:val="00F17919"/>
    <w:rsid w:val="00F4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4B6CCC-21A6-498A-81BD-F8979980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E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L&amp;Q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Sills</dc:creator>
  <cp:lastModifiedBy>Wendy Stratford</cp:lastModifiedBy>
  <cp:revision>3</cp:revision>
  <cp:lastPrinted>2016-04-21T10:02:00Z</cp:lastPrinted>
  <dcterms:created xsi:type="dcterms:W3CDTF">2019-03-21T18:49:00Z</dcterms:created>
  <dcterms:modified xsi:type="dcterms:W3CDTF">2019-07-11T12:15:00Z</dcterms:modified>
</cp:coreProperties>
</file>