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pPr>
      <w:r>
        <w:rPr>
          <w:rFonts w:ascii="Arial" w:cs="Arial" w:eastAsia="Arial" w:hAnsi="Arial"/>
          <w:b/>
          <w:bCs/>
          <w:color w:val="1B3A5C"/>
          <w:sz w:val="34"/>
          <w:szCs w:val="34"/>
        </w:rPr>
        <w:t xml:space="preserve">AI Vocabulary Reference  •  Tier 5b: AI, Workforce &amp; Bias</w:t>
      </w:r>
    </w:p>
    <w:p>
      <w:pPr>
        <w:spacing w:after="60" w:before="0"/>
      </w:pPr>
      <w:r>
        <w:rPr>
          <w:rFonts w:ascii="Arial" w:cs="Arial" w:eastAsia="Arial" w:hAnsi="Arial"/>
          <w:i/>
          <w:iCs/>
          <w:color w:val="555555"/>
          <w:sz w:val="22"/>
          <w:szCs w:val="22"/>
        </w:rPr>
        <w:t xml:space="preserve">The language of systemic impact  •  Aurorae Group, LLC</w:t>
      </w:r>
    </w:p>
    <w:p>
      <w:pPr>
        <w:pBdr>
          <w:bottom w:val="single" w:color="1B3A5C" w:sz="12" w:space="4"/>
        </w:pBdr>
        <w:spacing w:after="0" w:before="0"/>
      </w:pPr>
      <w:r>
        <w:t xml:space="preserve"/>
      </w:r>
    </w:p>
    <w:p>
      <w:pPr>
        <w:spacing w:after="0" w:before="160"/>
      </w:pPr>
      <w:r>
        <w:t xml:space="preserve"/>
      </w:r>
    </w:p>
    <w:p>
      <w:pPr>
        <w:spacing w:after="200" w:before="0"/>
      </w:pPr>
      <w:r>
        <w:rPr>
          <w:rFonts w:ascii="Arial" w:cs="Arial" w:eastAsia="Arial" w:hAnsi="Arial"/>
          <w:color w:val="333333"/>
          <w:sz w:val="22"/>
          <w:szCs w:val="22"/>
        </w:rPr>
        <w:t xml:space="preserve">This reference addresses the systemic consequences of AI adoption — for workforces, for equity, and for the integrity of knowledge itself. It is designed for senior leaders thinking about organizational strategy, mission alignment, and the broader societal implications of AI. It assumes familiarity with foundational AI concepts (Tier 1) and governance vocabulary (Tier 3).</w:t>
      </w:r>
    </w:p>
    <w:p>
      <w:pPr>
        <w:pBdr>
          <w:bottom w:val="single" w:color="1B3A5C" w:sz="6" w:space="4"/>
        </w:pBdr>
        <w:spacing w:after="120" w:before="320"/>
      </w:pPr>
      <w:r>
        <w:rPr>
          <w:rFonts w:ascii="Arial" w:cs="Arial" w:eastAsia="Arial" w:hAnsi="Arial"/>
          <w:b/>
          <w:bCs/>
          <w:color w:val="1B3A5C"/>
          <w:sz w:val="26"/>
          <w:szCs w:val="26"/>
        </w:rPr>
        <w:t xml:space="preserve">Organizational and Workforce Implications</w:t>
      </w:r>
    </w:p>
    <w:p>
      <w:pPr>
        <w:spacing w:after="160" w:before="80"/>
      </w:pPr>
      <w:r>
        <w:rPr>
          <w:rFonts w:ascii="Arial" w:cs="Arial" w:eastAsia="Arial" w:hAnsi="Arial"/>
          <w:i/>
          <w:iCs/>
          <w:color w:val="555555"/>
          <w:sz w:val="20"/>
          <w:szCs w:val="20"/>
        </w:rPr>
        <w:t xml:space="preserve">The strategic vocabulary for leaders making decisions about how AI reshapes roles, skills, and the distribution of work — and who bears the cost.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Augmentation vs. Displacement</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distinction between AI expanding what humans can do versus AI replacing what humans do. This is not a fixed property of a technology but a function of how work is redesigned around it. The same tool can augment in one organizational context and displace in another, depending on how leaders make decisions about roles, workflows, and investment.</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This is the central strategic question for any leader making AI adoption decisions. Organizations that frame AI exclusively as a productivity tool without deliberately redesigning roles tend toward displacement by default. Those that invest in augmentation — intentionally preserving and elevating human judgment — build more resilient and equitable workforces.</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Task Decomposition</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process of breaking complex work into component tasks, some of which AI can perform and some of which require human judgment. Task decomposition is the analytical foundation for understanding which aspects of a role are affected by AI, which are protected by the nature of human work, and which require redesign.</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Leaders who think in terms of tasks rather than jobs make better AI adoption decisions. Most roles contain a mix of routine, codifiable tasks that AI handles well and judgment-intensive, relational, or contextual tasks that it does not. Understanding this mix for your own organization is prerequisite to responsible workforce planning.</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Skills Adjacency</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degree to which existing human skills transfer to AI-augmented work environments. High skills adjacency means existing competencies remain valuable with some adaptation. Low adjacency means the shift requires substantially new learning. Skills adjacency analysis is a core tool for workforce transition planning.</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For organizations committed to workforce equity, skills adjacency determines who bears the cost of AI adoption. Workers with lower skills adjacency — often those in routine, codifiable roles — face higher displacement risk with fewer natural pathways to transition. Leadership decisions about reskilling investment are, at their core, equity decisions.</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Workforce Transition</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organizational and societal process of moving people from roles being displaced by AI toward roles where human judgment, creativity, and relationships remain central. Workforce transition requires not just retraining but redesign of career pathways, compensation structures, and organizational learning systems.</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Workforce transition is not a future problem — it is a present one in many sectors. For mission-driven organizations whose constituents include communities most affected by economic disruption, workforce transition is simultaneously an internal people strategy and an external program strategy. These two conversations need to be in the same room.</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Epistemic Labor</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work of thinking, evaluating, synthesizing, and making judgments — as distinct from the visible, measurable outputs of that work. As AI automates the output layer of knowledge work, epistemic labor becomes both more valuable and more invisible, creating new risks of undervaluation and misattribution.</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When AI produces the visible artifact, the human's contribution — the judgment, the framing, the evaluative criteria, the accountability — can become harder to see and easier to discount. Organizations that do not actively name and protect epistemic labor risk creating cultures where thinking is assumed to be free, and the humans who do it are expendable.</w:t>
            </w:r>
          </w:p>
        </w:tc>
      </w:tr>
    </w:tbl>
    <w:p>
      <w:pPr>
        <w:spacing w:after="0" w:before="160"/>
      </w:pPr>
      <w:r>
        <w:t xml:space="preserve"/>
      </w:r>
    </w:p>
    <w:p>
      <w:pPr>
        <w:pBdr>
          <w:bottom w:val="single" w:color="1B3A5C" w:sz="6" w:space="4"/>
        </w:pBdr>
        <w:spacing w:after="120" w:before="320"/>
      </w:pPr>
      <w:r>
        <w:rPr>
          <w:rFonts w:ascii="Arial" w:cs="Arial" w:eastAsia="Arial" w:hAnsi="Arial"/>
          <w:b/>
          <w:bCs/>
          <w:color w:val="1B3A5C"/>
          <w:sz w:val="26"/>
          <w:szCs w:val="26"/>
        </w:rPr>
        <w:t xml:space="preserve">Bias, Representation, and Security Risks</w:t>
      </w:r>
    </w:p>
    <w:p>
      <w:pPr>
        <w:spacing w:after="160" w:before="80"/>
      </w:pPr>
      <w:r>
        <w:rPr>
          <w:rFonts w:ascii="Arial" w:cs="Arial" w:eastAsia="Arial" w:hAnsi="Arial"/>
          <w:i/>
          <w:iCs/>
          <w:color w:val="555555"/>
          <w:sz w:val="20"/>
          <w:szCs w:val="20"/>
        </w:rPr>
        <w:t xml:space="preserve">What is embedded in AI systems before anyone uses them — and what that means for equity, mission integrity, and organizational security.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Training Data Bias</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systematic skewing of an AI model's outputs as a result of patterns, imbalances, or omissions in the data it was trained on. Training data bias is not a bug that can be fixed in isolation — it reflects the biases present in the human-generated content that constitutes the training corpus.</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Every AI output carries the fingerprints of its training data. Leaders who treat AI outputs as neutral or objective — without asking whose knowledge, whose language, and whose perspective shaped the model — are making a consequential assumption. Asking this question is a basic act of due diligence.</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Structural Bias</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embedding in AI systems of historical patterns of inequity — including colonial epistemologies, androcentric research frameworks, and the systematic underrepresentation of Global South scholarship, indigenous knowledge systems, non-English language research, and perspectives of communities historically excluded from knowledge production.</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LLMs are trained predominantly on digitized, published, English-language content — itself the product of centuries of unequal access to publication, credentialing, and scholarly recognition. When AI generates authoritative-sounding knowledge, it is largely reproducing dominant epistemic traditions. This is structural, not incidental, and it requires structural awareness to counter.</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Representation Gap</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absence or underrepresentation of particular perspectives, communities, languages, or knowledge traditions in AI training data and outputs. The representation gap means AI systems are significantly more fluent, accurate, and reliable for some contexts, languages, and populations than for others.</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For organizations whose mission, constituency, or workforce includes communities underrepresented in AI training data, the representation gap is a direct equity risk. AI tools may perform less reliably for the populations you serve, generate less accurate outputs about their contexts, and reproduce dominant-culture assumptions in ways that undermine rather than advance your mission.</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Epistemic Monoculture</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risk that AI-assisted knowledge production converges on a narrow set of dominant perspectives, frameworks, and ideas — crowding out intellectual diversity, minority viewpoints, and heterodox thinking. As AI tools become standard across organizations and disciplines, the range of ideas they surface and amplify narrows.</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When most people in a field or organization use the same AI tools trained on the same data, the diversity of thought that drives innovation, challenge, and course-correction contracts. This is an argument for deliberate investment in perspectives, sources, and thinkers that AI does not naturally surface — and for treating intellectual diversity as a strategic asset, not a compliance exercise.</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Persona Drift</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gradual, often imperceptible shift in how a person thinks, frames problems, expresses ideas, or presents themselves as a result of sustained interaction with AI systems. Unlike prompt injection, persona drift is not a cyberattack — it is an emergent effect of the AI shaping the human through repeated dialogue.</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Leaders who regularly use AI as a thinking partner may find their conceptual vocabulary, their problem framing, or their communication style subtly converging toward AI-generated patterns. Awareness of this risk is the first step toward managing it — which requires periodic deliberate divergence from AI-generated framing and intentional return to one's own unmediated thinking.</w:t>
            </w:r>
          </w:p>
        </w:tc>
      </w:tr>
    </w:tbl>
    <w:p>
      <w:pPr>
        <w:spacing w:after="0" w:before="280"/>
      </w:pPr>
      <w:r>
        <w:t xml:space="preserve"/>
      </w:r>
    </w:p>
    <w:p>
      <w:pPr>
        <w:pBdr>
          <w:top w:val="single" w:color="CCCCCC" w:sz="4" w:space="8"/>
        </w:pBdr>
        <w:spacing w:after="60" w:before="0"/>
      </w:pPr>
      <w:r>
        <w:rPr>
          <w:rFonts w:ascii="Arial" w:cs="Arial" w:eastAsia="Arial" w:hAnsi="Arial"/>
          <w:color w:val="888888"/>
          <w:sz w:val="18"/>
          <w:szCs w:val="18"/>
        </w:rPr>
        <w:t xml:space="preserve">Aurorae Group, LLC  •  shana@auroraegroup.com  •  484-760-0079  •  www.auroraegroup.com</w:t>
      </w:r>
    </w:p>
    <w:p>
      <w:pPr>
        <w:spacing w:after="0" w:before="40"/>
      </w:pPr>
      <w:r>
        <w:rPr>
          <w:rFonts w:ascii="Arial" w:cs="Arial" w:eastAsia="Arial" w:hAnsi="Arial"/>
          <w:i/>
          <w:iCs/>
          <w:color w:val="888888"/>
          <w:sz w:val="18"/>
          <w:szCs w:val="18"/>
        </w:rPr>
        <w:t xml:space="preserve">Tier 5b: AI, Workforce &amp; Bias  •  Part of the Aurorae Group AI Vocabulary Reference Series</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2026-05-10T04:52:37.663Z</dcterms:created>
  <dcterms:modified xsi:type="dcterms:W3CDTF">2026-05-10T04:52:37.663Z</dcterms:modified>
</cp:coreProperties>
</file>

<file path=docProps/custom.xml><?xml version="1.0" encoding="utf-8"?>
<Properties xmlns="http://schemas.openxmlformats.org/officeDocument/2006/custom-properties" xmlns:vt="http://schemas.openxmlformats.org/officeDocument/2006/docPropsVTypes"/>
</file>