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CCDBB" w14:textId="144C3095" w:rsidR="0067159F" w:rsidRDefault="008D7D89" w:rsidP="0067159F">
      <w:pPr>
        <w:contextualSpacing/>
        <w:rPr>
          <w:i/>
          <w:iCs/>
          <w:u w:val="single"/>
        </w:rPr>
      </w:pPr>
      <w:r>
        <w:rPr>
          <w:i/>
          <w:iCs/>
          <w:u w:val="single"/>
        </w:rPr>
        <w:t>VIA ELECTRONIC MAIL (</w:t>
      </w:r>
      <w:r w:rsidRPr="008D7D89">
        <w:rPr>
          <w:i/>
          <w:iCs/>
          <w:u w:val="single"/>
        </w:rPr>
        <w:t>riley.keaton@wvhouse.gov</w:t>
      </w:r>
      <w:r>
        <w:rPr>
          <w:i/>
          <w:iCs/>
          <w:u w:val="single"/>
        </w:rPr>
        <w:t>)</w:t>
      </w:r>
    </w:p>
    <w:p w14:paraId="518124FC" w14:textId="77777777" w:rsidR="008D7D89" w:rsidRDefault="008D7D89" w:rsidP="0067159F">
      <w:pPr>
        <w:contextualSpacing/>
        <w:rPr>
          <w:i/>
          <w:iCs/>
          <w:u w:val="single"/>
        </w:rPr>
      </w:pPr>
    </w:p>
    <w:p w14:paraId="19C06372" w14:textId="2C08CD55" w:rsidR="000C0D0F" w:rsidRDefault="00CB41DA">
      <w:r>
        <w:t xml:space="preserve">January </w:t>
      </w:r>
      <w:r w:rsidR="008D7D89">
        <w:t>20</w:t>
      </w:r>
      <w:r>
        <w:t>, 2022</w:t>
      </w:r>
    </w:p>
    <w:p w14:paraId="2589EAC4" w14:textId="15E2EAA9" w:rsidR="009B122F" w:rsidRDefault="009B122F" w:rsidP="009B122F">
      <w:pPr>
        <w:contextualSpacing/>
      </w:pPr>
      <w:r>
        <w:t>The Honorable</w:t>
      </w:r>
      <w:r w:rsidRPr="009B122F">
        <w:t xml:space="preserve"> </w:t>
      </w:r>
      <w:r w:rsidR="008D7D89">
        <w:t>Riley Keaton</w:t>
      </w:r>
    </w:p>
    <w:p w14:paraId="54697D49" w14:textId="6EF8708B" w:rsidR="002E08E0" w:rsidRDefault="008D7D89" w:rsidP="002E08E0">
      <w:pPr>
        <w:contextualSpacing/>
      </w:pPr>
      <w:r w:rsidRPr="008D7D89">
        <w:t>Assistant Majority Whip</w:t>
      </w:r>
    </w:p>
    <w:p w14:paraId="4C027DBB" w14:textId="7F8B8986" w:rsidR="008D7D89" w:rsidRDefault="008D7D89" w:rsidP="002E08E0">
      <w:pPr>
        <w:contextualSpacing/>
      </w:pPr>
      <w:r>
        <w:t>West Virginia House of Delegates</w:t>
      </w:r>
    </w:p>
    <w:p w14:paraId="46B02B20" w14:textId="77777777" w:rsidR="008D7D89" w:rsidRDefault="008D7D89" w:rsidP="008D7D89">
      <w:pPr>
        <w:contextualSpacing/>
      </w:pPr>
      <w:r>
        <w:t>Room 219E, Building 1</w:t>
      </w:r>
    </w:p>
    <w:p w14:paraId="6F73546C" w14:textId="77777777" w:rsidR="008D7D89" w:rsidRDefault="008D7D89" w:rsidP="008D7D89">
      <w:pPr>
        <w:contextualSpacing/>
      </w:pPr>
      <w:r>
        <w:t>State Capitol Complex</w:t>
      </w:r>
    </w:p>
    <w:p w14:paraId="2727CAF9" w14:textId="367A9F5B" w:rsidR="008D7D89" w:rsidRDefault="008D7D89" w:rsidP="008D7D89">
      <w:pPr>
        <w:contextualSpacing/>
      </w:pPr>
      <w:r>
        <w:t>Charleston, WV 25305</w:t>
      </w:r>
    </w:p>
    <w:p w14:paraId="56BFB3C6" w14:textId="77777777" w:rsidR="008D7D89" w:rsidRDefault="008D7D89" w:rsidP="002E08E0">
      <w:pPr>
        <w:contextualSpacing/>
      </w:pPr>
    </w:p>
    <w:p w14:paraId="065B0EF5" w14:textId="62046A42" w:rsidR="009B122F" w:rsidRDefault="009B122F" w:rsidP="007E14D3">
      <w:pPr>
        <w:ind w:left="720" w:hanging="720"/>
        <w:contextualSpacing/>
      </w:pPr>
      <w:r>
        <w:t>RE:</w:t>
      </w:r>
      <w:r>
        <w:tab/>
      </w:r>
      <w:r w:rsidR="008D7D89">
        <w:t>Opposition to H.B 3099, regarding Grand Parent Visitation</w:t>
      </w:r>
    </w:p>
    <w:p w14:paraId="253CAFCC" w14:textId="77777777" w:rsidR="007E14D3" w:rsidRDefault="007E14D3" w:rsidP="002E08E0">
      <w:pPr>
        <w:contextualSpacing/>
      </w:pPr>
    </w:p>
    <w:p w14:paraId="686F2438" w14:textId="002DCEF1" w:rsidR="002E08E0" w:rsidRDefault="002E08E0" w:rsidP="002E08E0">
      <w:pPr>
        <w:contextualSpacing/>
      </w:pPr>
      <w:r>
        <w:t xml:space="preserve">Dear </w:t>
      </w:r>
      <w:r w:rsidR="008D7D89">
        <w:t>Delegate Keaton</w:t>
      </w:r>
      <w:r>
        <w:t>:</w:t>
      </w:r>
    </w:p>
    <w:p w14:paraId="1F059D0F" w14:textId="35670E6F" w:rsidR="002E08E0" w:rsidRDefault="002E08E0" w:rsidP="002E08E0">
      <w:pPr>
        <w:contextualSpacing/>
      </w:pPr>
    </w:p>
    <w:p w14:paraId="11A6B99E" w14:textId="77777777" w:rsidR="008D7D89" w:rsidRDefault="008C16E6" w:rsidP="002E08E0">
      <w:pPr>
        <w:contextualSpacing/>
      </w:pPr>
      <w:r>
        <w:t xml:space="preserve">On behalf of our thousands of supporters in </w:t>
      </w:r>
      <w:r w:rsidR="008D7D89">
        <w:t>West Virginia</w:t>
      </w:r>
      <w:r>
        <w:t xml:space="preserve">, we </w:t>
      </w:r>
      <w:r w:rsidR="008D7D89">
        <w:t>write to you today to express our strong opposition to your bill, H.B. 3099 for the following reasons.</w:t>
      </w:r>
    </w:p>
    <w:p w14:paraId="1099191C" w14:textId="3F07E273" w:rsidR="008C16E6" w:rsidRDefault="008D7D89" w:rsidP="008D7D89">
      <w:pPr>
        <w:pStyle w:val="ListParagraph"/>
        <w:numPr>
          <w:ilvl w:val="0"/>
          <w:numId w:val="4"/>
        </w:numPr>
      </w:pPr>
      <w:r>
        <w:t xml:space="preserve">H.B. 3099 </w:t>
      </w:r>
      <w:r w:rsidR="00C54232">
        <w:t xml:space="preserve">proposes to </w:t>
      </w:r>
      <w:r>
        <w:t xml:space="preserve">change West Virginia law </w:t>
      </w:r>
      <w:r w:rsidR="00C54232">
        <w:t>in a manner that</w:t>
      </w:r>
      <w:r>
        <w:t xml:space="preserve"> </w:t>
      </w:r>
      <w:r w:rsidR="00C54232">
        <w:t xml:space="preserve">unconstitutionally </w:t>
      </w:r>
      <w:r>
        <w:t>interfere</w:t>
      </w:r>
      <w:r w:rsidR="008C317C">
        <w:t>s</w:t>
      </w:r>
      <w:r>
        <w:t xml:space="preserve"> with the fundamental right of </w:t>
      </w:r>
      <w:r w:rsidR="00C54232">
        <w:t xml:space="preserve">loving </w:t>
      </w:r>
      <w:r>
        <w:t xml:space="preserve">parents to direct the education, upbringing, </w:t>
      </w:r>
      <w:r w:rsidR="00C54232">
        <w:t xml:space="preserve">nurture, </w:t>
      </w:r>
      <w:r>
        <w:t xml:space="preserve">and care of their minor children. This right has long </w:t>
      </w:r>
      <w:r w:rsidR="0051492E">
        <w:t xml:space="preserve">been </w:t>
      </w:r>
      <w:r>
        <w:t>protected by the U.S. Supreme Court</w:t>
      </w:r>
      <w:r>
        <w:rPr>
          <w:rStyle w:val="FootnoteReference"/>
        </w:rPr>
        <w:footnoteReference w:id="1"/>
      </w:r>
      <w:r>
        <w:t xml:space="preserve"> and by </w:t>
      </w:r>
      <w:r w:rsidR="00CF0E87">
        <w:t xml:space="preserve">the </w:t>
      </w:r>
      <w:r>
        <w:t xml:space="preserve">West Virginia </w:t>
      </w:r>
      <w:r w:rsidR="00CF0E87">
        <w:t>Supreme Court of Appeals</w:t>
      </w:r>
      <w:r>
        <w:t>.</w:t>
      </w:r>
      <w:r w:rsidR="00651D81">
        <w:rPr>
          <w:rStyle w:val="FootnoteReference"/>
        </w:rPr>
        <w:footnoteReference w:id="2"/>
      </w:r>
      <w:r>
        <w:t xml:space="preserve"> </w:t>
      </w:r>
    </w:p>
    <w:p w14:paraId="1D8B8040" w14:textId="77777777" w:rsidR="00ED65ED" w:rsidRDefault="00ED65ED" w:rsidP="00ED65ED">
      <w:pPr>
        <w:pStyle w:val="ListParagraph"/>
      </w:pPr>
    </w:p>
    <w:p w14:paraId="67C5403F" w14:textId="297C0D3D" w:rsidR="008C317C" w:rsidRDefault="008C317C" w:rsidP="008D7D89">
      <w:pPr>
        <w:pStyle w:val="ListParagraph"/>
        <w:numPr>
          <w:ilvl w:val="0"/>
          <w:numId w:val="4"/>
        </w:numPr>
      </w:pPr>
      <w:r>
        <w:t xml:space="preserve">H.B. 3099 is directly contrary to the U.S. Supreme Court’s decision in </w:t>
      </w:r>
      <w:r>
        <w:rPr>
          <w:i/>
          <w:iCs/>
        </w:rPr>
        <w:t>Troxel v. Granville</w:t>
      </w:r>
      <w:r w:rsidR="00ED65ED">
        <w:rPr>
          <w:i/>
          <w:iCs/>
        </w:rPr>
        <w:t xml:space="preserve">, </w:t>
      </w:r>
      <w:r w:rsidR="00ED65ED">
        <w:t>530 U.S. 57 (2000)</w:t>
      </w:r>
      <w:r w:rsidR="000B3D2C">
        <w:t xml:space="preserve">, a case that dealt with grandparents using a </w:t>
      </w:r>
      <w:r w:rsidR="000B3D2C">
        <w:lastRenderedPageBreak/>
        <w:t xml:space="preserve">Washington state law </w:t>
      </w:r>
      <w:proofErr w:type="gramStart"/>
      <w:r w:rsidR="000B3D2C">
        <w:t>similar to</w:t>
      </w:r>
      <w:proofErr w:type="gramEnd"/>
      <w:r w:rsidR="000B3D2C">
        <w:t xml:space="preserve"> proposed H.B. 3099 to seek visitation of </w:t>
      </w:r>
      <w:r w:rsidR="00A07250">
        <w:t xml:space="preserve">their two granddaughters </w:t>
      </w:r>
      <w:r w:rsidR="000B3D2C">
        <w:t>over the parent</w:t>
      </w:r>
      <w:r w:rsidR="00A07250">
        <w:t>’</w:t>
      </w:r>
      <w:r w:rsidR="000B3D2C">
        <w:t>s wishes</w:t>
      </w:r>
      <w:r>
        <w:rPr>
          <w:i/>
          <w:iCs/>
        </w:rPr>
        <w:t>.</w:t>
      </w:r>
      <w:r>
        <w:t xml:space="preserve"> In that case, the U.S. Supreme Court struck down Washington</w:t>
      </w:r>
      <w:r w:rsidR="003C5C22">
        <w:t>’s</w:t>
      </w:r>
      <w:r>
        <w:t xml:space="preserve"> </w:t>
      </w:r>
      <w:r w:rsidR="000B3D2C">
        <w:t xml:space="preserve">nonparent visitation </w:t>
      </w:r>
      <w:r>
        <w:t xml:space="preserve">law as unconstitutional. Washington’s law that was at issue in </w:t>
      </w:r>
      <w:r>
        <w:rPr>
          <w:i/>
          <w:iCs/>
        </w:rPr>
        <w:t xml:space="preserve">Troxel </w:t>
      </w:r>
      <w:r>
        <w:t xml:space="preserve">was </w:t>
      </w:r>
      <w:r w:rsidR="000B3D2C">
        <w:t xml:space="preserve">extraordinarily </w:t>
      </w:r>
      <w:proofErr w:type="gramStart"/>
      <w:r>
        <w:t>similar to</w:t>
      </w:r>
      <w:proofErr w:type="gramEnd"/>
      <w:r>
        <w:t xml:space="preserve"> proposed H.B. 3099</w:t>
      </w:r>
      <w:r w:rsidR="0051492E">
        <w:t>. As the U.S. Supreme Court stated:</w:t>
      </w:r>
    </w:p>
    <w:p w14:paraId="3320CAE7" w14:textId="77777777" w:rsidR="00ED65ED" w:rsidRDefault="00ED65ED" w:rsidP="00ED65ED">
      <w:pPr>
        <w:pStyle w:val="ListParagraph"/>
      </w:pPr>
    </w:p>
    <w:p w14:paraId="59285CF6" w14:textId="71B7B5C0" w:rsidR="00ED65ED" w:rsidRDefault="00ED65ED" w:rsidP="00ED65ED">
      <w:pPr>
        <w:pStyle w:val="ListParagraph"/>
        <w:ind w:left="1440" w:right="720"/>
        <w:jc w:val="both"/>
      </w:pPr>
      <w:r>
        <w:t>“</w:t>
      </w:r>
      <w:r w:rsidRPr="00ED65ED">
        <w:t>The Washington nonparental visitation statute is breathtakingly broad. According to the statute</w:t>
      </w:r>
      <w:r w:rsidR="0051492E">
        <w:t>’</w:t>
      </w:r>
      <w:r w:rsidRPr="00ED65ED">
        <w:t xml:space="preserve">s text, </w:t>
      </w:r>
      <w:r>
        <w:t>“</w:t>
      </w:r>
      <w:r w:rsidRPr="00ED65ED">
        <w:rPr>
          <w:i/>
          <w:iCs/>
        </w:rPr>
        <w:t>any person</w:t>
      </w:r>
      <w:r w:rsidRPr="00ED65ED">
        <w:t xml:space="preserve"> may petition the court for visitation rights </w:t>
      </w:r>
      <w:r w:rsidRPr="00ED65ED">
        <w:rPr>
          <w:i/>
          <w:iCs/>
        </w:rPr>
        <w:t>at any time</w:t>
      </w:r>
      <w:r w:rsidRPr="00ED65ED">
        <w:t>,</w:t>
      </w:r>
      <w:r>
        <w:t>”</w:t>
      </w:r>
      <w:r w:rsidRPr="00ED65ED">
        <w:t xml:space="preserve"> and the court may grant such visitation rights whenever </w:t>
      </w:r>
      <w:r>
        <w:t>“</w:t>
      </w:r>
      <w:r w:rsidRPr="00ED65ED">
        <w:t xml:space="preserve">visitation may serve </w:t>
      </w:r>
      <w:r w:rsidRPr="00ED65ED">
        <w:rPr>
          <w:i/>
          <w:iCs/>
        </w:rPr>
        <w:t>the</w:t>
      </w:r>
      <w:r w:rsidRPr="00ED65ED">
        <w:t xml:space="preserve"> </w:t>
      </w:r>
      <w:r w:rsidRPr="00ED65ED">
        <w:rPr>
          <w:i/>
          <w:iCs/>
        </w:rPr>
        <w:t>best interest of the child.</w:t>
      </w:r>
      <w:r>
        <w:t>”</w:t>
      </w:r>
      <w:r w:rsidRPr="00ED65ED">
        <w:t xml:space="preserve"> § 26.10.160(3) (emphases added). That language effectively permits any </w:t>
      </w:r>
      <w:proofErr w:type="gramStart"/>
      <w:r w:rsidRPr="00ED65ED">
        <w:t>third party</w:t>
      </w:r>
      <w:proofErr w:type="gramEnd"/>
      <w:r w:rsidRPr="00ED65ED">
        <w:t xml:space="preserve"> seeking visitation to subject any decision by a parent concerning visitation of the parent</w:t>
      </w:r>
      <w:r w:rsidR="0051492E">
        <w:t>’</w:t>
      </w:r>
      <w:r w:rsidRPr="00ED65ED">
        <w:t>s children to state-court review. Once the visitation petition has been filed in court and the matter is placed before a judge, a parent's decision that visitation would not be in the child</w:t>
      </w:r>
      <w:r w:rsidR="0051492E">
        <w:t>’</w:t>
      </w:r>
      <w:r w:rsidRPr="00ED65ED">
        <w:t>s best interest is accorded no deference. Section 26.10.160(3) contains no requirement that a court accord the parent</w:t>
      </w:r>
      <w:r w:rsidR="0051492E">
        <w:t>’</w:t>
      </w:r>
      <w:r w:rsidRPr="00ED65ED">
        <w:t>s decision any presumption of validity or any weight whatsoever. Instead, the Washington statute places the best-interest determination solely in the hands of the judge. Should the judge disagree with the parent's estimation of the child</w:t>
      </w:r>
      <w:r w:rsidR="0051492E">
        <w:t>’</w:t>
      </w:r>
      <w:r w:rsidRPr="00ED65ED">
        <w:t>s best interests, the judge</w:t>
      </w:r>
      <w:r w:rsidR="0051492E">
        <w:t>’</w:t>
      </w:r>
      <w:r w:rsidRPr="00ED65ED">
        <w:t>s view necessarily prevails. Thus, in practical effect, in the State of Washington a court can disregard and overturn any decision by a fit custodial parent concerning visitation whenever a third party affected by the decision files a visitation petition, based solely on the judge</w:t>
      </w:r>
      <w:r w:rsidR="0051492E">
        <w:t>’</w:t>
      </w:r>
      <w:r w:rsidRPr="00ED65ED">
        <w:t>s determination of the child</w:t>
      </w:r>
      <w:r w:rsidR="0051492E">
        <w:t>’</w:t>
      </w:r>
      <w:r w:rsidRPr="00ED65ED">
        <w:t>s best interests.</w:t>
      </w:r>
      <w:r>
        <w:t>”</w:t>
      </w:r>
      <w:r>
        <w:rPr>
          <w:rStyle w:val="FootnoteReference"/>
        </w:rPr>
        <w:footnoteReference w:id="3"/>
      </w:r>
    </w:p>
    <w:p w14:paraId="282A2CE7" w14:textId="7745210C" w:rsidR="008C16E6" w:rsidRDefault="00ED65ED" w:rsidP="000B3D2C">
      <w:pPr>
        <w:ind w:left="720"/>
        <w:contextualSpacing/>
      </w:pPr>
      <w:r>
        <w:t>The U.S. Supreme Court went on to strike down Washington’s law as unconstitutional:</w:t>
      </w:r>
    </w:p>
    <w:p w14:paraId="596AE3EA" w14:textId="3211C032" w:rsidR="00ED65ED" w:rsidRDefault="00ED65ED" w:rsidP="002E08E0">
      <w:pPr>
        <w:contextualSpacing/>
      </w:pPr>
    </w:p>
    <w:p w14:paraId="6E071B4C" w14:textId="22A23765" w:rsidR="000B3D2C" w:rsidRDefault="000B3D2C" w:rsidP="000B3D2C">
      <w:pPr>
        <w:ind w:left="1440" w:right="720"/>
        <w:contextualSpacing/>
        <w:jc w:val="both"/>
      </w:pPr>
      <w:r>
        <w:t>“</w:t>
      </w:r>
      <w:r w:rsidRPr="000B3D2C">
        <w:t xml:space="preserve">As we have explained, the Due Process Clause does not permit a State to infringe on the fundamental right of parents to make childrearing decisions simply because a state judge believes a </w:t>
      </w:r>
      <w:r>
        <w:t>“</w:t>
      </w:r>
      <w:r w:rsidRPr="000B3D2C">
        <w:t>better</w:t>
      </w:r>
      <w:r>
        <w:t>”</w:t>
      </w:r>
      <w:r w:rsidRPr="000B3D2C">
        <w:t xml:space="preserve"> decision could be made. Neither the Washington nonparental visitation statute generally -- which places no limits on either the persons who may petition for visitation or the circumstances in which such a petition may be granted -- nor the Superior Court in this specific case required anything more. </w:t>
      </w:r>
      <w:r w:rsidRPr="000B3D2C">
        <w:lastRenderedPageBreak/>
        <w:t>Accordingly, we hold that § 26.10.160(3), as applied in this case, is unconstitutional.</w:t>
      </w:r>
      <w:r>
        <w:t>”</w:t>
      </w:r>
      <w:r>
        <w:rPr>
          <w:rStyle w:val="FootnoteReference"/>
        </w:rPr>
        <w:footnoteReference w:id="4"/>
      </w:r>
    </w:p>
    <w:p w14:paraId="4433F31C" w14:textId="77777777" w:rsidR="00706749" w:rsidRDefault="00706749" w:rsidP="000B3D2C">
      <w:pPr>
        <w:ind w:left="1440" w:right="720"/>
        <w:contextualSpacing/>
        <w:jc w:val="both"/>
      </w:pPr>
    </w:p>
    <w:p w14:paraId="1B1747AC" w14:textId="43CEF960" w:rsidR="0051492E" w:rsidRDefault="0051492E" w:rsidP="002F3FE1">
      <w:pPr>
        <w:contextualSpacing/>
      </w:pPr>
      <w:r>
        <w:t xml:space="preserve">Were H.B. 3099 to be passed into law – and we will do all we can to ensure that does not happen – there is no question that it would be immediately struck down </w:t>
      </w:r>
      <w:r w:rsidR="00706749">
        <w:t xml:space="preserve">by the courts </w:t>
      </w:r>
      <w:r>
        <w:t xml:space="preserve">as an unconstitutional violation of the fundamental right of parents. </w:t>
      </w:r>
    </w:p>
    <w:p w14:paraId="29B68D64" w14:textId="5E90C591" w:rsidR="001D432C" w:rsidRDefault="001D432C" w:rsidP="0044406E">
      <w:pPr>
        <w:contextualSpacing/>
      </w:pPr>
    </w:p>
    <w:p w14:paraId="6B18EDE4" w14:textId="54BADCEB" w:rsidR="0051492E" w:rsidRDefault="0051492E" w:rsidP="0044406E">
      <w:pPr>
        <w:contextualSpacing/>
      </w:pPr>
      <w:r>
        <w:t>Thank you for your consideration of this letter. We respectfully urge you to withdraw H.B. 3099 from consideration.</w:t>
      </w:r>
      <w:r w:rsidR="00706749">
        <w:t xml:space="preserve"> </w:t>
      </w:r>
      <w:r w:rsidR="003C5C22">
        <w:t xml:space="preserve">H.B. 3099 </w:t>
      </w:r>
      <w:r w:rsidR="00706749">
        <w:t xml:space="preserve">is unnecessary, as West Virginia law already </w:t>
      </w:r>
      <w:r w:rsidR="003C5C22">
        <w:t>establishes</w:t>
      </w:r>
      <w:r w:rsidR="00706749">
        <w:t xml:space="preserve"> a process for grandparents to use </w:t>
      </w:r>
      <w:proofErr w:type="gramStart"/>
      <w:r w:rsidR="00706749">
        <w:t>in order to</w:t>
      </w:r>
      <w:proofErr w:type="gramEnd"/>
      <w:r w:rsidR="00706749">
        <w:t xml:space="preserve"> seek visitation of their grandchildren. And this process </w:t>
      </w:r>
      <w:r w:rsidR="003C5C22">
        <w:t>as established</w:t>
      </w:r>
      <w:r w:rsidR="00706749">
        <w:t xml:space="preserve"> in current law does not violate the fundamental right of parents. </w:t>
      </w:r>
    </w:p>
    <w:p w14:paraId="286A8C31" w14:textId="77777777" w:rsidR="0051492E" w:rsidRDefault="0051492E" w:rsidP="0044406E">
      <w:pPr>
        <w:contextualSpacing/>
      </w:pPr>
    </w:p>
    <w:p w14:paraId="7690520D" w14:textId="1A91027A" w:rsidR="00D913CB" w:rsidRDefault="001D432C" w:rsidP="00D913CB">
      <w:pPr>
        <w:contextualSpacing/>
      </w:pPr>
      <w:r>
        <w:t>Please do not hesitate to reach out to me for any reason. I can be reached v</w:t>
      </w:r>
      <w:r w:rsidR="00B52EA8">
        <w:t>ia phone</w:t>
      </w:r>
      <w:r w:rsidR="00D913CB">
        <w:t xml:space="preserve"> at</w:t>
      </w:r>
      <w:r w:rsidR="00B52EA8" w:rsidRPr="00B52EA8">
        <w:t xml:space="preserve"> 540</w:t>
      </w:r>
      <w:r w:rsidR="00B52EA8">
        <w:t>-</w:t>
      </w:r>
      <w:r w:rsidR="00B52EA8" w:rsidRPr="00B52EA8">
        <w:t>751</w:t>
      </w:r>
      <w:r w:rsidR="00B52EA8">
        <w:t>-</w:t>
      </w:r>
      <w:r w:rsidR="00B52EA8" w:rsidRPr="00B52EA8">
        <w:t>1200</w:t>
      </w:r>
      <w:r w:rsidR="00D913CB">
        <w:t xml:space="preserve">, or via email at </w:t>
      </w:r>
      <w:hyperlink r:id="rId8" w:history="1">
        <w:r w:rsidR="00D913CB" w:rsidRPr="00B2584D">
          <w:rPr>
            <w:rStyle w:val="Hyperlink"/>
          </w:rPr>
          <w:t>will@parentalrights.org</w:t>
        </w:r>
      </w:hyperlink>
      <w:r w:rsidR="00D913CB">
        <w:t>.</w:t>
      </w:r>
    </w:p>
    <w:p w14:paraId="6D64AB81" w14:textId="77777777" w:rsidR="00C63C7B" w:rsidRDefault="00C63C7B" w:rsidP="00D913CB">
      <w:pPr>
        <w:contextualSpacing/>
      </w:pPr>
    </w:p>
    <w:p w14:paraId="0D784DDC" w14:textId="32AD97E4" w:rsidR="00D913CB" w:rsidRDefault="00D913CB" w:rsidP="00D913CB">
      <w:r>
        <w:t>Very truly yours,</w:t>
      </w:r>
    </w:p>
    <w:p w14:paraId="08DCA0F3" w14:textId="15D6049D" w:rsidR="0052346E" w:rsidRDefault="0052346E" w:rsidP="0052346E">
      <w:pPr>
        <w:contextualSpacing/>
      </w:pPr>
      <w:r>
        <w:rPr>
          <w:noProof/>
        </w:rPr>
        <w:drawing>
          <wp:inline distT="0" distB="0" distL="0" distR="0" wp14:anchorId="4E7BBA46" wp14:editId="574D648E">
            <wp:extent cx="1961844" cy="60071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3143" cy="607232"/>
                    </a:xfrm>
                    <a:prstGeom prst="rect">
                      <a:avLst/>
                    </a:prstGeom>
                  </pic:spPr>
                </pic:pic>
              </a:graphicData>
            </a:graphic>
          </wp:inline>
        </w:drawing>
      </w:r>
    </w:p>
    <w:p w14:paraId="48A8C6B7" w14:textId="7959D00E" w:rsidR="00D913CB" w:rsidRDefault="00D913CB" w:rsidP="0052346E">
      <w:pPr>
        <w:contextualSpacing/>
      </w:pPr>
      <w:r>
        <w:t>William A. Estrada</w:t>
      </w:r>
    </w:p>
    <w:p w14:paraId="3057D885" w14:textId="6DE3CFEC" w:rsidR="00D913CB" w:rsidRDefault="00D913CB" w:rsidP="0052346E">
      <w:pPr>
        <w:contextualSpacing/>
      </w:pPr>
      <w:r>
        <w:t>President</w:t>
      </w:r>
    </w:p>
    <w:p w14:paraId="57AC7B5B" w14:textId="05A32E82" w:rsidR="0052346E" w:rsidRDefault="0052346E" w:rsidP="0052346E">
      <w:pPr>
        <w:contextualSpacing/>
      </w:pPr>
      <w:r>
        <w:t>ParentalRights.org</w:t>
      </w:r>
    </w:p>
    <w:p w14:paraId="264A2A46" w14:textId="7641AFEA" w:rsidR="00D921B0" w:rsidRDefault="00D921B0" w:rsidP="00D921B0">
      <w:pPr>
        <w:ind w:left="720" w:hanging="720"/>
        <w:contextualSpacing/>
      </w:pPr>
    </w:p>
    <w:p w14:paraId="51068E41" w14:textId="176CCF5E" w:rsidR="00706749" w:rsidRDefault="00706749" w:rsidP="00D921B0">
      <w:pPr>
        <w:ind w:left="720" w:hanging="720"/>
        <w:contextualSpacing/>
      </w:pPr>
      <w:r>
        <w:t>CC:</w:t>
      </w:r>
      <w:r>
        <w:tab/>
      </w:r>
      <w:r w:rsidR="003C5C22">
        <w:t>Delegate Trenton Barnhart (</w:t>
      </w:r>
      <w:hyperlink r:id="rId10" w:history="1">
        <w:r w:rsidR="003C5C22" w:rsidRPr="00E07F67">
          <w:rPr>
            <w:rStyle w:val="Hyperlink"/>
          </w:rPr>
          <w:t>trenton.barnhart@wvhouse.gov</w:t>
        </w:r>
      </w:hyperlink>
      <w:r w:rsidR="003C5C22">
        <w:t xml:space="preserve">) </w:t>
      </w:r>
    </w:p>
    <w:p w14:paraId="445C0AC9" w14:textId="22A3BB0C" w:rsidR="003C5C22" w:rsidRDefault="003C5C22" w:rsidP="00D921B0">
      <w:pPr>
        <w:ind w:left="720" w:hanging="720"/>
        <w:contextualSpacing/>
      </w:pPr>
      <w:r>
        <w:tab/>
        <w:t>Delegate Jonathan Pinson (</w:t>
      </w:r>
      <w:hyperlink r:id="rId11" w:history="1">
        <w:r w:rsidRPr="00E07F67">
          <w:rPr>
            <w:rStyle w:val="Hyperlink"/>
          </w:rPr>
          <w:t>jonathan.pinson@wvhouse.gov</w:t>
        </w:r>
      </w:hyperlink>
      <w:r>
        <w:t>)</w:t>
      </w:r>
    </w:p>
    <w:p w14:paraId="5CA9FADF" w14:textId="66FB0B1E" w:rsidR="003C5C22" w:rsidRDefault="003C5C22" w:rsidP="00D921B0">
      <w:pPr>
        <w:ind w:left="720" w:hanging="720"/>
        <w:contextualSpacing/>
      </w:pPr>
      <w:r>
        <w:tab/>
        <w:t>Delegate Josh Holstein (</w:t>
      </w:r>
      <w:hyperlink r:id="rId12" w:history="1">
        <w:r w:rsidRPr="00E07F67">
          <w:rPr>
            <w:rStyle w:val="Hyperlink"/>
          </w:rPr>
          <w:t>josh.holstein@wvhouse.gov</w:t>
        </w:r>
      </w:hyperlink>
      <w:r>
        <w:t xml:space="preserve">) </w:t>
      </w:r>
    </w:p>
    <w:sectPr w:rsidR="003C5C22" w:rsidSect="00664190">
      <w:headerReference w:type="default" r:id="rId13"/>
      <w:footerReference w:type="default" r:id="rId14"/>
      <w:headerReference w:type="first" r:id="rId15"/>
      <w:footerReference w:type="first" r:id="rId16"/>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7DD2A" w14:textId="77777777" w:rsidR="00763469" w:rsidRDefault="00763469" w:rsidP="00664190">
      <w:pPr>
        <w:spacing w:after="0" w:line="240" w:lineRule="auto"/>
      </w:pPr>
      <w:r>
        <w:separator/>
      </w:r>
    </w:p>
  </w:endnote>
  <w:endnote w:type="continuationSeparator" w:id="0">
    <w:p w14:paraId="4F7E1F3C" w14:textId="77777777" w:rsidR="00763469" w:rsidRDefault="00763469" w:rsidP="00664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56085" w14:textId="77777777" w:rsidR="00664190" w:rsidRDefault="00664190">
    <w:pPr>
      <w:pStyle w:val="Footer"/>
    </w:pPr>
  </w:p>
  <w:p w14:paraId="7AF4C4A0" w14:textId="77777777" w:rsidR="00664190" w:rsidRDefault="006641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19D2" w14:textId="1DAF3D76" w:rsidR="00664190" w:rsidRPr="0005602B" w:rsidRDefault="00DB32F8" w:rsidP="00664190">
    <w:pPr>
      <w:widowControl w:val="0"/>
      <w:spacing w:before="20" w:after="20"/>
      <w:ind w:left="360"/>
      <w:jc w:val="center"/>
      <w:rPr>
        <w:rFonts w:ascii="Calibri" w:hAnsi="Calibri"/>
        <w:b/>
        <w:bCs/>
        <w:color w:val="1C8296"/>
        <w:sz w:val="22"/>
        <w:szCs w:val="22"/>
      </w:rPr>
    </w:pPr>
    <w:r w:rsidRPr="00DB32F8">
      <w:rPr>
        <w:rFonts w:ascii="Calibri" w:hAnsi="Calibri"/>
        <w:b/>
        <w:bCs/>
        <w:color w:val="1C8296"/>
        <w:sz w:val="22"/>
        <w:szCs w:val="22"/>
      </w:rPr>
      <w:t>William A. Estrada, Esq</w:t>
    </w:r>
    <w:r>
      <w:rPr>
        <w:rFonts w:ascii="Calibri" w:hAnsi="Calibri"/>
        <w:color w:val="1C8296"/>
        <w:sz w:val="22"/>
        <w:szCs w:val="22"/>
      </w:rPr>
      <w:t>.</w:t>
    </w:r>
    <w:r w:rsidR="00664190" w:rsidRPr="0005602B">
      <w:rPr>
        <w:rFonts w:ascii="Calibri" w:hAnsi="Calibri"/>
        <w:color w:val="1C8296"/>
        <w:sz w:val="22"/>
        <w:szCs w:val="22"/>
      </w:rPr>
      <w:t xml:space="preserve">, President   •   </w:t>
    </w:r>
    <w:r w:rsidR="004729C0" w:rsidRPr="0005602B">
      <w:rPr>
        <w:rFonts w:ascii="Calibri" w:hAnsi="Calibri"/>
        <w:b/>
        <w:bCs/>
        <w:color w:val="1C8296"/>
        <w:sz w:val="22"/>
        <w:szCs w:val="22"/>
      </w:rPr>
      <w:t>Shaun Alexander</w:t>
    </w:r>
    <w:r w:rsidR="00664190" w:rsidRPr="0005602B">
      <w:rPr>
        <w:rFonts w:ascii="Calibri" w:hAnsi="Calibri"/>
        <w:color w:val="1C8296"/>
        <w:sz w:val="22"/>
        <w:szCs w:val="22"/>
      </w:rPr>
      <w:t>,</w:t>
    </w:r>
    <w:r w:rsidR="00664190" w:rsidRPr="0005602B">
      <w:rPr>
        <w:rFonts w:ascii="Calibri" w:hAnsi="Calibri"/>
        <w:b/>
        <w:bCs/>
        <w:color w:val="1C8296"/>
        <w:sz w:val="22"/>
        <w:szCs w:val="22"/>
      </w:rPr>
      <w:t xml:space="preserve"> </w:t>
    </w:r>
    <w:r w:rsidR="004729C0" w:rsidRPr="0005602B">
      <w:rPr>
        <w:rFonts w:ascii="Calibri" w:hAnsi="Calibri"/>
        <w:color w:val="1C8296"/>
        <w:sz w:val="22"/>
        <w:szCs w:val="22"/>
      </w:rPr>
      <w:t>Vice President</w:t>
    </w:r>
  </w:p>
  <w:p w14:paraId="524739CC" w14:textId="77777777" w:rsidR="00664190" w:rsidRPr="0005602B" w:rsidRDefault="00664190" w:rsidP="00664190">
    <w:pPr>
      <w:widowControl w:val="0"/>
      <w:jc w:val="center"/>
      <w:rPr>
        <w:rFonts w:ascii="Times New Roman" w:hAnsi="Times New Roman"/>
        <w:color w:val="1C8296"/>
        <w:sz w:val="20"/>
        <w:szCs w:val="20"/>
      </w:rPr>
    </w:pPr>
    <w:r w:rsidRPr="0005602B">
      <w:rPr>
        <w:rFonts w:ascii="Calibri" w:hAnsi="Calibri"/>
        <w:color w:val="1C8296"/>
        <w:sz w:val="22"/>
        <w:szCs w:val="22"/>
      </w:rPr>
      <w:t xml:space="preserve">P.O. Box </w:t>
    </w:r>
    <w:proofErr w:type="gramStart"/>
    <w:r w:rsidRPr="0005602B">
      <w:rPr>
        <w:rFonts w:ascii="Calibri" w:hAnsi="Calibri"/>
        <w:color w:val="1C8296"/>
        <w:sz w:val="22"/>
        <w:szCs w:val="22"/>
      </w:rPr>
      <w:t>1090  •</w:t>
    </w:r>
    <w:proofErr w:type="gramEnd"/>
    <w:r w:rsidRPr="0005602B">
      <w:rPr>
        <w:rFonts w:ascii="Calibri" w:hAnsi="Calibri"/>
        <w:color w:val="1C8296"/>
        <w:sz w:val="22"/>
        <w:szCs w:val="22"/>
      </w:rPr>
      <w:t xml:space="preserve"> </w:t>
    </w:r>
    <w:r w:rsidR="00DC5CAB">
      <w:rPr>
        <w:rFonts w:ascii="Calibri" w:hAnsi="Calibri"/>
        <w:color w:val="1C8296"/>
        <w:sz w:val="22"/>
        <w:szCs w:val="22"/>
      </w:rPr>
      <w:t xml:space="preserve"> Purcellville, VA 20134  </w:t>
    </w:r>
    <w:bookmarkStart w:id="0" w:name="_Hlk92461276"/>
    <w:r w:rsidR="00DC5CAB">
      <w:rPr>
        <w:rFonts w:ascii="Calibri" w:hAnsi="Calibri"/>
        <w:color w:val="1C8296"/>
        <w:sz w:val="22"/>
        <w:szCs w:val="22"/>
      </w:rPr>
      <w:t>•  540.751.</w:t>
    </w:r>
    <w:r w:rsidRPr="0005602B">
      <w:rPr>
        <w:rFonts w:ascii="Calibri" w:hAnsi="Calibri"/>
        <w:color w:val="1C8296"/>
        <w:sz w:val="22"/>
        <w:szCs w:val="22"/>
      </w:rPr>
      <w:t xml:space="preserve">1200 </w:t>
    </w:r>
    <w:bookmarkEnd w:id="0"/>
    <w:r w:rsidRPr="0005602B">
      <w:rPr>
        <w:rFonts w:ascii="Calibri" w:hAnsi="Calibri"/>
        <w:color w:val="1C8296"/>
        <w:sz w:val="22"/>
        <w:szCs w:val="22"/>
      </w:rPr>
      <w:t>•  info@parentalrights.org</w:t>
    </w:r>
  </w:p>
  <w:p w14:paraId="11811CE8" w14:textId="77777777" w:rsidR="00664190" w:rsidRPr="0005602B" w:rsidRDefault="00664190" w:rsidP="00664190">
    <w:pPr>
      <w:widowControl w:val="0"/>
      <w:spacing w:before="20" w:after="20"/>
      <w:ind w:left="360"/>
      <w:jc w:val="center"/>
      <w:rPr>
        <w:rFonts w:ascii="Calibri" w:hAnsi="Calibri"/>
        <w:color w:val="1C8296"/>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2C2DF" w14:textId="77777777" w:rsidR="00763469" w:rsidRDefault="00763469" w:rsidP="00664190">
      <w:pPr>
        <w:spacing w:after="0" w:line="240" w:lineRule="auto"/>
      </w:pPr>
      <w:r>
        <w:separator/>
      </w:r>
    </w:p>
  </w:footnote>
  <w:footnote w:type="continuationSeparator" w:id="0">
    <w:p w14:paraId="5F8C65F9" w14:textId="77777777" w:rsidR="00763469" w:rsidRDefault="00763469" w:rsidP="00664190">
      <w:pPr>
        <w:spacing w:after="0" w:line="240" w:lineRule="auto"/>
      </w:pPr>
      <w:r>
        <w:continuationSeparator/>
      </w:r>
    </w:p>
  </w:footnote>
  <w:footnote w:id="1">
    <w:p w14:paraId="10E9E1A1" w14:textId="77777777" w:rsidR="008C317C" w:rsidRDefault="008D7D89">
      <w:pPr>
        <w:pStyle w:val="FootnoteText"/>
      </w:pPr>
      <w:r>
        <w:rPr>
          <w:rStyle w:val="FootnoteReference"/>
        </w:rPr>
        <w:footnoteRef/>
      </w:r>
      <w:r>
        <w:t xml:space="preserve"> </w:t>
      </w:r>
      <w:r>
        <w:rPr>
          <w:i/>
          <w:iCs/>
        </w:rPr>
        <w:t xml:space="preserve">See, e.g., </w:t>
      </w:r>
      <w:r w:rsidRPr="008D7D89">
        <w:rPr>
          <w:i/>
          <w:iCs/>
        </w:rPr>
        <w:t xml:space="preserve">Meyer v. Nebraska, </w:t>
      </w:r>
      <w:r w:rsidRPr="00982A48">
        <w:t xml:space="preserve">262 U.S. 390, 399, 401 (1923) (the </w:t>
      </w:r>
      <w:r w:rsidR="008C317C">
        <w:t>“</w:t>
      </w:r>
      <w:r w:rsidRPr="00982A48">
        <w:t>liberty</w:t>
      </w:r>
      <w:r w:rsidR="008C317C">
        <w:t>”</w:t>
      </w:r>
      <w:r w:rsidRPr="00982A48">
        <w:t xml:space="preserve"> protected by the Due Process Clause includes the right of parents to </w:t>
      </w:r>
      <w:r w:rsidR="008C317C">
        <w:t>“</w:t>
      </w:r>
      <w:r w:rsidRPr="00982A48">
        <w:t>establish a home and bring up children</w:t>
      </w:r>
      <w:r w:rsidR="008C317C">
        <w:t>”</w:t>
      </w:r>
      <w:r w:rsidRPr="00982A48">
        <w:t xml:space="preserve"> and </w:t>
      </w:r>
      <w:r w:rsidR="008C317C">
        <w:t>“</w:t>
      </w:r>
      <w:r w:rsidRPr="00982A48">
        <w:t>to control the education of their own.</w:t>
      </w:r>
      <w:r w:rsidR="008C317C">
        <w:t>”</w:t>
      </w:r>
      <w:r w:rsidR="00982A48" w:rsidRPr="00982A48">
        <w:t>);</w:t>
      </w:r>
      <w:r w:rsidR="00982A48">
        <w:rPr>
          <w:i/>
          <w:iCs/>
        </w:rPr>
        <w:t xml:space="preserve"> </w:t>
      </w:r>
      <w:r w:rsidRPr="008D7D89">
        <w:rPr>
          <w:i/>
          <w:iCs/>
        </w:rPr>
        <w:t xml:space="preserve">Pierce v. Society of Sisters, </w:t>
      </w:r>
      <w:r w:rsidRPr="00982A48">
        <w:t>268 U.S. 510, 534-535, (1925)</w:t>
      </w:r>
      <w:r w:rsidR="00982A48" w:rsidRPr="00982A48">
        <w:t xml:space="preserve"> (</w:t>
      </w:r>
      <w:r w:rsidRPr="00982A48">
        <w:t>the "</w:t>
      </w:r>
    </w:p>
    <w:p w14:paraId="0F24AB9D" w14:textId="0FB08F89" w:rsidR="008D7D89" w:rsidRPr="008D7D89" w:rsidRDefault="008C317C">
      <w:pPr>
        <w:pStyle w:val="FootnoteText"/>
      </w:pPr>
      <w:r>
        <w:t>“</w:t>
      </w:r>
      <w:proofErr w:type="gramStart"/>
      <w:r w:rsidR="008D7D89" w:rsidRPr="00982A48">
        <w:t>liberty</w:t>
      </w:r>
      <w:proofErr w:type="gramEnd"/>
      <w:r w:rsidR="008D7D89" w:rsidRPr="00982A48">
        <w:t xml:space="preserve"> of parents and guardians</w:t>
      </w:r>
      <w:r>
        <w:t>”</w:t>
      </w:r>
      <w:r w:rsidR="008D7D89" w:rsidRPr="00982A48">
        <w:t xml:space="preserve"> includes the right </w:t>
      </w:r>
      <w:r>
        <w:t>“</w:t>
      </w:r>
      <w:r w:rsidR="008D7D89" w:rsidRPr="00982A48">
        <w:t>to direct the upbringing and education of children under their control.</w:t>
      </w:r>
      <w:r w:rsidR="00982A48" w:rsidRPr="00982A48">
        <w:t xml:space="preserve"> … </w:t>
      </w:r>
      <w:r>
        <w:t>“</w:t>
      </w:r>
      <w:r w:rsidR="008D7D89" w:rsidRPr="00982A48">
        <w:t xml:space="preserve">the child is not the mere creature of the State; those who nurture him and direct his destiny have the right, coupled with the high duty, to </w:t>
      </w:r>
      <w:r w:rsidR="00982A48" w:rsidRPr="00982A48">
        <w:t>recognize and</w:t>
      </w:r>
      <w:r w:rsidR="008D7D89" w:rsidRPr="00982A48">
        <w:t xml:space="preserve"> prepare him for additional obligations.</w:t>
      </w:r>
      <w:r>
        <w:t>”</w:t>
      </w:r>
      <w:r w:rsidR="00982A48" w:rsidRPr="00982A48">
        <w:t>);</w:t>
      </w:r>
      <w:r w:rsidR="00982A48">
        <w:rPr>
          <w:i/>
          <w:iCs/>
        </w:rPr>
        <w:t xml:space="preserve"> P</w:t>
      </w:r>
      <w:r w:rsidR="008D7D89" w:rsidRPr="008D7D89">
        <w:rPr>
          <w:i/>
          <w:iCs/>
        </w:rPr>
        <w:t xml:space="preserve">rince v. Massachusetts, </w:t>
      </w:r>
      <w:r w:rsidR="008D7D89" w:rsidRPr="00982A48">
        <w:t xml:space="preserve">321 U.S. 158, </w:t>
      </w:r>
      <w:r w:rsidR="00982A48" w:rsidRPr="00982A48">
        <w:t xml:space="preserve">166 </w:t>
      </w:r>
      <w:r w:rsidR="008D7D89" w:rsidRPr="00982A48">
        <w:t>(1944)</w:t>
      </w:r>
      <w:r w:rsidR="00982A48" w:rsidRPr="00982A48">
        <w:t xml:space="preserve"> (“</w:t>
      </w:r>
      <w:r w:rsidR="008D7D89" w:rsidRPr="00982A48">
        <w:t xml:space="preserve">It is cardinal with us that the custody, care and nurture of the child reside first in the parents, whose primary function and freedom include preparation for obligations the state can neither supply nor  </w:t>
      </w:r>
      <w:r w:rsidR="00982A48" w:rsidRPr="00982A48">
        <w:t>h</w:t>
      </w:r>
      <w:r w:rsidR="008D7D89" w:rsidRPr="00982A48">
        <w:t>inder.</w:t>
      </w:r>
      <w:r>
        <w:t>”</w:t>
      </w:r>
      <w:r w:rsidR="00982A48" w:rsidRPr="00982A48">
        <w:t>);</w:t>
      </w:r>
      <w:r w:rsidR="00982A48">
        <w:rPr>
          <w:i/>
          <w:iCs/>
        </w:rPr>
        <w:t xml:space="preserve"> </w:t>
      </w:r>
      <w:r w:rsidRPr="008C317C">
        <w:rPr>
          <w:i/>
          <w:iCs/>
        </w:rPr>
        <w:t xml:space="preserve">Wisconsin v. Yoder, </w:t>
      </w:r>
      <w:r w:rsidRPr="008C317C">
        <w:t>406 U.S. 205, 232, (1972) (</w:t>
      </w:r>
      <w:r>
        <w:t>“</w:t>
      </w:r>
      <w:r w:rsidRPr="008C317C">
        <w:t xml:space="preserve">The history and culture of Western civilization reflect a strong tradition of parental concern for the nurture and upbringing of their children. This primary role of the parents in the upbringing of their children is now established beyond debate as an enduring American tradition.”); </w:t>
      </w:r>
      <w:r w:rsidRPr="008C317C">
        <w:rPr>
          <w:i/>
          <w:iCs/>
        </w:rPr>
        <w:t>Parham v. J. R.,</w:t>
      </w:r>
      <w:r w:rsidRPr="008C317C">
        <w:t xml:space="preserve"> 442 U.S. 584, 602, 61 L. Ed. 2d 101, 99 S. Ct. 2493 (1979) (</w:t>
      </w:r>
      <w:r>
        <w:t>“</w:t>
      </w:r>
      <w:r w:rsidRPr="008C317C">
        <w:t>Our jurisprudence historically has reflected Western civilization concepts of the family as a unit with broad parental authority over minor children. Our cases have consistently followed that course</w:t>
      </w:r>
      <w:r>
        <w:t>.”</w:t>
      </w:r>
      <w:r w:rsidRPr="008C317C">
        <w:t>)</w:t>
      </w:r>
      <w:r>
        <w:t>.</w:t>
      </w:r>
    </w:p>
  </w:footnote>
  <w:footnote w:id="2">
    <w:p w14:paraId="04C7E459" w14:textId="0BECFC7E" w:rsidR="00651D81" w:rsidRPr="00651D81" w:rsidRDefault="00651D81">
      <w:pPr>
        <w:pStyle w:val="FootnoteText"/>
      </w:pPr>
      <w:r>
        <w:rPr>
          <w:rStyle w:val="FootnoteReference"/>
        </w:rPr>
        <w:footnoteRef/>
      </w:r>
      <w:r>
        <w:t xml:space="preserve"> </w:t>
      </w:r>
      <w:r>
        <w:rPr>
          <w:i/>
          <w:iCs/>
        </w:rPr>
        <w:t>See, e.g.,</w:t>
      </w:r>
      <w:r w:rsidR="00E67D7F">
        <w:rPr>
          <w:i/>
          <w:iCs/>
        </w:rPr>
        <w:t xml:space="preserve"> In re</w:t>
      </w:r>
      <w:r>
        <w:rPr>
          <w:i/>
          <w:iCs/>
        </w:rPr>
        <w:t xml:space="preserve"> </w:t>
      </w:r>
      <w:r w:rsidR="00E67D7F" w:rsidRPr="00E67D7F">
        <w:rPr>
          <w:i/>
          <w:iCs/>
        </w:rPr>
        <w:t>Simmons Children, 177 S.E.2d 19</w:t>
      </w:r>
      <w:r w:rsidR="00E67D7F">
        <w:rPr>
          <w:i/>
          <w:iCs/>
        </w:rPr>
        <w:t>, 24</w:t>
      </w:r>
      <w:r w:rsidR="00E67D7F" w:rsidRPr="00E67D7F">
        <w:rPr>
          <w:i/>
          <w:iCs/>
        </w:rPr>
        <w:t xml:space="preserve"> (</w:t>
      </w:r>
      <w:r w:rsidR="00E67D7F">
        <w:rPr>
          <w:i/>
          <w:iCs/>
        </w:rPr>
        <w:t xml:space="preserve">W.Va. </w:t>
      </w:r>
      <w:r w:rsidR="00E67D7F" w:rsidRPr="00E67D7F">
        <w:rPr>
          <w:i/>
          <w:iCs/>
        </w:rPr>
        <w:t>1970)</w:t>
      </w:r>
      <w:r w:rsidR="00E67D7F">
        <w:rPr>
          <w:i/>
          <w:iCs/>
        </w:rPr>
        <w:t xml:space="preserve">; </w:t>
      </w:r>
      <w:r w:rsidRPr="00651D81">
        <w:rPr>
          <w:i/>
          <w:iCs/>
        </w:rPr>
        <w:t xml:space="preserve">In re Willis, </w:t>
      </w:r>
      <w:r w:rsidRPr="00651D81">
        <w:t>207 S.E.2d 129</w:t>
      </w:r>
      <w:r w:rsidR="00E67D7F">
        <w:t>, 136-137</w:t>
      </w:r>
      <w:r w:rsidRPr="00651D81">
        <w:t xml:space="preserve"> (W.V</w:t>
      </w:r>
      <w:r w:rsidR="00CF0E87">
        <w:t>a.</w:t>
      </w:r>
      <w:r w:rsidRPr="00651D81">
        <w:t xml:space="preserve"> 1973)</w:t>
      </w:r>
      <w:r>
        <w:t xml:space="preserve">; </w:t>
      </w:r>
      <w:r w:rsidR="00CF0E87" w:rsidRPr="00CF0E87">
        <w:rPr>
          <w:i/>
          <w:iCs/>
        </w:rPr>
        <w:t>In re J.S.,</w:t>
      </w:r>
      <w:r w:rsidR="00CF0E87" w:rsidRPr="00CF0E87">
        <w:t xml:space="preserve"> 758 S.E.2d 747</w:t>
      </w:r>
      <w:r w:rsidR="00CF0E87">
        <w:t>, 754 (W.Va. 2014)</w:t>
      </w:r>
      <w:r w:rsidR="00E67D7F">
        <w:t>.</w:t>
      </w:r>
    </w:p>
  </w:footnote>
  <w:footnote w:id="3">
    <w:p w14:paraId="5BBB4E46" w14:textId="0A3B3CD1" w:rsidR="00ED65ED" w:rsidRPr="00ED65ED" w:rsidRDefault="00ED65ED">
      <w:pPr>
        <w:pStyle w:val="FootnoteText"/>
      </w:pPr>
      <w:r>
        <w:rPr>
          <w:rStyle w:val="FootnoteReference"/>
        </w:rPr>
        <w:footnoteRef/>
      </w:r>
      <w:r>
        <w:t xml:space="preserve"> </w:t>
      </w:r>
      <w:r>
        <w:rPr>
          <w:i/>
          <w:iCs/>
        </w:rPr>
        <w:t xml:space="preserve">Troxel, </w:t>
      </w:r>
      <w:r>
        <w:t>at 67.</w:t>
      </w:r>
    </w:p>
  </w:footnote>
  <w:footnote w:id="4">
    <w:p w14:paraId="2DD160D5" w14:textId="4DCF881F" w:rsidR="000B3D2C" w:rsidRPr="000B3D2C" w:rsidRDefault="000B3D2C">
      <w:pPr>
        <w:pStyle w:val="FootnoteText"/>
      </w:pPr>
      <w:r>
        <w:rPr>
          <w:rStyle w:val="FootnoteReference"/>
        </w:rPr>
        <w:footnoteRef/>
      </w:r>
      <w:r>
        <w:t xml:space="preserve"> </w:t>
      </w:r>
      <w:r>
        <w:rPr>
          <w:i/>
          <w:iCs/>
        </w:rPr>
        <w:t xml:space="preserve">Id., </w:t>
      </w:r>
      <w:r>
        <w:t>at 72-73.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D7282" w14:textId="77777777" w:rsidR="00664190" w:rsidRDefault="00664190" w:rsidP="00664190">
    <w:pPr>
      <w:pStyle w:val="Header"/>
      <w:jc w:val="center"/>
    </w:pPr>
  </w:p>
  <w:p w14:paraId="4B1EC715" w14:textId="77777777" w:rsidR="00664190" w:rsidRDefault="006641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2AAD" w14:textId="77777777" w:rsidR="00664190" w:rsidRDefault="0005602B" w:rsidP="00664190">
    <w:pPr>
      <w:pStyle w:val="Header"/>
      <w:jc w:val="center"/>
    </w:pPr>
    <w:r>
      <w:rPr>
        <w:noProof/>
      </w:rPr>
      <w:drawing>
        <wp:inline distT="0" distB="0" distL="0" distR="0" wp14:anchorId="69A0CD65" wp14:editId="58F48C4F">
          <wp:extent cx="3733800" cy="971550"/>
          <wp:effectExtent l="0" t="0" r="0" b="0"/>
          <wp:docPr id="3" name="Picture 2" descr="PRO final logoTealandGold copy-01.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 final logoTealandGold copy-01.eps"/>
                  <pic:cNvPicPr/>
                </pic:nvPicPr>
                <pic:blipFill>
                  <a:blip r:embed="rId1"/>
                  <a:stretch>
                    <a:fillRect/>
                  </a:stretch>
                </pic:blipFill>
                <pic:spPr>
                  <a:xfrm>
                    <a:off x="0" y="0"/>
                    <a:ext cx="3733800" cy="971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262E9"/>
    <w:multiLevelType w:val="multilevel"/>
    <w:tmpl w:val="DC740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E3B68"/>
    <w:multiLevelType w:val="hybridMultilevel"/>
    <w:tmpl w:val="6FD6D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EC576D"/>
    <w:multiLevelType w:val="multilevel"/>
    <w:tmpl w:val="6F6C0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2442FD"/>
    <w:multiLevelType w:val="hybridMultilevel"/>
    <w:tmpl w:val="BE80E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90"/>
    <w:rsid w:val="0005602B"/>
    <w:rsid w:val="00056ABD"/>
    <w:rsid w:val="00057043"/>
    <w:rsid w:val="00066888"/>
    <w:rsid w:val="000A5FED"/>
    <w:rsid w:val="000B3D2C"/>
    <w:rsid w:val="000C0D0F"/>
    <w:rsid w:val="001A1768"/>
    <w:rsid w:val="001D432C"/>
    <w:rsid w:val="001E7C0A"/>
    <w:rsid w:val="002976C9"/>
    <w:rsid w:val="002A5B70"/>
    <w:rsid w:val="002E08E0"/>
    <w:rsid w:val="002F3FE1"/>
    <w:rsid w:val="00303354"/>
    <w:rsid w:val="0035352A"/>
    <w:rsid w:val="00393ED8"/>
    <w:rsid w:val="003C5C22"/>
    <w:rsid w:val="00411818"/>
    <w:rsid w:val="00417085"/>
    <w:rsid w:val="0044406E"/>
    <w:rsid w:val="004729C0"/>
    <w:rsid w:val="0051492E"/>
    <w:rsid w:val="00515C20"/>
    <w:rsid w:val="0052346E"/>
    <w:rsid w:val="005A11A3"/>
    <w:rsid w:val="005A13EC"/>
    <w:rsid w:val="005D1B8E"/>
    <w:rsid w:val="00651D81"/>
    <w:rsid w:val="00664190"/>
    <w:rsid w:val="0067159F"/>
    <w:rsid w:val="00694058"/>
    <w:rsid w:val="006A6655"/>
    <w:rsid w:val="00706749"/>
    <w:rsid w:val="00743684"/>
    <w:rsid w:val="00763469"/>
    <w:rsid w:val="00792FC2"/>
    <w:rsid w:val="007E14D3"/>
    <w:rsid w:val="0080647A"/>
    <w:rsid w:val="00870FA2"/>
    <w:rsid w:val="008A4D46"/>
    <w:rsid w:val="008C16E6"/>
    <w:rsid w:val="008C317C"/>
    <w:rsid w:val="008D7D89"/>
    <w:rsid w:val="00947538"/>
    <w:rsid w:val="009567FC"/>
    <w:rsid w:val="00982A48"/>
    <w:rsid w:val="00990BCA"/>
    <w:rsid w:val="009B122F"/>
    <w:rsid w:val="009D14C5"/>
    <w:rsid w:val="009D48E1"/>
    <w:rsid w:val="00A07250"/>
    <w:rsid w:val="00A2020A"/>
    <w:rsid w:val="00A35ED0"/>
    <w:rsid w:val="00A615C3"/>
    <w:rsid w:val="00B0234C"/>
    <w:rsid w:val="00B35712"/>
    <w:rsid w:val="00B5072B"/>
    <w:rsid w:val="00B52EA8"/>
    <w:rsid w:val="00BA6D3F"/>
    <w:rsid w:val="00C2231F"/>
    <w:rsid w:val="00C51AA9"/>
    <w:rsid w:val="00C54232"/>
    <w:rsid w:val="00C63C7B"/>
    <w:rsid w:val="00C720EF"/>
    <w:rsid w:val="00CA75A6"/>
    <w:rsid w:val="00CB41DA"/>
    <w:rsid w:val="00CF0E87"/>
    <w:rsid w:val="00D14191"/>
    <w:rsid w:val="00D34FCC"/>
    <w:rsid w:val="00D9065C"/>
    <w:rsid w:val="00D913CB"/>
    <w:rsid w:val="00D921B0"/>
    <w:rsid w:val="00DB32F8"/>
    <w:rsid w:val="00DC0987"/>
    <w:rsid w:val="00DC5CAB"/>
    <w:rsid w:val="00E67D7F"/>
    <w:rsid w:val="00ED65ED"/>
    <w:rsid w:val="00F00DE2"/>
    <w:rsid w:val="00F92649"/>
    <w:rsid w:val="00FF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FB6A"/>
  <w15:docId w15:val="{675691DE-E3FC-419A-A871-82E2B4D0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8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1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4190"/>
  </w:style>
  <w:style w:type="paragraph" w:styleId="Footer">
    <w:name w:val="footer"/>
    <w:basedOn w:val="Normal"/>
    <w:link w:val="FooterChar"/>
    <w:uiPriority w:val="99"/>
    <w:unhideWhenUsed/>
    <w:rsid w:val="006641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4190"/>
  </w:style>
  <w:style w:type="paragraph" w:styleId="BalloonText">
    <w:name w:val="Balloon Text"/>
    <w:basedOn w:val="Normal"/>
    <w:link w:val="BalloonTextChar"/>
    <w:uiPriority w:val="99"/>
    <w:semiHidden/>
    <w:unhideWhenUsed/>
    <w:rsid w:val="00664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190"/>
    <w:rPr>
      <w:rFonts w:ascii="Tahoma" w:hAnsi="Tahoma" w:cs="Tahoma"/>
      <w:sz w:val="16"/>
      <w:szCs w:val="16"/>
    </w:rPr>
  </w:style>
  <w:style w:type="character" w:styleId="Hyperlink">
    <w:name w:val="Hyperlink"/>
    <w:basedOn w:val="DefaultParagraphFont"/>
    <w:uiPriority w:val="99"/>
    <w:unhideWhenUsed/>
    <w:rsid w:val="00303354"/>
    <w:rPr>
      <w:color w:val="0000FF" w:themeColor="hyperlink"/>
      <w:u w:val="single"/>
    </w:rPr>
  </w:style>
  <w:style w:type="paragraph" w:styleId="ListParagraph">
    <w:name w:val="List Paragraph"/>
    <w:basedOn w:val="Normal"/>
    <w:uiPriority w:val="34"/>
    <w:qFormat/>
    <w:rsid w:val="00D913CB"/>
    <w:pPr>
      <w:ind w:left="720"/>
      <w:contextualSpacing/>
    </w:pPr>
  </w:style>
  <w:style w:type="character" w:styleId="UnresolvedMention">
    <w:name w:val="Unresolved Mention"/>
    <w:basedOn w:val="DefaultParagraphFont"/>
    <w:uiPriority w:val="99"/>
    <w:semiHidden/>
    <w:unhideWhenUsed/>
    <w:rsid w:val="00D913CB"/>
    <w:rPr>
      <w:color w:val="605E5C"/>
      <w:shd w:val="clear" w:color="auto" w:fill="E1DFDD"/>
    </w:rPr>
  </w:style>
  <w:style w:type="paragraph" w:styleId="FootnoteText">
    <w:name w:val="footnote text"/>
    <w:basedOn w:val="Normal"/>
    <w:link w:val="FootnoteTextChar"/>
    <w:uiPriority w:val="99"/>
    <w:semiHidden/>
    <w:unhideWhenUsed/>
    <w:rsid w:val="009567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67FC"/>
    <w:rPr>
      <w:sz w:val="20"/>
      <w:szCs w:val="20"/>
    </w:rPr>
  </w:style>
  <w:style w:type="character" w:styleId="FootnoteReference">
    <w:name w:val="footnote reference"/>
    <w:basedOn w:val="DefaultParagraphFont"/>
    <w:uiPriority w:val="99"/>
    <w:semiHidden/>
    <w:unhideWhenUsed/>
    <w:rsid w:val="009567FC"/>
    <w:rPr>
      <w:vertAlign w:val="superscript"/>
    </w:rPr>
  </w:style>
  <w:style w:type="character" w:styleId="FollowedHyperlink">
    <w:name w:val="FollowedHyperlink"/>
    <w:basedOn w:val="DefaultParagraphFont"/>
    <w:uiPriority w:val="99"/>
    <w:semiHidden/>
    <w:unhideWhenUsed/>
    <w:rsid w:val="00B507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54783">
      <w:bodyDiv w:val="1"/>
      <w:marLeft w:val="0"/>
      <w:marRight w:val="0"/>
      <w:marTop w:val="0"/>
      <w:marBottom w:val="0"/>
      <w:divBdr>
        <w:top w:val="none" w:sz="0" w:space="0" w:color="auto"/>
        <w:left w:val="none" w:sz="0" w:space="0" w:color="auto"/>
        <w:bottom w:val="none" w:sz="0" w:space="0" w:color="auto"/>
        <w:right w:val="none" w:sz="0" w:space="0" w:color="auto"/>
      </w:divBdr>
    </w:div>
    <w:div w:id="1374235154">
      <w:bodyDiv w:val="1"/>
      <w:marLeft w:val="0"/>
      <w:marRight w:val="0"/>
      <w:marTop w:val="0"/>
      <w:marBottom w:val="0"/>
      <w:divBdr>
        <w:top w:val="none" w:sz="0" w:space="0" w:color="auto"/>
        <w:left w:val="none" w:sz="0" w:space="0" w:color="auto"/>
        <w:bottom w:val="none" w:sz="0" w:space="0" w:color="auto"/>
        <w:right w:val="none" w:sz="0" w:space="0" w:color="auto"/>
      </w:divBdr>
    </w:div>
    <w:div w:id="1836650498">
      <w:bodyDiv w:val="1"/>
      <w:marLeft w:val="0"/>
      <w:marRight w:val="0"/>
      <w:marTop w:val="0"/>
      <w:marBottom w:val="0"/>
      <w:divBdr>
        <w:top w:val="none" w:sz="0" w:space="0" w:color="auto"/>
        <w:left w:val="none" w:sz="0" w:space="0" w:color="auto"/>
        <w:bottom w:val="none" w:sz="0" w:space="0" w:color="auto"/>
        <w:right w:val="none" w:sz="0" w:space="0" w:color="auto"/>
      </w:divBdr>
    </w:div>
    <w:div w:id="192645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ll@parentalrights.org"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sh.holstein@wvhouse.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pinson@wvhouse.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trenton.barnhart@wvhouse.gov"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8076-906E-463C-93ED-C18F2ADA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Ramey</dc:creator>
  <cp:lastModifiedBy>Michael Ramey</cp:lastModifiedBy>
  <cp:revision>3</cp:revision>
  <cp:lastPrinted>2015-01-14T18:33:00Z</cp:lastPrinted>
  <dcterms:created xsi:type="dcterms:W3CDTF">2022-01-20T18:46:00Z</dcterms:created>
  <dcterms:modified xsi:type="dcterms:W3CDTF">2022-01-20T19:49:00Z</dcterms:modified>
</cp:coreProperties>
</file>