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C31" w:rsidRPr="00193214" w:rsidRDefault="00193214" w:rsidP="00691AB9">
      <w:pPr>
        <w:rPr>
          <w:b/>
          <w:sz w:val="24"/>
          <w:szCs w:val="24"/>
        </w:rPr>
      </w:pPr>
      <w:r>
        <w:rPr>
          <w:b/>
          <w:sz w:val="24"/>
          <w:szCs w:val="24"/>
        </w:rPr>
        <w:t>Burnout</w:t>
      </w:r>
      <w:r>
        <w:rPr>
          <w:b/>
          <w:sz w:val="24"/>
          <w:szCs w:val="24"/>
        </w:rPr>
        <w:br/>
      </w:r>
      <w:r>
        <w:rPr>
          <w:sz w:val="24"/>
          <w:szCs w:val="24"/>
        </w:rPr>
        <w:t>A p</w:t>
      </w:r>
      <w:r w:rsidR="002F13F8" w:rsidRPr="00193214">
        <w:rPr>
          <w:sz w:val="24"/>
          <w:szCs w:val="24"/>
        </w:rPr>
        <w:t>rolonged response to chronic emotional and interpersonal stressors on the job. It manifests as physical, emotional, and mental exhaustion, cynicism, and di</w:t>
      </w:r>
      <w:r>
        <w:rPr>
          <w:sz w:val="24"/>
          <w:szCs w:val="24"/>
        </w:rPr>
        <w:t>minished professional efficacy.</w:t>
      </w:r>
      <w:r>
        <w:rPr>
          <w:sz w:val="24"/>
          <w:szCs w:val="24"/>
        </w:rPr>
        <w:br/>
      </w:r>
    </w:p>
    <w:p w:rsidR="00D90323" w:rsidRPr="00193214" w:rsidRDefault="00691AB9" w:rsidP="00691AB9">
      <w:pPr>
        <w:rPr>
          <w:sz w:val="24"/>
          <w:szCs w:val="24"/>
        </w:rPr>
      </w:pPr>
      <w:r w:rsidRPr="00193214">
        <w:rPr>
          <w:b/>
          <w:sz w:val="24"/>
          <w:szCs w:val="24"/>
        </w:rPr>
        <w:t>Compassion fatigue</w:t>
      </w:r>
      <w:r w:rsidR="00193214">
        <w:rPr>
          <w:sz w:val="24"/>
          <w:szCs w:val="24"/>
        </w:rPr>
        <w:br/>
        <w:t>T</w:t>
      </w:r>
      <w:r w:rsidR="00D90323" w:rsidRPr="00193214">
        <w:rPr>
          <w:sz w:val="24"/>
          <w:szCs w:val="24"/>
        </w:rPr>
        <w:t>he decreased ability to respond to the suffering of others with empathy. It consists of the feeling of having nothing left to give. It makes it difficult to find the compassion necessary to serve people. If professionals continually offer support and compassion to others—but are not able to take of themselves—they can feel depleted of inner resources. Compassion fatigue can drain energy, vitality, and optimism.</w:t>
      </w:r>
      <w:r w:rsidR="00193214">
        <w:rPr>
          <w:sz w:val="24"/>
          <w:szCs w:val="24"/>
        </w:rPr>
        <w:t xml:space="preserve"> Includes </w:t>
      </w:r>
      <w:r w:rsidR="00D90323" w:rsidRPr="00193214">
        <w:rPr>
          <w:sz w:val="24"/>
          <w:szCs w:val="24"/>
        </w:rPr>
        <w:t xml:space="preserve">both </w:t>
      </w:r>
      <w:r w:rsidR="00D90323" w:rsidRPr="00193214">
        <w:rPr>
          <w:i/>
          <w:sz w:val="24"/>
          <w:szCs w:val="24"/>
        </w:rPr>
        <w:t xml:space="preserve">burnout </w:t>
      </w:r>
      <w:r w:rsidR="00D90323" w:rsidRPr="00193214">
        <w:rPr>
          <w:sz w:val="24"/>
          <w:szCs w:val="24"/>
        </w:rPr>
        <w:t xml:space="preserve">and </w:t>
      </w:r>
      <w:r w:rsidR="00D90323" w:rsidRPr="00193214">
        <w:rPr>
          <w:i/>
          <w:sz w:val="24"/>
          <w:szCs w:val="24"/>
        </w:rPr>
        <w:t>trauma exposure</w:t>
      </w:r>
      <w:r w:rsidR="00D90323" w:rsidRPr="00193214">
        <w:rPr>
          <w:sz w:val="24"/>
          <w:szCs w:val="24"/>
        </w:rPr>
        <w:t>.</w:t>
      </w:r>
      <w:r w:rsidR="00193214">
        <w:rPr>
          <w:sz w:val="24"/>
          <w:szCs w:val="24"/>
        </w:rPr>
        <w:br/>
      </w:r>
    </w:p>
    <w:p w:rsidR="0091219F" w:rsidRPr="00193214" w:rsidRDefault="0091219F" w:rsidP="0091219F">
      <w:pPr>
        <w:rPr>
          <w:sz w:val="24"/>
          <w:szCs w:val="24"/>
        </w:rPr>
      </w:pPr>
      <w:r w:rsidRPr="00193214">
        <w:rPr>
          <w:b/>
          <w:sz w:val="24"/>
          <w:szCs w:val="24"/>
        </w:rPr>
        <w:t>Compassion satisfaction</w:t>
      </w:r>
      <w:r w:rsidR="00193214">
        <w:rPr>
          <w:sz w:val="24"/>
          <w:szCs w:val="24"/>
        </w:rPr>
        <w:br/>
        <w:t>D</w:t>
      </w:r>
      <w:r w:rsidRPr="00193214">
        <w:rPr>
          <w:sz w:val="24"/>
          <w:szCs w:val="24"/>
        </w:rPr>
        <w:t xml:space="preserve">escribes the positive feelings derived from competent performance as a trauma supporter. It is characterized by positive relationships with colleagues and the conviction that one’s efforts </w:t>
      </w:r>
      <w:r w:rsidR="00193214">
        <w:rPr>
          <w:sz w:val="24"/>
          <w:szCs w:val="24"/>
        </w:rPr>
        <w:t xml:space="preserve">contribute in a meaningful way </w:t>
      </w:r>
      <w:r w:rsidR="00193214">
        <w:rPr>
          <w:sz w:val="24"/>
          <w:szCs w:val="24"/>
        </w:rPr>
        <w:br/>
      </w:r>
    </w:p>
    <w:p w:rsidR="00D41B0D" w:rsidRPr="00193214" w:rsidRDefault="00D41B0D" w:rsidP="00D41B0D">
      <w:pPr>
        <w:rPr>
          <w:sz w:val="24"/>
          <w:szCs w:val="24"/>
        </w:rPr>
      </w:pPr>
      <w:r w:rsidRPr="00193214">
        <w:rPr>
          <w:b/>
          <w:sz w:val="24"/>
          <w:szCs w:val="24"/>
        </w:rPr>
        <w:t>Trauma exposure</w:t>
      </w:r>
      <w:r w:rsidR="00193214">
        <w:rPr>
          <w:b/>
          <w:sz w:val="24"/>
          <w:szCs w:val="24"/>
        </w:rPr>
        <w:br/>
      </w:r>
      <w:r w:rsidR="00193214">
        <w:rPr>
          <w:sz w:val="24"/>
          <w:szCs w:val="24"/>
        </w:rPr>
        <w:t>C</w:t>
      </w:r>
      <w:r w:rsidRPr="00193214">
        <w:rPr>
          <w:sz w:val="24"/>
          <w:szCs w:val="24"/>
        </w:rPr>
        <w:t xml:space="preserve">an be experienced </w:t>
      </w:r>
      <w:proofErr w:type="gramStart"/>
      <w:r w:rsidRPr="00193214">
        <w:rPr>
          <w:sz w:val="24"/>
          <w:szCs w:val="24"/>
        </w:rPr>
        <w:t>as a consequence of</w:t>
      </w:r>
      <w:proofErr w:type="gramEnd"/>
      <w:r w:rsidRPr="00193214">
        <w:rPr>
          <w:sz w:val="24"/>
          <w:szCs w:val="24"/>
        </w:rPr>
        <w:t xml:space="preserve"> our work and as a reality of our personal lives. Both can cause PTSD. Includes individual, organizational, and structural/institutional trauma. </w:t>
      </w:r>
    </w:p>
    <w:p w:rsidR="00D41B0D" w:rsidRPr="00193214" w:rsidRDefault="00D41B0D" w:rsidP="00D41B0D">
      <w:pPr>
        <w:pStyle w:val="ListParagraph"/>
        <w:numPr>
          <w:ilvl w:val="0"/>
          <w:numId w:val="1"/>
        </w:numPr>
        <w:rPr>
          <w:sz w:val="24"/>
          <w:szCs w:val="24"/>
        </w:rPr>
      </w:pPr>
      <w:r w:rsidRPr="00193214">
        <w:rPr>
          <w:sz w:val="24"/>
          <w:szCs w:val="24"/>
        </w:rPr>
        <w:t>Primary: trauma we have encountered ourselves.</w:t>
      </w:r>
    </w:p>
    <w:p w:rsidR="00D41B0D" w:rsidRPr="00193214" w:rsidRDefault="00D41B0D" w:rsidP="00D41B0D">
      <w:pPr>
        <w:pStyle w:val="ListParagraph"/>
        <w:numPr>
          <w:ilvl w:val="0"/>
          <w:numId w:val="1"/>
        </w:numPr>
        <w:rPr>
          <w:sz w:val="24"/>
          <w:szCs w:val="24"/>
        </w:rPr>
      </w:pPr>
      <w:r w:rsidRPr="00193214">
        <w:rPr>
          <w:sz w:val="24"/>
          <w:szCs w:val="24"/>
        </w:rPr>
        <w:t>Secondary: trauma we have been exposed to.</w:t>
      </w:r>
    </w:p>
    <w:p w:rsidR="00D41B0D" w:rsidRPr="00193214" w:rsidRDefault="00D41B0D" w:rsidP="00D41B0D">
      <w:pPr>
        <w:pStyle w:val="ListParagraph"/>
        <w:numPr>
          <w:ilvl w:val="0"/>
          <w:numId w:val="1"/>
        </w:numPr>
        <w:rPr>
          <w:sz w:val="24"/>
          <w:szCs w:val="24"/>
        </w:rPr>
      </w:pPr>
      <w:r w:rsidRPr="00193214">
        <w:rPr>
          <w:sz w:val="24"/>
          <w:szCs w:val="24"/>
        </w:rPr>
        <w:t xml:space="preserve">Examples: homelessness, assault, sexual violence, structural violence </w:t>
      </w:r>
      <w:proofErr w:type="gramStart"/>
      <w:r w:rsidRPr="00193214">
        <w:rPr>
          <w:sz w:val="24"/>
          <w:szCs w:val="24"/>
        </w:rPr>
        <w:t>( such</w:t>
      </w:r>
      <w:proofErr w:type="gramEnd"/>
      <w:r w:rsidRPr="00193214">
        <w:rPr>
          <w:sz w:val="24"/>
          <w:szCs w:val="24"/>
        </w:rPr>
        <w:t xml:space="preserve"> as institutionalized sexism, racism, homophobia), natural disasters, abuse, etc.</w:t>
      </w:r>
      <w:r w:rsidR="00193214">
        <w:rPr>
          <w:sz w:val="24"/>
          <w:szCs w:val="24"/>
        </w:rPr>
        <w:br/>
      </w:r>
    </w:p>
    <w:p w:rsidR="00691AB9" w:rsidRPr="00193214" w:rsidRDefault="00691AB9" w:rsidP="0091219F">
      <w:pPr>
        <w:rPr>
          <w:sz w:val="24"/>
          <w:szCs w:val="24"/>
        </w:rPr>
      </w:pPr>
      <w:r w:rsidRPr="00193214">
        <w:rPr>
          <w:b/>
          <w:sz w:val="24"/>
          <w:szCs w:val="24"/>
        </w:rPr>
        <w:t>Trauma exposure response</w:t>
      </w:r>
      <w:r w:rsidR="00193214">
        <w:rPr>
          <w:b/>
          <w:sz w:val="24"/>
          <w:szCs w:val="24"/>
        </w:rPr>
        <w:br/>
      </w:r>
      <w:r w:rsidR="00193214">
        <w:rPr>
          <w:sz w:val="24"/>
          <w:szCs w:val="24"/>
        </w:rPr>
        <w:t>T</w:t>
      </w:r>
      <w:r w:rsidRPr="00193214">
        <w:rPr>
          <w:sz w:val="24"/>
          <w:szCs w:val="24"/>
        </w:rPr>
        <w:t xml:space="preserve">he transformation that takes place within us </w:t>
      </w:r>
      <w:proofErr w:type="gramStart"/>
      <w:r w:rsidRPr="00193214">
        <w:rPr>
          <w:sz w:val="24"/>
          <w:szCs w:val="24"/>
        </w:rPr>
        <w:t>as a result of</w:t>
      </w:r>
      <w:proofErr w:type="gramEnd"/>
      <w:r w:rsidRPr="00193214">
        <w:rPr>
          <w:sz w:val="24"/>
          <w:szCs w:val="24"/>
        </w:rPr>
        <w:t xml:space="preserve"> exposure to suffering of other living beings or the planet. It can result from deliberate or inadvertent exposure, formal or informal contact, paid or volunteer work. </w:t>
      </w:r>
      <w:r w:rsidR="00D41B0D" w:rsidRPr="00193214">
        <w:rPr>
          <w:sz w:val="24"/>
          <w:szCs w:val="24"/>
        </w:rPr>
        <w:t>It is t</w:t>
      </w:r>
      <w:r w:rsidRPr="00193214">
        <w:rPr>
          <w:sz w:val="24"/>
          <w:szCs w:val="24"/>
        </w:rPr>
        <w:t xml:space="preserve">he ways in which the world looks and feels like a different place to you </w:t>
      </w:r>
      <w:proofErr w:type="gramStart"/>
      <w:r w:rsidRPr="00193214">
        <w:rPr>
          <w:sz w:val="24"/>
          <w:szCs w:val="24"/>
        </w:rPr>
        <w:t>as a result of</w:t>
      </w:r>
      <w:proofErr w:type="gramEnd"/>
      <w:r w:rsidRPr="00193214">
        <w:rPr>
          <w:sz w:val="24"/>
          <w:szCs w:val="24"/>
        </w:rPr>
        <w:t xml:space="preserve"> your work. </w:t>
      </w:r>
      <w:r w:rsidR="00193214">
        <w:rPr>
          <w:sz w:val="24"/>
          <w:szCs w:val="24"/>
        </w:rPr>
        <w:br/>
      </w:r>
    </w:p>
    <w:p w:rsidR="006350B3" w:rsidRPr="00193214" w:rsidRDefault="00691AB9">
      <w:pPr>
        <w:rPr>
          <w:b/>
          <w:sz w:val="24"/>
          <w:szCs w:val="24"/>
        </w:rPr>
      </w:pPr>
      <w:r w:rsidRPr="00193214">
        <w:rPr>
          <w:b/>
          <w:sz w:val="24"/>
          <w:szCs w:val="24"/>
        </w:rPr>
        <w:t>Trauma stewardship</w:t>
      </w:r>
      <w:r w:rsidR="00193214">
        <w:rPr>
          <w:b/>
          <w:sz w:val="24"/>
          <w:szCs w:val="24"/>
        </w:rPr>
        <w:br/>
      </w:r>
      <w:r w:rsidR="00193214">
        <w:rPr>
          <w:sz w:val="24"/>
          <w:szCs w:val="24"/>
        </w:rPr>
        <w:t>T</w:t>
      </w:r>
      <w:r w:rsidR="00D90323" w:rsidRPr="00193214">
        <w:rPr>
          <w:sz w:val="24"/>
          <w:szCs w:val="24"/>
        </w:rPr>
        <w:t>he daily practice through which individuals and organizations tend to the hardship, pain, or trauma experienced by humans, other living beings, or our planet itself. T</w:t>
      </w:r>
      <w:r w:rsidRPr="00193214">
        <w:rPr>
          <w:sz w:val="24"/>
          <w:szCs w:val="24"/>
        </w:rPr>
        <w:t>he entire conversation about how we come to do this work, how we are affected by it, and how we make sense of and le</w:t>
      </w:r>
      <w:r w:rsidR="0091219F" w:rsidRPr="00193214">
        <w:rPr>
          <w:sz w:val="24"/>
          <w:szCs w:val="24"/>
        </w:rPr>
        <w:t>a</w:t>
      </w:r>
      <w:r w:rsidR="00D41B0D" w:rsidRPr="00193214">
        <w:rPr>
          <w:sz w:val="24"/>
          <w:szCs w:val="24"/>
        </w:rPr>
        <w:t xml:space="preserve">rn from our experiences. </w:t>
      </w:r>
      <w:r w:rsidR="0091219F" w:rsidRPr="00193214">
        <w:rPr>
          <w:sz w:val="24"/>
          <w:szCs w:val="24"/>
        </w:rPr>
        <w:t>Can occur at individual, organizational, and societal levels.</w:t>
      </w:r>
    </w:p>
    <w:p w:rsidR="006350B3" w:rsidRPr="00193214" w:rsidRDefault="00193214">
      <w:pPr>
        <w:rPr>
          <w:i/>
          <w:sz w:val="20"/>
          <w:szCs w:val="24"/>
        </w:rPr>
      </w:pPr>
      <w:r w:rsidRPr="00193214">
        <w:rPr>
          <w:i/>
          <w:sz w:val="20"/>
          <w:szCs w:val="24"/>
        </w:rPr>
        <w:t xml:space="preserve">Sources: OSHA, </w:t>
      </w:r>
      <w:r w:rsidRPr="00193214">
        <w:rPr>
          <w:i/>
          <w:sz w:val="20"/>
          <w:szCs w:val="24"/>
        </w:rPr>
        <w:t>Joyful Heart Foundation</w:t>
      </w:r>
      <w:r w:rsidRPr="00193214">
        <w:rPr>
          <w:i/>
          <w:sz w:val="20"/>
          <w:szCs w:val="24"/>
        </w:rPr>
        <w:t xml:space="preserve">, </w:t>
      </w:r>
      <w:r w:rsidRPr="00193214">
        <w:rPr>
          <w:i/>
          <w:sz w:val="20"/>
          <w:szCs w:val="24"/>
        </w:rPr>
        <w:t>National Center on Safe Supportive Learning</w:t>
      </w:r>
      <w:r w:rsidRPr="00193214">
        <w:rPr>
          <w:i/>
          <w:sz w:val="20"/>
          <w:szCs w:val="24"/>
        </w:rPr>
        <w:t xml:space="preserve">, </w:t>
      </w:r>
      <w:r w:rsidRPr="00193214">
        <w:rPr>
          <w:i/>
          <w:sz w:val="20"/>
          <w:szCs w:val="24"/>
        </w:rPr>
        <w:t>Trauma Stewardship</w:t>
      </w:r>
    </w:p>
    <w:tbl>
      <w:tblPr>
        <w:tblW w:w="5000" w:type="pct"/>
        <w:tblCellMar>
          <w:top w:w="15" w:type="dxa"/>
          <w:left w:w="15" w:type="dxa"/>
          <w:bottom w:w="15" w:type="dxa"/>
          <w:right w:w="15" w:type="dxa"/>
        </w:tblCellMar>
        <w:tblLook w:val="04A0" w:firstRow="1" w:lastRow="0" w:firstColumn="1" w:lastColumn="0" w:noHBand="0" w:noVBand="1"/>
      </w:tblPr>
      <w:tblGrid>
        <w:gridCol w:w="4686"/>
        <w:gridCol w:w="4674"/>
      </w:tblGrid>
      <w:tr w:rsidR="002F13F8" w:rsidRPr="002F13F8" w:rsidTr="002F13F8">
        <w:trPr>
          <w:tblHeader/>
        </w:trPr>
        <w:tc>
          <w:tcPr>
            <w:tcW w:w="0" w:type="auto"/>
            <w:gridSpan w:val="2"/>
            <w:shd w:val="clear" w:color="auto" w:fill="337AB7"/>
            <w:tcMar>
              <w:top w:w="0" w:type="dxa"/>
              <w:left w:w="0" w:type="dxa"/>
              <w:bottom w:w="0" w:type="dxa"/>
              <w:right w:w="0" w:type="dxa"/>
            </w:tcMar>
            <w:vAlign w:val="center"/>
            <w:hideMark/>
          </w:tcPr>
          <w:p w:rsidR="002F13F8" w:rsidRPr="002F13F8" w:rsidRDefault="002F13F8" w:rsidP="002F13F8">
            <w:pPr>
              <w:spacing w:after="300" w:line="360" w:lineRule="atLeast"/>
              <w:rPr>
                <w:rFonts w:ascii="Helvetica" w:eastAsia="Times New Roman" w:hAnsi="Helvetica" w:cs="Helvetica"/>
                <w:color w:val="FFFFFF"/>
                <w:sz w:val="30"/>
                <w:szCs w:val="30"/>
              </w:rPr>
            </w:pPr>
            <w:r w:rsidRPr="002F13F8">
              <w:rPr>
                <w:rFonts w:ascii="Helvetica" w:eastAsia="Times New Roman" w:hAnsi="Helvetica" w:cs="Helvetica"/>
                <w:color w:val="FFFFFF"/>
                <w:sz w:val="30"/>
                <w:szCs w:val="30"/>
              </w:rPr>
              <w:lastRenderedPageBreak/>
              <w:t>Stress vs. Burnout</w:t>
            </w:r>
          </w:p>
        </w:tc>
      </w:tr>
      <w:tr w:rsidR="002F13F8" w:rsidRPr="002F13F8" w:rsidTr="002F13F8">
        <w:tc>
          <w:tcPr>
            <w:tcW w:w="5055" w:type="dxa"/>
            <w:shd w:val="clear" w:color="auto" w:fill="D9EDF7"/>
            <w:tcMar>
              <w:top w:w="0" w:type="dxa"/>
              <w:left w:w="0" w:type="dxa"/>
              <w:bottom w:w="0" w:type="dxa"/>
              <w:right w:w="0" w:type="dxa"/>
            </w:tcMar>
            <w:vAlign w:val="center"/>
            <w:hideMark/>
          </w:tcPr>
          <w:p w:rsidR="002F13F8" w:rsidRPr="002F13F8" w:rsidRDefault="002F13F8" w:rsidP="002F13F8">
            <w:pPr>
              <w:spacing w:after="300" w:line="360" w:lineRule="atLeast"/>
              <w:rPr>
                <w:rFonts w:ascii="Helvetica" w:eastAsia="Times New Roman" w:hAnsi="Helvetica" w:cs="Helvetica"/>
                <w:color w:val="337AB7"/>
                <w:sz w:val="27"/>
                <w:szCs w:val="27"/>
              </w:rPr>
            </w:pPr>
            <w:r w:rsidRPr="002F13F8">
              <w:rPr>
                <w:rFonts w:ascii="Helvetica" w:eastAsia="Times New Roman" w:hAnsi="Helvetica" w:cs="Helvetica"/>
                <w:color w:val="337AB7"/>
                <w:sz w:val="27"/>
                <w:szCs w:val="27"/>
              </w:rPr>
              <w:t xml:space="preserve">Stress </w:t>
            </w:r>
          </w:p>
        </w:tc>
        <w:tc>
          <w:tcPr>
            <w:tcW w:w="5025" w:type="dxa"/>
            <w:shd w:val="clear" w:color="auto" w:fill="D9EDF7"/>
            <w:tcMar>
              <w:top w:w="0" w:type="dxa"/>
              <w:left w:w="0" w:type="dxa"/>
              <w:bottom w:w="0" w:type="dxa"/>
              <w:right w:w="0" w:type="dxa"/>
            </w:tcMar>
            <w:vAlign w:val="center"/>
            <w:hideMark/>
          </w:tcPr>
          <w:p w:rsidR="002F13F8" w:rsidRPr="002F13F8" w:rsidRDefault="002F13F8" w:rsidP="002F13F8">
            <w:pPr>
              <w:spacing w:after="300" w:line="360" w:lineRule="atLeast"/>
              <w:rPr>
                <w:rFonts w:ascii="Helvetica" w:eastAsia="Times New Roman" w:hAnsi="Helvetica" w:cs="Helvetica"/>
                <w:color w:val="337AB7"/>
                <w:sz w:val="27"/>
                <w:szCs w:val="27"/>
              </w:rPr>
            </w:pPr>
            <w:r w:rsidRPr="002F13F8">
              <w:rPr>
                <w:rFonts w:ascii="Helvetica" w:eastAsia="Times New Roman" w:hAnsi="Helvetica" w:cs="Helvetica"/>
                <w:color w:val="337AB7"/>
                <w:sz w:val="27"/>
                <w:szCs w:val="27"/>
              </w:rPr>
              <w:t xml:space="preserve">Burnout </w:t>
            </w:r>
          </w:p>
        </w:tc>
      </w:tr>
      <w:tr w:rsidR="002F13F8" w:rsidRPr="002F13F8" w:rsidTr="002F13F8">
        <w:tc>
          <w:tcPr>
            <w:tcW w:w="505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Characterized by over</w:t>
            </w:r>
            <w:r>
              <w:rPr>
                <w:rFonts w:ascii="Helvetica" w:eastAsia="Times New Roman" w:hAnsi="Helvetica" w:cs="Helvetica"/>
                <w:color w:val="333333"/>
                <w:sz w:val="24"/>
                <w:szCs w:val="24"/>
              </w:rPr>
              <w:t>-</w:t>
            </w:r>
            <w:r w:rsidRPr="002F13F8">
              <w:rPr>
                <w:rFonts w:ascii="Helvetica" w:eastAsia="Times New Roman" w:hAnsi="Helvetica" w:cs="Helvetica"/>
                <w:color w:val="333333"/>
                <w:sz w:val="24"/>
                <w:szCs w:val="24"/>
              </w:rPr>
              <w:t>engagement</w:t>
            </w:r>
          </w:p>
        </w:tc>
        <w:tc>
          <w:tcPr>
            <w:tcW w:w="502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Characterized by disengagement</w:t>
            </w:r>
          </w:p>
        </w:tc>
      </w:tr>
      <w:tr w:rsidR="002F13F8" w:rsidRPr="002F13F8" w:rsidTr="002F13F8">
        <w:tc>
          <w:tcPr>
            <w:tcW w:w="505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Emotions are overreactive</w:t>
            </w:r>
          </w:p>
        </w:tc>
        <w:tc>
          <w:tcPr>
            <w:tcW w:w="502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Emotions are blunted</w:t>
            </w:r>
          </w:p>
        </w:tc>
      </w:tr>
      <w:tr w:rsidR="002F13F8" w:rsidRPr="002F13F8" w:rsidTr="002F13F8">
        <w:tc>
          <w:tcPr>
            <w:tcW w:w="505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Produces urgency and hyperactivity</w:t>
            </w:r>
          </w:p>
        </w:tc>
        <w:tc>
          <w:tcPr>
            <w:tcW w:w="502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Produces helplessness and hopelessness</w:t>
            </w:r>
          </w:p>
        </w:tc>
      </w:tr>
      <w:tr w:rsidR="002F13F8" w:rsidRPr="002F13F8" w:rsidTr="002F13F8">
        <w:tc>
          <w:tcPr>
            <w:tcW w:w="505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Loss of energy</w:t>
            </w:r>
          </w:p>
        </w:tc>
        <w:tc>
          <w:tcPr>
            <w:tcW w:w="502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Loss of motivation, ideals, and hope</w:t>
            </w:r>
          </w:p>
        </w:tc>
      </w:tr>
      <w:tr w:rsidR="002F13F8" w:rsidRPr="002F13F8" w:rsidTr="002F13F8">
        <w:tc>
          <w:tcPr>
            <w:tcW w:w="505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Leads to anxiety disorders</w:t>
            </w:r>
          </w:p>
        </w:tc>
        <w:tc>
          <w:tcPr>
            <w:tcW w:w="502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Leads to detachment and depression</w:t>
            </w:r>
          </w:p>
        </w:tc>
      </w:tr>
      <w:tr w:rsidR="002F13F8" w:rsidRPr="002F13F8" w:rsidTr="002F13F8">
        <w:tc>
          <w:tcPr>
            <w:tcW w:w="505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Primary damage is physical</w:t>
            </w:r>
          </w:p>
        </w:tc>
        <w:tc>
          <w:tcPr>
            <w:tcW w:w="502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Primary damage is emotional</w:t>
            </w:r>
          </w:p>
        </w:tc>
      </w:tr>
      <w:tr w:rsidR="002F13F8" w:rsidRPr="002F13F8" w:rsidTr="002F13F8">
        <w:tc>
          <w:tcPr>
            <w:tcW w:w="505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May kill you prematurely</w:t>
            </w:r>
          </w:p>
        </w:tc>
        <w:tc>
          <w:tcPr>
            <w:tcW w:w="5025" w:type="dxa"/>
            <w:shd w:val="clear" w:color="auto" w:fill="auto"/>
            <w:tcMar>
              <w:top w:w="0" w:type="dxa"/>
              <w:left w:w="0" w:type="dxa"/>
              <w:bottom w:w="0" w:type="dxa"/>
              <w:right w:w="0" w:type="dxa"/>
            </w:tcMar>
            <w:hideMark/>
          </w:tcPr>
          <w:p w:rsidR="002F13F8" w:rsidRPr="002F13F8" w:rsidRDefault="002F13F8" w:rsidP="002F13F8">
            <w:pPr>
              <w:spacing w:after="150" w:line="360" w:lineRule="atLeast"/>
              <w:rPr>
                <w:rFonts w:ascii="Helvetica" w:eastAsia="Times New Roman" w:hAnsi="Helvetica" w:cs="Helvetica"/>
                <w:color w:val="333333"/>
                <w:sz w:val="24"/>
                <w:szCs w:val="24"/>
              </w:rPr>
            </w:pPr>
            <w:r w:rsidRPr="002F13F8">
              <w:rPr>
                <w:rFonts w:ascii="Helvetica" w:eastAsia="Times New Roman" w:hAnsi="Helvetica" w:cs="Helvetica"/>
                <w:color w:val="333333"/>
                <w:sz w:val="24"/>
                <w:szCs w:val="24"/>
              </w:rPr>
              <w:t>May make life seem not worth living</w:t>
            </w:r>
          </w:p>
        </w:tc>
      </w:tr>
      <w:tr w:rsidR="002F13F8" w:rsidRPr="002F13F8" w:rsidTr="002F13F8">
        <w:tc>
          <w:tcPr>
            <w:tcW w:w="10080" w:type="dxa"/>
            <w:gridSpan w:val="2"/>
            <w:shd w:val="clear" w:color="auto" w:fill="auto"/>
            <w:tcMar>
              <w:top w:w="0" w:type="dxa"/>
              <w:left w:w="0" w:type="dxa"/>
              <w:bottom w:w="0" w:type="dxa"/>
              <w:right w:w="0" w:type="dxa"/>
            </w:tcMar>
            <w:hideMark/>
          </w:tcPr>
          <w:p w:rsidR="002F13F8" w:rsidRDefault="002F13F8" w:rsidP="002F13F8">
            <w:pPr>
              <w:spacing w:after="150" w:line="360" w:lineRule="atLeast"/>
              <w:rPr>
                <w:rFonts w:ascii="Helvetica" w:eastAsia="Times New Roman" w:hAnsi="Helvetica" w:cs="Helvetica"/>
                <w:color w:val="333333"/>
                <w:sz w:val="24"/>
                <w:szCs w:val="24"/>
              </w:rPr>
            </w:pPr>
            <w:bookmarkStart w:id="0" w:name="_GoBack"/>
            <w:bookmarkEnd w:id="0"/>
          </w:p>
          <w:p w:rsidR="002F13F8" w:rsidRPr="002F13F8" w:rsidRDefault="002F13F8" w:rsidP="002F13F8">
            <w:pPr>
              <w:spacing w:after="150" w:line="360" w:lineRule="atLeast"/>
              <w:rPr>
                <w:rFonts w:ascii="Helvetica" w:eastAsia="Times New Roman" w:hAnsi="Helvetica" w:cs="Helvetica"/>
                <w:color w:val="333333"/>
                <w:sz w:val="24"/>
                <w:szCs w:val="24"/>
              </w:rPr>
            </w:pPr>
            <w:r w:rsidRPr="00193214">
              <w:rPr>
                <w:rFonts w:ascii="Helvetica" w:eastAsia="Times New Roman" w:hAnsi="Helvetica" w:cs="Helvetica"/>
                <w:color w:val="333333"/>
                <w:sz w:val="14"/>
                <w:szCs w:val="24"/>
              </w:rPr>
              <w:t xml:space="preserve">Source: </w:t>
            </w:r>
            <w:r w:rsidRPr="00193214">
              <w:rPr>
                <w:rFonts w:ascii="Helvetica" w:eastAsia="Times New Roman" w:hAnsi="Helvetica" w:cs="Helvetica"/>
                <w:i/>
                <w:iCs/>
                <w:color w:val="333333"/>
                <w:sz w:val="14"/>
                <w:szCs w:val="24"/>
              </w:rPr>
              <w:t>Stress and Burnout in Ministry</w:t>
            </w:r>
            <w:r w:rsidRPr="00193214">
              <w:rPr>
                <w:rFonts w:ascii="Helvetica" w:eastAsia="Times New Roman" w:hAnsi="Helvetica" w:cs="Helvetica"/>
                <w:color w:val="333333"/>
                <w:sz w:val="14"/>
                <w:szCs w:val="24"/>
              </w:rPr>
              <w:t xml:space="preserve"> </w:t>
            </w:r>
          </w:p>
        </w:tc>
      </w:tr>
    </w:tbl>
    <w:p w:rsidR="00691AB9" w:rsidRDefault="00691AB9"/>
    <w:p w:rsidR="006350B3" w:rsidRDefault="006350B3"/>
    <w:p w:rsidR="006350B3" w:rsidRPr="00193214" w:rsidRDefault="006350B3" w:rsidP="006350B3">
      <w:pPr>
        <w:jc w:val="center"/>
        <w:rPr>
          <w:b/>
          <w:sz w:val="24"/>
          <w:szCs w:val="24"/>
        </w:rPr>
      </w:pPr>
      <w:r w:rsidRPr="00193214">
        <w:rPr>
          <w:b/>
          <w:sz w:val="24"/>
          <w:szCs w:val="24"/>
        </w:rPr>
        <w:t xml:space="preserve">Quotes </w:t>
      </w:r>
      <w:r w:rsidR="00193214">
        <w:rPr>
          <w:b/>
          <w:sz w:val="24"/>
          <w:szCs w:val="24"/>
        </w:rPr>
        <w:t>About</w:t>
      </w:r>
      <w:r w:rsidRPr="00193214">
        <w:rPr>
          <w:b/>
          <w:sz w:val="24"/>
          <w:szCs w:val="24"/>
        </w:rPr>
        <w:t xml:space="preserve"> </w:t>
      </w:r>
      <w:r w:rsidRPr="00193214">
        <w:rPr>
          <w:b/>
          <w:i/>
          <w:sz w:val="24"/>
          <w:szCs w:val="24"/>
        </w:rPr>
        <w:t>Trauma Stewardship</w:t>
      </w:r>
      <w:r w:rsidRPr="00193214">
        <w:rPr>
          <w:b/>
          <w:sz w:val="24"/>
          <w:szCs w:val="24"/>
        </w:rPr>
        <w:t xml:space="preserve"> by Laura van </w:t>
      </w:r>
      <w:proofErr w:type="spellStart"/>
      <w:r w:rsidRPr="00193214">
        <w:rPr>
          <w:b/>
          <w:sz w:val="24"/>
          <w:szCs w:val="24"/>
        </w:rPr>
        <w:t>Dernoot</w:t>
      </w:r>
      <w:proofErr w:type="spellEnd"/>
      <w:r w:rsidRPr="00193214">
        <w:rPr>
          <w:b/>
          <w:sz w:val="24"/>
          <w:szCs w:val="24"/>
        </w:rPr>
        <w:t xml:space="preserve"> Lipsky:</w:t>
      </w:r>
    </w:p>
    <w:p w:rsidR="006350B3" w:rsidRDefault="00193214" w:rsidP="006350B3">
      <w:pPr>
        <w:rPr>
          <w:sz w:val="24"/>
          <w:szCs w:val="24"/>
        </w:rPr>
      </w:pPr>
      <w:r>
        <w:rPr>
          <w:sz w:val="24"/>
          <w:szCs w:val="24"/>
        </w:rPr>
        <w:t>A</w:t>
      </w:r>
      <w:r w:rsidR="006350B3" w:rsidRPr="00193214">
        <w:rPr>
          <w:sz w:val="24"/>
          <w:szCs w:val="24"/>
        </w:rPr>
        <w:t xml:space="preserve">s stewards, we create space for and honor others’ hardship and suffering, and yet we do not assume their pain as our own. We develop and maintain long-term safety that enables us to remain whole and helpful, even amid great challenges. </w:t>
      </w:r>
    </w:p>
    <w:p w:rsidR="00193214" w:rsidRPr="00193214" w:rsidRDefault="00193214" w:rsidP="006350B3">
      <w:pPr>
        <w:rPr>
          <w:sz w:val="24"/>
          <w:szCs w:val="24"/>
        </w:rPr>
      </w:pPr>
    </w:p>
    <w:p w:rsidR="006350B3" w:rsidRDefault="006350B3" w:rsidP="006350B3">
      <w:pPr>
        <w:rPr>
          <w:sz w:val="24"/>
          <w:szCs w:val="24"/>
        </w:rPr>
      </w:pPr>
      <w:r w:rsidRPr="00193214">
        <w:rPr>
          <w:sz w:val="24"/>
          <w:szCs w:val="24"/>
        </w:rPr>
        <w:t xml:space="preserve">Our stewardship involves but is not limited to our intention in choosing the work we do, our philosophy of what it means to help others, the tone our caregiving takes, and our daily decision about how we live our lives. </w:t>
      </w:r>
    </w:p>
    <w:p w:rsidR="00193214" w:rsidRPr="00193214" w:rsidRDefault="00193214" w:rsidP="006350B3">
      <w:pPr>
        <w:rPr>
          <w:sz w:val="24"/>
          <w:szCs w:val="24"/>
        </w:rPr>
      </w:pPr>
    </w:p>
    <w:p w:rsidR="006350B3" w:rsidRPr="00193214" w:rsidRDefault="006350B3" w:rsidP="006350B3">
      <w:pPr>
        <w:rPr>
          <w:sz w:val="24"/>
          <w:szCs w:val="24"/>
        </w:rPr>
      </w:pPr>
      <w:r w:rsidRPr="00193214">
        <w:rPr>
          <w:sz w:val="24"/>
          <w:szCs w:val="24"/>
        </w:rPr>
        <w:t>When we arrive at a frightening place, we want to slow down enough to be curious about what is happening within ourselves.</w:t>
      </w:r>
    </w:p>
    <w:p w:rsidR="006350B3" w:rsidRDefault="006350B3"/>
    <w:sectPr w:rsidR="00635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B3AE4"/>
    <w:multiLevelType w:val="hybridMultilevel"/>
    <w:tmpl w:val="D9E8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7B"/>
    <w:rsid w:val="00193214"/>
    <w:rsid w:val="002F13F8"/>
    <w:rsid w:val="00357917"/>
    <w:rsid w:val="006350B3"/>
    <w:rsid w:val="00691AB9"/>
    <w:rsid w:val="00717A06"/>
    <w:rsid w:val="0091219F"/>
    <w:rsid w:val="00950847"/>
    <w:rsid w:val="009C7F54"/>
    <w:rsid w:val="00BE0D7B"/>
    <w:rsid w:val="00C45E22"/>
    <w:rsid w:val="00CC449E"/>
    <w:rsid w:val="00D41B0D"/>
    <w:rsid w:val="00D90323"/>
    <w:rsid w:val="00F1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0F41"/>
  <w15:chartTrackingRefBased/>
  <w15:docId w15:val="{542356B5-2EA6-47E1-B68D-A62F4C0F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19F"/>
    <w:pPr>
      <w:ind w:left="720"/>
      <w:contextualSpacing/>
    </w:pPr>
  </w:style>
  <w:style w:type="paragraph" w:styleId="NormalWeb">
    <w:name w:val="Normal (Web)"/>
    <w:basedOn w:val="Normal"/>
    <w:uiPriority w:val="99"/>
    <w:semiHidden/>
    <w:unhideWhenUsed/>
    <w:rsid w:val="002F13F8"/>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13F8"/>
    <w:rPr>
      <w:i/>
      <w:iCs/>
    </w:rPr>
  </w:style>
  <w:style w:type="paragraph" w:styleId="BalloonText">
    <w:name w:val="Balloon Text"/>
    <w:basedOn w:val="Normal"/>
    <w:link w:val="BalloonTextChar"/>
    <w:uiPriority w:val="99"/>
    <w:semiHidden/>
    <w:unhideWhenUsed/>
    <w:rsid w:val="00193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161166">
      <w:bodyDiv w:val="1"/>
      <w:marLeft w:val="0"/>
      <w:marRight w:val="0"/>
      <w:marTop w:val="0"/>
      <w:marBottom w:val="0"/>
      <w:divBdr>
        <w:top w:val="none" w:sz="0" w:space="0" w:color="auto"/>
        <w:left w:val="none" w:sz="0" w:space="0" w:color="auto"/>
        <w:bottom w:val="none" w:sz="0" w:space="0" w:color="auto"/>
        <w:right w:val="none" w:sz="0" w:space="0" w:color="auto"/>
      </w:divBdr>
      <w:divsChild>
        <w:div w:id="1241140586">
          <w:marLeft w:val="0"/>
          <w:marRight w:val="0"/>
          <w:marTop w:val="0"/>
          <w:marBottom w:val="0"/>
          <w:divBdr>
            <w:top w:val="none" w:sz="0" w:space="0" w:color="auto"/>
            <w:left w:val="none" w:sz="0" w:space="0" w:color="auto"/>
            <w:bottom w:val="none" w:sz="0" w:space="0" w:color="auto"/>
            <w:right w:val="none" w:sz="0" w:space="0" w:color="auto"/>
          </w:divBdr>
          <w:divsChild>
            <w:div w:id="266815965">
              <w:marLeft w:val="-225"/>
              <w:marRight w:val="-225"/>
              <w:marTop w:val="0"/>
              <w:marBottom w:val="0"/>
              <w:divBdr>
                <w:top w:val="none" w:sz="0" w:space="0" w:color="auto"/>
                <w:left w:val="none" w:sz="0" w:space="0" w:color="auto"/>
                <w:bottom w:val="none" w:sz="0" w:space="0" w:color="auto"/>
                <w:right w:val="none" w:sz="0" w:space="0" w:color="auto"/>
              </w:divBdr>
              <w:divsChild>
                <w:div w:id="2102602955">
                  <w:marLeft w:val="0"/>
                  <w:marRight w:val="0"/>
                  <w:marTop w:val="0"/>
                  <w:marBottom w:val="0"/>
                  <w:divBdr>
                    <w:top w:val="none" w:sz="0" w:space="0" w:color="auto"/>
                    <w:left w:val="none" w:sz="0" w:space="0" w:color="auto"/>
                    <w:bottom w:val="none" w:sz="0" w:space="0" w:color="auto"/>
                    <w:right w:val="none" w:sz="0" w:space="0" w:color="auto"/>
                  </w:divBdr>
                  <w:divsChild>
                    <w:div w:id="1240749294">
                      <w:marLeft w:val="0"/>
                      <w:marRight w:val="0"/>
                      <w:marTop w:val="0"/>
                      <w:marBottom w:val="0"/>
                      <w:divBdr>
                        <w:top w:val="none" w:sz="0" w:space="0" w:color="auto"/>
                        <w:left w:val="none" w:sz="0" w:space="0" w:color="auto"/>
                        <w:bottom w:val="none" w:sz="0" w:space="0" w:color="auto"/>
                        <w:right w:val="none" w:sz="0" w:space="0" w:color="auto"/>
                      </w:divBdr>
                    </w:div>
                    <w:div w:id="11601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 Kaitlin</dc:creator>
  <cp:keywords/>
  <dc:description/>
  <cp:lastModifiedBy>Legg, Kaitlin</cp:lastModifiedBy>
  <cp:revision>7</cp:revision>
  <cp:lastPrinted>2018-11-06T21:11:00Z</cp:lastPrinted>
  <dcterms:created xsi:type="dcterms:W3CDTF">2018-11-05T19:08:00Z</dcterms:created>
  <dcterms:modified xsi:type="dcterms:W3CDTF">2018-11-06T21:11:00Z</dcterms:modified>
</cp:coreProperties>
</file>