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1117600</wp:posOffset>
                </wp:positionH>
                <wp:positionV relativeFrom="paragraph">
                  <wp:posOffset>101600</wp:posOffset>
                </wp:positionV>
                <wp:extent cx="6159500" cy="816782"/>
                <wp:effectExtent b="0" l="0" r="0" t="0"/>
                <wp:wrapNone/>
                <wp:docPr id="1" name=""/>
                <a:graphic>
                  <a:graphicData uri="http://schemas.microsoft.com/office/word/2010/wordprocessingGroup">
                    <wpg:wgp>
                      <wpg:cNvGrpSpPr/>
                      <wpg:grpSpPr>
                        <a:xfrm>
                          <a:off x="2291575" y="3409650"/>
                          <a:ext cx="6159500" cy="816782"/>
                          <a:chOff x="2291575" y="3409650"/>
                          <a:chExt cx="6108850" cy="782350"/>
                        </a:xfrm>
                      </wpg:grpSpPr>
                      <wps:wsp>
                        <wps:cNvSpPr/>
                        <wps:cNvPr id="2" name="Shape 2"/>
                        <wps:spPr>
                          <a:xfrm>
                            <a:off x="2304300" y="3422375"/>
                            <a:ext cx="6083400" cy="756900"/>
                          </a:xfrm>
                          <a:prstGeom prst="rect">
                            <a:avLst/>
                          </a:prstGeom>
                          <a:gradFill>
                            <a:gsLst>
                              <a:gs pos="0">
                                <a:srgbClr val="93857A"/>
                              </a:gs>
                              <a:gs pos="50000">
                                <a:srgbClr val="D5C1B1"/>
                              </a:gs>
                              <a:gs pos="100000">
                                <a:srgbClr val="FFE8D5"/>
                              </a:gs>
                            </a:gsLst>
                            <a:lin ang="5400000" scaled="0"/>
                          </a:gradFill>
                          <a:ln cap="flat" cmpd="sng" w="25400">
                            <a:solidFill>
                              <a:schemeClr val="accent6"/>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Calibri" w:cs="Calibri" w:eastAsia="Calibri" w:hAnsi="Calibri"/>
                                  <w:b w:val="1"/>
                                  <w:i w:val="0"/>
                                  <w:smallCaps w:val="0"/>
                                  <w:strike w:val="0"/>
                                  <w:color w:val="fdeada"/>
                                  <w:sz w:val="70"/>
                                  <w:vertAlign w:val="baseline"/>
                                </w:rPr>
                                <w:t xml:space="preserve">Clinical Services</w:t>
                              </w:r>
                              <w:r w:rsidDel="00000000" w:rsidR="00000000" w:rsidRPr="00000000">
                                <w:rPr>
                                  <w:rFonts w:ascii="Calibri" w:cs="Calibri" w:eastAsia="Calibri" w:hAnsi="Calibri"/>
                                  <w:b w:val="1"/>
                                  <w:i w:val="0"/>
                                  <w:smallCaps w:val="0"/>
                                  <w:strike w:val="0"/>
                                  <w:color w:val="fdeada"/>
                                  <w:sz w:val="70"/>
                                  <w:vertAlign w:val="baseline"/>
                                </w:rPr>
                                <w:t xml:space="preserve"> Referral Bonus</w:t>
                              </w:r>
                            </w:p>
                          </w:txbxContent>
                        </wps:txbx>
                        <wps:bodyPr anchorCtr="0" anchor="t" bIns="45700" lIns="91425" spcFirstLastPara="1" rIns="91425" wrap="square" tIns="45700">
                          <a:noAutofit/>
                        </wps:bodyPr>
                      </wps:wsp>
                      <wps:wsp>
                        <wps:cNvSpPr txBox="1"/>
                        <wps:cNvPr id="3" name="Shape 3"/>
                        <wps:spPr>
                          <a:xfrm>
                            <a:off x="2673000" y="3754925"/>
                            <a:ext cx="233400" cy="31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g:wgp>
                  </a:graphicData>
                </a:graphic>
              </wp:anchor>
            </w:drawing>
          </mc:Choice>
          <mc:Fallback>
            <w:drawing>
              <wp:anchor allowOverlap="1" behindDoc="0" distB="0" distT="0" distL="114300" distR="114300" hidden="0" layoutInCell="1" locked="0" relativeHeight="0" simplePos="0">
                <wp:simplePos x="0" y="0"/>
                <wp:positionH relativeFrom="column">
                  <wp:posOffset>1117600</wp:posOffset>
                </wp:positionH>
                <wp:positionV relativeFrom="paragraph">
                  <wp:posOffset>101600</wp:posOffset>
                </wp:positionV>
                <wp:extent cx="6159500" cy="816782"/>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6159500" cy="816782"/>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36"/>
          <w:szCs w:val="36"/>
        </w:rPr>
      </w:pPr>
      <w:r w:rsidDel="00000000" w:rsidR="00000000" w:rsidRPr="00000000">
        <w:rPr>
          <w:b w:val="1"/>
          <w:bCs w:val="1"/>
          <w:sz w:val="36"/>
          <w:szCs w:val="36"/>
          <w:rtl w:val="0"/>
        </w:rPr>
        <w:t xml:space="preserve">ALL Employees are eligible!</w:t>
      </w:r>
    </w:p>
    <w:p w:rsidR="00000000" w:rsidDel="00000000" w:rsidP="00000000" w:rsidRDefault="00000000" w:rsidRPr="00000000" w14:paraId="00000006">
      <w:pPr>
        <w:rPr>
          <w:sz w:val="28"/>
          <w:szCs w:val="28"/>
        </w:rPr>
      </w:pPr>
      <w:bookmarkStart w:colFirst="0" w:colLast="0" w:name="_gjdgxs" w:id="0"/>
      <w:bookmarkEnd w:id="0"/>
      <w:r w:rsidDel="00000000" w:rsidR="00000000" w:rsidRPr="00000000">
        <w:rPr>
          <w:sz w:val="28"/>
          <w:szCs w:val="28"/>
          <w:rtl w:val="0"/>
        </w:rPr>
        <w:t xml:space="preserve">You are eligible for a Referral Bonus if you refer to a</w:t>
      </w:r>
      <w:r w:rsidDel="00000000" w:rsidR="00000000" w:rsidRPr="00000000">
        <w:rPr>
          <w:b w:val="1"/>
          <w:bCs w:val="1"/>
          <w:sz w:val="28"/>
          <w:szCs w:val="28"/>
          <w:rtl w:val="0"/>
        </w:rPr>
        <w:t xml:space="preserve"> </w:t>
      </w:r>
      <w:r w:rsidDel="00000000" w:rsidR="00000000" w:rsidRPr="00000000">
        <w:rPr>
          <w:b w:val="1"/>
          <w:bCs w:val="1"/>
          <w:sz w:val="28"/>
          <w:szCs w:val="28"/>
          <w:u w:val="single"/>
          <w:rtl w:val="0"/>
        </w:rPr>
        <w:t xml:space="preserve">RN/LPN</w:t>
      </w:r>
      <w:r w:rsidDel="00000000" w:rsidR="00000000" w:rsidRPr="00000000">
        <w:rPr>
          <w:sz w:val="28"/>
          <w:szCs w:val="28"/>
          <w:rtl w:val="0"/>
        </w:rPr>
        <w:t xml:space="preserve">.   The candidate must be hired full time and remain full time at the time of each incremental payout.  The referring employee must also be employed at the time of payout. This program will go until the end of the year. </w:t>
      </w:r>
    </w:p>
    <w:tbl>
      <w:tblPr>
        <w:tblStyle w:val="Table1"/>
        <w:tblW w:w="7278.000000000001" w:type="dxa"/>
        <w:jc w:val="center"/>
        <w:tblLayout w:type="fixed"/>
        <w:tblLook w:val="0400"/>
      </w:tblPr>
      <w:tblGrid>
        <w:gridCol w:w="1118"/>
        <w:gridCol w:w="1232"/>
        <w:gridCol w:w="1232"/>
        <w:gridCol w:w="1232"/>
        <w:gridCol w:w="1232"/>
        <w:gridCol w:w="1232"/>
        <w:tblGridChange w:id="0">
          <w:tblGrid>
            <w:gridCol w:w="1118"/>
            <w:gridCol w:w="1232"/>
            <w:gridCol w:w="1232"/>
            <w:gridCol w:w="1232"/>
            <w:gridCol w:w="1232"/>
            <w:gridCol w:w="1232"/>
          </w:tblGrid>
        </w:tblGridChange>
      </w:tblGrid>
      <w:tr>
        <w:trPr>
          <w:cantSplit w:val="0"/>
          <w:trHeight w:val="428" w:hRule="atLeast"/>
          <w:tblHeader w:val="1"/>
        </w:trPr>
        <w:tc>
          <w:tcPr>
            <w:tcBorders>
              <w:top w:color="000000" w:space="0" w:sz="8" w:val="single"/>
              <w:left w:color="000000" w:space="0" w:sz="8" w:val="single"/>
              <w:bottom w:color="000000" w:space="0" w:sz="8" w:val="single"/>
              <w:right w:color="000000" w:space="0" w:sz="4" w:val="single"/>
            </w:tcBorders>
            <w:shd w:fill="fde9d9" w:val="clear"/>
            <w:vAlign w:val="center"/>
          </w:tcPr>
          <w:p w:rsidR="00000000" w:rsidDel="00000000" w:rsidP="00000000" w:rsidRDefault="00000000" w:rsidRPr="00000000" w14:paraId="00000007">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Referral</w:t>
            </w:r>
          </w:p>
        </w:tc>
        <w:tc>
          <w:tcPr>
            <w:tcBorders>
              <w:top w:color="000000" w:space="0" w:sz="8" w:val="single"/>
              <w:left w:color="000000" w:space="0" w:sz="0" w:val="nil"/>
              <w:bottom w:color="000000" w:space="0" w:sz="8" w:val="single"/>
              <w:right w:color="000000" w:space="0" w:sz="4" w:val="single"/>
            </w:tcBorders>
            <w:shd w:fill="fde9d9" w:val="clear"/>
            <w:vAlign w:val="center"/>
          </w:tcPr>
          <w:p w:rsidR="00000000" w:rsidDel="00000000" w:rsidP="00000000" w:rsidRDefault="00000000" w:rsidRPr="00000000" w14:paraId="00000008">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30 Days</w:t>
            </w:r>
          </w:p>
        </w:tc>
        <w:tc>
          <w:tcPr>
            <w:tcBorders>
              <w:top w:color="000000" w:space="0" w:sz="8" w:val="single"/>
              <w:left w:color="000000" w:space="0" w:sz="0" w:val="nil"/>
              <w:bottom w:color="000000" w:space="0" w:sz="8" w:val="single"/>
              <w:right w:color="000000" w:space="0" w:sz="4" w:val="single"/>
            </w:tcBorders>
            <w:shd w:fill="fde9d9" w:val="clear"/>
            <w:vAlign w:val="center"/>
          </w:tcPr>
          <w:p w:rsidR="00000000" w:rsidDel="00000000" w:rsidP="00000000" w:rsidRDefault="00000000" w:rsidRPr="00000000" w14:paraId="00000009">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90 Days</w:t>
            </w:r>
          </w:p>
        </w:tc>
        <w:tc>
          <w:tcPr>
            <w:tcBorders>
              <w:top w:color="000000" w:space="0" w:sz="8" w:val="single"/>
              <w:left w:color="000000" w:space="0" w:sz="0" w:val="nil"/>
              <w:bottom w:color="000000" w:space="0" w:sz="8" w:val="single"/>
              <w:right w:color="000000" w:space="0" w:sz="4" w:val="single"/>
            </w:tcBorders>
            <w:shd w:fill="fde9d9" w:val="clear"/>
            <w:vAlign w:val="center"/>
          </w:tcPr>
          <w:p w:rsidR="00000000" w:rsidDel="00000000" w:rsidP="00000000" w:rsidRDefault="00000000" w:rsidRPr="00000000" w14:paraId="0000000A">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6 Months</w:t>
            </w:r>
          </w:p>
        </w:tc>
        <w:tc>
          <w:tcPr>
            <w:tcBorders>
              <w:top w:color="000000" w:space="0" w:sz="8" w:val="single"/>
              <w:left w:color="000000" w:space="0" w:sz="0" w:val="nil"/>
              <w:bottom w:color="000000" w:space="0" w:sz="8" w:val="single"/>
              <w:right w:color="000000" w:space="0" w:sz="4" w:val="single"/>
            </w:tcBorders>
            <w:shd w:fill="fde9d9" w:val="clear"/>
            <w:vAlign w:val="center"/>
          </w:tcPr>
          <w:p w:rsidR="00000000" w:rsidDel="00000000" w:rsidP="00000000" w:rsidRDefault="00000000" w:rsidRPr="00000000" w14:paraId="0000000B">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1 Year</w:t>
            </w:r>
          </w:p>
        </w:tc>
        <w:tc>
          <w:tcPr>
            <w:tcBorders>
              <w:top w:color="000000" w:space="0" w:sz="8" w:val="single"/>
              <w:left w:color="000000" w:space="0" w:sz="0" w:val="nil"/>
              <w:bottom w:color="000000" w:space="0" w:sz="8" w:val="single"/>
              <w:right w:color="000000" w:space="0" w:sz="8" w:val="single"/>
            </w:tcBorders>
            <w:shd w:fill="fde9d9" w:val="clear"/>
            <w:vAlign w:val="center"/>
          </w:tcPr>
          <w:p w:rsidR="00000000" w:rsidDel="00000000" w:rsidP="00000000" w:rsidRDefault="00000000" w:rsidRPr="00000000" w14:paraId="0000000C">
            <w:pPr>
              <w:spacing w:after="0" w:line="240" w:lineRule="auto"/>
              <w:jc w:val="center"/>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Total</w:t>
            </w:r>
          </w:p>
        </w:tc>
      </w:tr>
      <w:tr>
        <w:trPr>
          <w:cantSplit w:val="0"/>
          <w:trHeight w:val="340" w:hRule="atLeast"/>
          <w:tblHeader w:val="1"/>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0D">
            <w:pPr>
              <w:spacing w:after="0" w:line="240" w:lineRule="auto"/>
              <w:jc w:val="center"/>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0E">
            <w:pPr>
              <w:spacing w:after="0" w:line="240" w:lineRule="auto"/>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t>
            </w:r>
            <w:r w:rsidDel="00000000" w:rsidR="00000000" w:rsidRPr="00000000">
              <w:rPr>
                <w:sz w:val="24"/>
                <w:szCs w:val="24"/>
                <w:rtl w:val="0"/>
              </w:rPr>
              <w:t xml:space="preserve">500</w:t>
            </w: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0F">
            <w:pPr>
              <w:spacing w:after="0" w:line="240" w:lineRule="auto"/>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0">
            <w:pPr>
              <w:spacing w:after="0" w:line="240" w:lineRule="auto"/>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t>
            </w:r>
            <w:r w:rsidDel="00000000" w:rsidR="00000000" w:rsidRPr="00000000">
              <w:rPr>
                <w:sz w:val="24"/>
                <w:szCs w:val="24"/>
                <w:rtl w:val="0"/>
              </w:rPr>
              <w:t xml:space="preserve">15</w:t>
            </w:r>
            <w:r w:rsidDel="00000000" w:rsidR="00000000" w:rsidRPr="00000000">
              <w:rPr>
                <w:rFonts w:ascii="Calibri" w:cs="Calibri" w:eastAsia="Calibri" w:hAnsi="Calibri"/>
                <w:color w:val="000000"/>
                <w:sz w:val="24"/>
                <w:szCs w:val="24"/>
                <w:rtl w:val="0"/>
              </w:rPr>
              <w:t xml:space="preserve">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1">
            <w:pPr>
              <w:spacing w:after="0" w:line="240" w:lineRule="auto"/>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t>
            </w:r>
            <w:r w:rsidDel="00000000" w:rsidR="00000000" w:rsidRPr="00000000">
              <w:rPr>
                <w:sz w:val="24"/>
                <w:szCs w:val="24"/>
                <w:rtl w:val="0"/>
              </w:rPr>
              <w:t xml:space="preserve">2,0</w:t>
            </w:r>
            <w:r w:rsidDel="00000000" w:rsidR="00000000" w:rsidRPr="00000000">
              <w:rPr>
                <w:rFonts w:ascii="Calibri" w:cs="Calibri" w:eastAsia="Calibri" w:hAnsi="Calibri"/>
                <w:color w:val="000000"/>
                <w:sz w:val="24"/>
                <w:szCs w:val="24"/>
                <w:rtl w:val="0"/>
              </w:rPr>
              <w:t xml:space="preserve">00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12">
            <w:pPr>
              <w:spacing w:after="0" w:line="240" w:lineRule="auto"/>
              <w:jc w:val="right"/>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w:t>
            </w:r>
            <w:r w:rsidDel="00000000" w:rsidR="00000000" w:rsidRPr="00000000">
              <w:rPr>
                <w:sz w:val="24"/>
                <w:szCs w:val="24"/>
                <w:rtl w:val="0"/>
              </w:rPr>
              <w:t xml:space="preserve">5</w:t>
            </w:r>
            <w:r w:rsidDel="00000000" w:rsidR="00000000" w:rsidRPr="00000000">
              <w:rPr>
                <w:rFonts w:ascii="Calibri" w:cs="Calibri" w:eastAsia="Calibri" w:hAnsi="Calibri"/>
                <w:color w:val="000000"/>
                <w:sz w:val="24"/>
                <w:szCs w:val="24"/>
                <w:rtl w:val="0"/>
              </w:rPr>
              <w:t xml:space="preserve">,000</w:t>
            </w:r>
          </w:p>
        </w:tc>
      </w:tr>
    </w:tbl>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sz w:val="28"/>
          <w:szCs w:val="28"/>
        </w:rPr>
      </w:pPr>
      <w:bookmarkStart w:colFirst="0" w:colLast="0" w:name="_gjdgxs" w:id="0"/>
      <w:bookmarkEnd w:id="0"/>
      <w:r w:rsidDel="00000000" w:rsidR="00000000" w:rsidRPr="00000000">
        <w:rPr>
          <w:sz w:val="28"/>
          <w:szCs w:val="28"/>
          <w:rtl w:val="0"/>
        </w:rPr>
        <w:t xml:space="preserve">You are eligible for a Referral Bonus if you refer to a</w:t>
      </w:r>
      <w:r w:rsidDel="00000000" w:rsidR="00000000" w:rsidRPr="00000000">
        <w:rPr>
          <w:b w:val="1"/>
          <w:bCs w:val="1"/>
          <w:sz w:val="28"/>
          <w:szCs w:val="28"/>
          <w:rtl w:val="0"/>
        </w:rPr>
        <w:t xml:space="preserve"> </w:t>
      </w:r>
      <w:r w:rsidDel="00000000" w:rsidR="00000000" w:rsidRPr="00000000">
        <w:rPr>
          <w:b w:val="1"/>
          <w:bCs w:val="1"/>
          <w:sz w:val="28"/>
          <w:szCs w:val="28"/>
          <w:u w:val="single"/>
          <w:rtl w:val="0"/>
        </w:rPr>
        <w:t xml:space="preserve">Certified Nursing Assistant</w:t>
      </w:r>
      <w:r w:rsidDel="00000000" w:rsidR="00000000" w:rsidRPr="00000000">
        <w:rPr>
          <w:sz w:val="28"/>
          <w:szCs w:val="28"/>
          <w:rtl w:val="0"/>
        </w:rPr>
        <w:t xml:space="preserve">.  The candidate </w:t>
      </w:r>
      <w:r w:rsidDel="00000000" w:rsidR="00000000" w:rsidRPr="00000000">
        <w:rPr>
          <w:b w:val="1"/>
          <w:bCs w:val="1"/>
          <w:sz w:val="28"/>
          <w:szCs w:val="28"/>
          <w:rtl w:val="0"/>
        </w:rPr>
        <w:t xml:space="preserve">must be hired full time </w:t>
      </w:r>
      <w:r w:rsidDel="00000000" w:rsidR="00000000" w:rsidRPr="00000000">
        <w:rPr>
          <w:sz w:val="28"/>
          <w:szCs w:val="28"/>
          <w:rtl w:val="0"/>
        </w:rPr>
        <w:t xml:space="preserve">and remain full time at the time of each incremental payout.  The referring employee must also be employed at the time of payout. This program will go until the end of the year. </w:t>
      </w:r>
    </w:p>
    <w:tbl>
      <w:tblPr>
        <w:tblStyle w:val="Table2"/>
        <w:tblW w:w="7278.000000000001" w:type="dxa"/>
        <w:jc w:val="center"/>
        <w:tblLayout w:type="fixed"/>
        <w:tblLook w:val="0400"/>
      </w:tblPr>
      <w:tblGrid>
        <w:gridCol w:w="1118"/>
        <w:gridCol w:w="1232"/>
        <w:gridCol w:w="1232"/>
        <w:gridCol w:w="1232"/>
        <w:gridCol w:w="1232"/>
        <w:gridCol w:w="1232"/>
        <w:tblGridChange w:id="0">
          <w:tblGrid>
            <w:gridCol w:w="1118"/>
            <w:gridCol w:w="1232"/>
            <w:gridCol w:w="1232"/>
            <w:gridCol w:w="1232"/>
            <w:gridCol w:w="1232"/>
            <w:gridCol w:w="1232"/>
          </w:tblGrid>
        </w:tblGridChange>
      </w:tblGrid>
      <w:tr>
        <w:trPr>
          <w:cantSplit w:val="0"/>
          <w:trHeight w:val="428" w:hRule="atLeast"/>
          <w:tblHeader w:val="1"/>
        </w:trPr>
        <w:tc>
          <w:tcPr>
            <w:tcBorders>
              <w:top w:color="000000" w:space="0" w:sz="8" w:val="single"/>
              <w:left w:color="000000" w:space="0" w:sz="8" w:val="single"/>
              <w:bottom w:color="000000" w:space="0" w:sz="8" w:val="single"/>
              <w:right w:color="000000" w:space="0" w:sz="4" w:val="single"/>
            </w:tcBorders>
            <w:shd w:fill="fde9d9" w:val="clear"/>
            <w:vAlign w:val="center"/>
          </w:tcPr>
          <w:p w:rsidR="00000000" w:rsidDel="00000000" w:rsidP="00000000" w:rsidRDefault="00000000" w:rsidRPr="00000000" w14:paraId="00000015">
            <w:pPr>
              <w:spacing w:after="0" w:line="240" w:lineRule="auto"/>
              <w:jc w:val="center"/>
              <w:rPr>
                <w:b w:val="1"/>
                <w:bCs w:val="1"/>
                <w:sz w:val="26"/>
                <w:szCs w:val="26"/>
              </w:rPr>
            </w:pPr>
            <w:r w:rsidDel="00000000" w:rsidR="00000000" w:rsidRPr="00000000">
              <w:rPr>
                <w:b w:val="1"/>
                <w:bCs w:val="1"/>
                <w:sz w:val="26"/>
                <w:szCs w:val="26"/>
                <w:rtl w:val="0"/>
              </w:rPr>
              <w:t xml:space="preserve">Referral</w:t>
            </w:r>
          </w:p>
        </w:tc>
        <w:tc>
          <w:tcPr>
            <w:tcBorders>
              <w:top w:color="000000" w:space="0" w:sz="8" w:val="single"/>
              <w:left w:color="000000" w:space="0" w:sz="0" w:val="nil"/>
              <w:bottom w:color="000000" w:space="0" w:sz="8" w:val="single"/>
              <w:right w:color="000000" w:space="0" w:sz="4" w:val="single"/>
            </w:tcBorders>
            <w:shd w:fill="fde9d9" w:val="clear"/>
            <w:vAlign w:val="center"/>
          </w:tcPr>
          <w:p w:rsidR="00000000" w:rsidDel="00000000" w:rsidP="00000000" w:rsidRDefault="00000000" w:rsidRPr="00000000" w14:paraId="00000016">
            <w:pPr>
              <w:spacing w:after="0" w:line="240" w:lineRule="auto"/>
              <w:jc w:val="center"/>
              <w:rPr>
                <w:b w:val="1"/>
                <w:bCs w:val="1"/>
                <w:sz w:val="32"/>
                <w:szCs w:val="32"/>
              </w:rPr>
            </w:pPr>
            <w:r w:rsidDel="00000000" w:rsidR="00000000" w:rsidRPr="00000000">
              <w:rPr>
                <w:b w:val="1"/>
                <w:bCs w:val="1"/>
                <w:sz w:val="32"/>
                <w:szCs w:val="32"/>
                <w:rtl w:val="0"/>
              </w:rPr>
              <w:t xml:space="preserve">30 Days</w:t>
            </w:r>
          </w:p>
        </w:tc>
        <w:tc>
          <w:tcPr>
            <w:tcBorders>
              <w:top w:color="000000" w:space="0" w:sz="8" w:val="single"/>
              <w:left w:color="000000" w:space="0" w:sz="0" w:val="nil"/>
              <w:bottom w:color="000000" w:space="0" w:sz="8" w:val="single"/>
              <w:right w:color="000000" w:space="0" w:sz="4" w:val="single"/>
            </w:tcBorders>
            <w:shd w:fill="fde9d9" w:val="clear"/>
            <w:vAlign w:val="center"/>
          </w:tcPr>
          <w:p w:rsidR="00000000" w:rsidDel="00000000" w:rsidP="00000000" w:rsidRDefault="00000000" w:rsidRPr="00000000" w14:paraId="00000017">
            <w:pPr>
              <w:spacing w:after="0" w:line="240" w:lineRule="auto"/>
              <w:jc w:val="center"/>
              <w:rPr>
                <w:b w:val="1"/>
                <w:bCs w:val="1"/>
                <w:sz w:val="32"/>
                <w:szCs w:val="32"/>
              </w:rPr>
            </w:pPr>
            <w:r w:rsidDel="00000000" w:rsidR="00000000" w:rsidRPr="00000000">
              <w:rPr>
                <w:b w:val="1"/>
                <w:bCs w:val="1"/>
                <w:sz w:val="32"/>
                <w:szCs w:val="32"/>
                <w:rtl w:val="0"/>
              </w:rPr>
              <w:t xml:space="preserve">90 Days</w:t>
            </w:r>
          </w:p>
        </w:tc>
        <w:tc>
          <w:tcPr>
            <w:tcBorders>
              <w:top w:color="000000" w:space="0" w:sz="8" w:val="single"/>
              <w:left w:color="000000" w:space="0" w:sz="0" w:val="nil"/>
              <w:bottom w:color="000000" w:space="0" w:sz="8" w:val="single"/>
              <w:right w:color="000000" w:space="0" w:sz="4" w:val="single"/>
            </w:tcBorders>
            <w:shd w:fill="fde9d9" w:val="clear"/>
            <w:vAlign w:val="center"/>
          </w:tcPr>
          <w:p w:rsidR="00000000" w:rsidDel="00000000" w:rsidP="00000000" w:rsidRDefault="00000000" w:rsidRPr="00000000" w14:paraId="00000018">
            <w:pPr>
              <w:spacing w:after="0" w:line="240" w:lineRule="auto"/>
              <w:jc w:val="center"/>
              <w:rPr>
                <w:b w:val="1"/>
                <w:bCs w:val="1"/>
                <w:sz w:val="28"/>
                <w:szCs w:val="28"/>
              </w:rPr>
            </w:pPr>
            <w:r w:rsidDel="00000000" w:rsidR="00000000" w:rsidRPr="00000000">
              <w:rPr>
                <w:b w:val="1"/>
                <w:bCs w:val="1"/>
                <w:sz w:val="28"/>
                <w:szCs w:val="28"/>
                <w:rtl w:val="0"/>
              </w:rPr>
              <w:t xml:space="preserve">6 Months</w:t>
            </w:r>
          </w:p>
        </w:tc>
        <w:tc>
          <w:tcPr>
            <w:tcBorders>
              <w:top w:color="000000" w:space="0" w:sz="8" w:val="single"/>
              <w:left w:color="000000" w:space="0" w:sz="0" w:val="nil"/>
              <w:bottom w:color="000000" w:space="0" w:sz="8" w:val="single"/>
              <w:right w:color="000000" w:space="0" w:sz="4" w:val="single"/>
            </w:tcBorders>
            <w:shd w:fill="fde9d9" w:val="clear"/>
            <w:vAlign w:val="center"/>
          </w:tcPr>
          <w:p w:rsidR="00000000" w:rsidDel="00000000" w:rsidP="00000000" w:rsidRDefault="00000000" w:rsidRPr="00000000" w14:paraId="00000019">
            <w:pPr>
              <w:spacing w:after="0" w:line="240" w:lineRule="auto"/>
              <w:jc w:val="center"/>
              <w:rPr>
                <w:b w:val="1"/>
                <w:bCs w:val="1"/>
                <w:sz w:val="32"/>
                <w:szCs w:val="32"/>
              </w:rPr>
            </w:pPr>
            <w:r w:rsidDel="00000000" w:rsidR="00000000" w:rsidRPr="00000000">
              <w:rPr>
                <w:b w:val="1"/>
                <w:bCs w:val="1"/>
                <w:sz w:val="32"/>
                <w:szCs w:val="32"/>
                <w:rtl w:val="0"/>
              </w:rPr>
              <w:t xml:space="preserve">1 Year</w:t>
            </w:r>
          </w:p>
        </w:tc>
        <w:tc>
          <w:tcPr>
            <w:tcBorders>
              <w:top w:color="000000" w:space="0" w:sz="8" w:val="single"/>
              <w:left w:color="000000" w:space="0" w:sz="0" w:val="nil"/>
              <w:bottom w:color="000000" w:space="0" w:sz="8" w:val="single"/>
              <w:right w:color="000000" w:space="0" w:sz="8" w:val="single"/>
            </w:tcBorders>
            <w:shd w:fill="fde9d9" w:val="clear"/>
            <w:vAlign w:val="center"/>
          </w:tcPr>
          <w:p w:rsidR="00000000" w:rsidDel="00000000" w:rsidP="00000000" w:rsidRDefault="00000000" w:rsidRPr="00000000" w14:paraId="0000001A">
            <w:pPr>
              <w:spacing w:after="0" w:line="240" w:lineRule="auto"/>
              <w:jc w:val="center"/>
              <w:rPr>
                <w:b w:val="1"/>
                <w:bCs w:val="1"/>
                <w:sz w:val="32"/>
                <w:szCs w:val="32"/>
              </w:rPr>
            </w:pPr>
            <w:r w:rsidDel="00000000" w:rsidR="00000000" w:rsidRPr="00000000">
              <w:rPr>
                <w:b w:val="1"/>
                <w:bCs w:val="1"/>
                <w:sz w:val="32"/>
                <w:szCs w:val="32"/>
                <w:rtl w:val="0"/>
              </w:rPr>
              <w:t xml:space="preserve">Total</w:t>
            </w:r>
          </w:p>
        </w:tc>
      </w:tr>
      <w:tr>
        <w:trPr>
          <w:cantSplit w:val="0"/>
          <w:trHeight w:val="375" w:hRule="atLeast"/>
          <w:tblHeader w:val="0"/>
        </w:trPr>
        <w:tc>
          <w:tcPr>
            <w:tcBorders>
              <w:top w:color="000000" w:space="0" w:sz="0" w:val="nil"/>
              <w:left w:color="000000" w:space="0" w:sz="8" w:val="single"/>
              <w:bottom w:color="000000" w:space="0" w:sz="4" w:val="single"/>
              <w:right w:color="000000" w:space="0" w:sz="4" w:val="single"/>
            </w:tcBorders>
            <w:shd w:fill="auto" w:val="clear"/>
            <w:vAlign w:val="bottom"/>
          </w:tcPr>
          <w:p w:rsidR="00000000" w:rsidDel="00000000" w:rsidP="00000000" w:rsidRDefault="00000000" w:rsidRPr="00000000" w14:paraId="0000001B">
            <w:pPr>
              <w:spacing w:after="0" w:line="240" w:lineRule="auto"/>
              <w:jc w:val="center"/>
              <w:rPr>
                <w:sz w:val="32"/>
                <w:szCs w:val="32"/>
              </w:rPr>
            </w:pPr>
            <w:r w:rsidDel="00000000" w:rsidR="00000000" w:rsidRPr="00000000">
              <w:rPr>
                <w:sz w:val="32"/>
                <w:szCs w:val="32"/>
                <w:rtl w:val="0"/>
              </w:rPr>
              <w:t xml:space="preserve">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C">
            <w:pPr>
              <w:spacing w:after="0" w:line="240" w:lineRule="auto"/>
              <w:jc w:val="right"/>
              <w:rPr>
                <w:sz w:val="32"/>
                <w:szCs w:val="32"/>
              </w:rPr>
            </w:pPr>
            <w:r w:rsidDel="00000000" w:rsidR="00000000" w:rsidRPr="00000000">
              <w:rPr>
                <w:sz w:val="32"/>
                <w:szCs w:val="32"/>
                <w:rtl w:val="0"/>
              </w:rPr>
              <w:t xml:space="preserve">$250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D">
            <w:pPr>
              <w:spacing w:after="0" w:line="240" w:lineRule="auto"/>
              <w:jc w:val="right"/>
              <w:rPr>
                <w:sz w:val="32"/>
                <w:szCs w:val="32"/>
              </w:rPr>
            </w:pPr>
            <w:r w:rsidDel="00000000" w:rsidR="00000000" w:rsidRPr="00000000">
              <w:rPr>
                <w:sz w:val="32"/>
                <w:szCs w:val="32"/>
                <w:rtl w:val="0"/>
              </w:rPr>
              <w:t xml:space="preserve">$750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E">
            <w:pPr>
              <w:spacing w:after="0" w:line="240" w:lineRule="auto"/>
              <w:jc w:val="right"/>
              <w:rPr>
                <w:sz w:val="32"/>
                <w:szCs w:val="32"/>
              </w:rPr>
            </w:pPr>
            <w:r w:rsidDel="00000000" w:rsidR="00000000" w:rsidRPr="00000000">
              <w:rPr>
                <w:sz w:val="32"/>
                <w:szCs w:val="32"/>
                <w:rtl w:val="0"/>
              </w:rPr>
              <w:t xml:space="preserve">$1000</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F">
            <w:pPr>
              <w:spacing w:after="0" w:line="240" w:lineRule="auto"/>
              <w:jc w:val="right"/>
              <w:rPr>
                <w:sz w:val="32"/>
                <w:szCs w:val="32"/>
              </w:rPr>
            </w:pPr>
            <w:r w:rsidDel="00000000" w:rsidR="00000000" w:rsidRPr="00000000">
              <w:rPr>
                <w:sz w:val="32"/>
                <w:szCs w:val="32"/>
                <w:rtl w:val="0"/>
              </w:rPr>
              <w:t xml:space="preserve">$2,000</w:t>
            </w:r>
          </w:p>
        </w:tc>
        <w:tc>
          <w:tcPr>
            <w:tcBorders>
              <w:top w:color="000000" w:space="0" w:sz="0" w:val="nil"/>
              <w:left w:color="000000" w:space="0" w:sz="0" w:val="nil"/>
              <w:bottom w:color="000000" w:space="0" w:sz="4" w:val="single"/>
              <w:right w:color="000000" w:space="0" w:sz="8" w:val="single"/>
            </w:tcBorders>
            <w:shd w:fill="auto" w:val="clear"/>
            <w:vAlign w:val="bottom"/>
          </w:tcPr>
          <w:p w:rsidR="00000000" w:rsidDel="00000000" w:rsidP="00000000" w:rsidRDefault="00000000" w:rsidRPr="00000000" w14:paraId="00000020">
            <w:pPr>
              <w:spacing w:after="0" w:line="240" w:lineRule="auto"/>
              <w:jc w:val="right"/>
              <w:rPr>
                <w:sz w:val="32"/>
                <w:szCs w:val="32"/>
              </w:rPr>
            </w:pPr>
            <w:r w:rsidDel="00000000" w:rsidR="00000000" w:rsidRPr="00000000">
              <w:rPr>
                <w:sz w:val="32"/>
                <w:szCs w:val="32"/>
                <w:rtl w:val="0"/>
              </w:rPr>
              <w:t xml:space="preserve">$4,000</w:t>
            </w:r>
          </w:p>
        </w:tc>
      </w:tr>
    </w:tbl>
    <w:p w:rsidR="00000000" w:rsidDel="00000000" w:rsidP="00000000" w:rsidRDefault="00000000" w:rsidRPr="00000000" w14:paraId="00000021">
      <w:pPr>
        <w:rPr>
          <w:b w:val="1"/>
          <w:bCs w:val="1"/>
          <w:i w:val="1"/>
          <w:iCs w:val="1"/>
          <w:sz w:val="32"/>
          <w:szCs w:val="32"/>
        </w:rPr>
      </w:pPr>
      <w:r w:rsidDel="00000000" w:rsidR="00000000" w:rsidRPr="00000000">
        <w:rPr>
          <w:rtl w:val="0"/>
        </w:rPr>
      </w:r>
    </w:p>
    <w:p w:rsidR="00000000" w:rsidDel="00000000" w:rsidP="00000000" w:rsidRDefault="00000000" w:rsidRPr="00000000" w14:paraId="00000022">
      <w:pPr>
        <w:jc w:val="center"/>
        <w:rPr>
          <w:b w:val="1"/>
          <w:bCs w:val="1"/>
          <w:i w:val="1"/>
          <w:iCs w:val="1"/>
          <w:sz w:val="32"/>
          <w:szCs w:val="32"/>
        </w:rPr>
      </w:pPr>
      <w:r w:rsidDel="00000000" w:rsidR="00000000" w:rsidRPr="00000000">
        <w:rPr>
          <w:b w:val="1"/>
          <w:bCs w:val="1"/>
          <w:i w:val="1"/>
          <w:iCs w:val="1"/>
          <w:sz w:val="32"/>
          <w:szCs w:val="32"/>
          <w:rtl w:val="0"/>
        </w:rPr>
        <w:t xml:space="preserve">Thank you for all that you do each and every day!</w:t>
      </w:r>
    </w:p>
    <w:p w:rsidR="00000000" w:rsidDel="00000000" w:rsidP="00000000" w:rsidRDefault="00000000" w:rsidRPr="00000000" w14:paraId="00000023">
      <w:pPr>
        <w:jc w:val="right"/>
        <w:rPr>
          <w:b w:val="1"/>
          <w:bCs w:val="1"/>
          <w:i w:val="1"/>
          <w:iCs w:val="1"/>
          <w:sz w:val="32"/>
          <w:szCs w:val="32"/>
        </w:rPr>
      </w:pPr>
      <w:r w:rsidDel="00000000" w:rsidR="00000000" w:rsidRPr="00000000">
        <w:rPr>
          <w:sz w:val="28"/>
          <w:szCs w:val="28"/>
          <w:rtl w:val="0"/>
        </w:rPr>
        <w:t xml:space="preserve">Please contact Toni Gurrieri, Talent Acquisition Manager for more information about the program. </w:t>
      </w:r>
      <w:r w:rsidDel="00000000" w:rsidR="00000000" w:rsidRPr="00000000">
        <w:rPr>
          <w:rtl w:val="0"/>
        </w:rPr>
      </w:r>
    </w:p>
    <w:sectPr>
      <w:pgSz w:h="12240" w:w="15840" w:orient="landscape"/>
      <w:pgMar w:bottom="99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