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CF5" w:rsidRDefault="006B2CF5" w:rsidP="006B2CF5">
      <w:pPr>
        <w:jc w:val="center"/>
        <w:rPr>
          <w:b/>
          <w:sz w:val="32"/>
          <w:szCs w:val="32"/>
        </w:rPr>
      </w:pPr>
      <w:r>
        <w:rPr>
          <w:b/>
          <w:sz w:val="32"/>
          <w:szCs w:val="32"/>
        </w:rPr>
        <w:t xml:space="preserve">Tri-County Community Action Agency, Inc. </w:t>
      </w:r>
    </w:p>
    <w:p w:rsidR="006B2CF5" w:rsidRDefault="006B2CF5" w:rsidP="006B2CF5">
      <w:pPr>
        <w:jc w:val="center"/>
        <w:rPr>
          <w:b/>
          <w:sz w:val="32"/>
          <w:szCs w:val="32"/>
        </w:rPr>
      </w:pPr>
      <w:r>
        <w:rPr>
          <w:b/>
          <w:sz w:val="32"/>
          <w:szCs w:val="32"/>
        </w:rPr>
        <w:t>2020 Annual Report</w:t>
      </w:r>
    </w:p>
    <w:p w:rsidR="006B2CF5" w:rsidRDefault="006B2CF5" w:rsidP="006B2CF5">
      <w:pPr>
        <w:rPr>
          <w:b/>
          <w:sz w:val="32"/>
          <w:szCs w:val="32"/>
        </w:rPr>
      </w:pPr>
    </w:p>
    <w:p w:rsidR="006B2CF5" w:rsidRDefault="006B2CF5" w:rsidP="006B2CF5">
      <w:pPr>
        <w:jc w:val="center"/>
      </w:pPr>
      <w:r>
        <w:rPr>
          <w:noProof/>
        </w:rPr>
        <w:drawing>
          <wp:anchor distT="0" distB="0" distL="114300" distR="114300" simplePos="0" relativeHeight="251659264" behindDoc="1" locked="0" layoutInCell="1" allowOverlap="1" wp14:anchorId="05CAF9E9" wp14:editId="56E21C7C">
            <wp:simplePos x="0" y="0"/>
            <wp:positionH relativeFrom="column">
              <wp:posOffset>0</wp:posOffset>
            </wp:positionH>
            <wp:positionV relativeFrom="paragraph">
              <wp:posOffset>99060</wp:posOffset>
            </wp:positionV>
            <wp:extent cx="1979930" cy="1169035"/>
            <wp:effectExtent l="0" t="0" r="1270" b="0"/>
            <wp:wrapSquare wrapText="bothSides"/>
            <wp:docPr id="1" name="Picture 1" descr="ca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9930" cy="1169035"/>
                    </a:xfrm>
                    <a:prstGeom prst="rect">
                      <a:avLst/>
                    </a:prstGeom>
                    <a:noFill/>
                  </pic:spPr>
                </pic:pic>
              </a:graphicData>
            </a:graphic>
            <wp14:sizeRelH relativeFrom="page">
              <wp14:pctWidth>0</wp14:pctWidth>
            </wp14:sizeRelH>
            <wp14:sizeRelV relativeFrom="page">
              <wp14:pctHeight>0</wp14:pctHeight>
            </wp14:sizeRelV>
          </wp:anchor>
        </w:drawing>
      </w:r>
      <w:r>
        <w:t>Tri-County Community Action Agency, Inc.</w:t>
      </w:r>
    </w:p>
    <w:p w:rsidR="006B2CF5" w:rsidRDefault="006B2CF5" w:rsidP="006B2CF5">
      <w:pPr>
        <w:jc w:val="center"/>
      </w:pPr>
      <w:smartTag w:uri="urn:schemas-microsoft-com:office:smarttags" w:element="Street">
        <w:smartTag w:uri="urn:schemas-microsoft-com:office:smarttags" w:element="address">
          <w:r>
            <w:t>1015 Dispatchers Way</w:t>
          </w:r>
        </w:smartTag>
      </w:smartTag>
    </w:p>
    <w:p w:rsidR="006B2CF5" w:rsidRDefault="006B2CF5" w:rsidP="006B2CF5">
      <w:pPr>
        <w:jc w:val="center"/>
      </w:pPr>
      <w:smartTag w:uri="urn:schemas-microsoft-com:office:smarttags" w:element="place">
        <w:smartTag w:uri="urn:schemas-microsoft-com:office:smarttags" w:element="City">
          <w:r>
            <w:t>LaGrange</w:t>
          </w:r>
        </w:smartTag>
        <w:r>
          <w:t xml:space="preserve">, </w:t>
        </w:r>
        <w:smartTag w:uri="urn:schemas-microsoft-com:office:smarttags" w:element="State">
          <w:r>
            <w:t>KY</w:t>
          </w:r>
        </w:smartTag>
        <w:r>
          <w:t xml:space="preserve"> </w:t>
        </w:r>
        <w:smartTag w:uri="urn:schemas-microsoft-com:office:smarttags" w:element="PostalCode">
          <w:r>
            <w:t>40031</w:t>
          </w:r>
        </w:smartTag>
      </w:smartTag>
    </w:p>
    <w:p w:rsidR="006B2CF5" w:rsidRDefault="006B2CF5" w:rsidP="006B2CF5">
      <w:pPr>
        <w:jc w:val="center"/>
      </w:pPr>
      <w:r>
        <w:t>(502) 222-1349</w:t>
      </w:r>
    </w:p>
    <w:p w:rsidR="006B2CF5" w:rsidRDefault="006B2CF5" w:rsidP="006B2CF5">
      <w:pPr>
        <w:jc w:val="center"/>
      </w:pPr>
      <w:r>
        <w:t>FAX (502) 222-0968</w:t>
      </w:r>
    </w:p>
    <w:p w:rsidR="006B2CF5" w:rsidRDefault="006B2CF5" w:rsidP="006B2CF5">
      <w:pPr>
        <w:jc w:val="center"/>
      </w:pPr>
      <w:r>
        <w:t>www.tricountycaaky.org</w:t>
      </w:r>
    </w:p>
    <w:p w:rsidR="006B2CF5" w:rsidRDefault="008477BD" w:rsidP="006B2CF5">
      <w:pPr>
        <w:jc w:val="center"/>
      </w:pPr>
      <w:hyperlink r:id="rId6" w:history="1">
        <w:r w:rsidR="006B2CF5">
          <w:rPr>
            <w:rStyle w:val="Hyperlink"/>
          </w:rPr>
          <w:t>info@tricountycaaky.org</w:t>
        </w:r>
      </w:hyperlink>
    </w:p>
    <w:p w:rsidR="006B2CF5" w:rsidRDefault="006B2CF5" w:rsidP="006B2CF5"/>
    <w:p w:rsidR="006B2CF5" w:rsidRDefault="006B2CF5" w:rsidP="006B2CF5">
      <w:pPr>
        <w:jc w:val="center"/>
        <w:rPr>
          <w:rFonts w:ascii="Verdana" w:hAnsi="Verdana"/>
          <w:b/>
          <w:color w:val="2C20C4"/>
          <w:sz w:val="32"/>
          <w:szCs w:val="32"/>
        </w:rPr>
      </w:pPr>
      <w:r>
        <w:rPr>
          <w:rFonts w:ascii="Verdana" w:hAnsi="Verdana"/>
          <w:b/>
          <w:color w:val="2C20C4"/>
          <w:sz w:val="32"/>
          <w:szCs w:val="32"/>
        </w:rPr>
        <w:t>MISSION STATEMENT:</w:t>
      </w:r>
    </w:p>
    <w:p w:rsidR="006B2CF5" w:rsidRPr="008A2127" w:rsidRDefault="006B2CF5" w:rsidP="006B2CF5">
      <w:pPr>
        <w:rPr>
          <w:rFonts w:ascii="Verdana" w:hAnsi="Verdana"/>
          <w:sz w:val="22"/>
          <w:szCs w:val="22"/>
        </w:rPr>
      </w:pPr>
    </w:p>
    <w:p w:rsidR="006B2CF5" w:rsidRPr="008A2127" w:rsidRDefault="006B2CF5" w:rsidP="006B2CF5">
      <w:pPr>
        <w:jc w:val="center"/>
        <w:rPr>
          <w:rFonts w:ascii="Verdana" w:hAnsi="Verdana"/>
          <w:sz w:val="22"/>
          <w:szCs w:val="22"/>
        </w:rPr>
      </w:pPr>
      <w:r w:rsidRPr="008A2127">
        <w:rPr>
          <w:rFonts w:ascii="Verdana" w:hAnsi="Verdana"/>
          <w:sz w:val="22"/>
          <w:szCs w:val="22"/>
        </w:rPr>
        <w:t>TRI-COUNTY COMMUNITY ACTION EXISTS TO PROVIDE LEADERSHIP AND ADVOCACY; TO DEVELOP COMMUNITY-BASED COORDINATED SERVICES AND ACTIVITIES DESIGNED TO ENABLE LOW-INCOME/DISADVANTAGED PERSONS TO GAIN THE NECESSARY SKILLS, EDUCATION AND MOTIVATION TO BECOME SELF-SUFFICIENT.</w:t>
      </w:r>
    </w:p>
    <w:p w:rsidR="006B2CF5" w:rsidRPr="008A2127" w:rsidRDefault="006B2CF5" w:rsidP="006B2CF5">
      <w:pPr>
        <w:jc w:val="center"/>
        <w:rPr>
          <w:rFonts w:ascii="Verdana" w:hAnsi="Verdana"/>
          <w:sz w:val="22"/>
          <w:szCs w:val="22"/>
        </w:rPr>
      </w:pPr>
      <w:r w:rsidRPr="008A2127">
        <w:rPr>
          <w:rFonts w:ascii="Verdana" w:hAnsi="Verdana"/>
          <w:sz w:val="22"/>
          <w:szCs w:val="22"/>
        </w:rPr>
        <w:t>CHANGING LIVES, CHANGING COMMUNITY</w:t>
      </w:r>
    </w:p>
    <w:p w:rsidR="006B2CF5" w:rsidRDefault="006B2CF5" w:rsidP="00214279">
      <w:pPr>
        <w:pStyle w:val="NormalWeb"/>
        <w:spacing w:before="0" w:beforeAutospacing="0" w:after="0" w:afterAutospacing="0"/>
        <w:rPr>
          <w:rStyle w:val="mpcaabody1"/>
          <w:b/>
        </w:rPr>
      </w:pPr>
      <w:r>
        <w:rPr>
          <w:rStyle w:val="mpcaabody1"/>
          <w:b/>
        </w:rPr>
        <w:t xml:space="preserve">WHO WE ARE: </w:t>
      </w:r>
    </w:p>
    <w:p w:rsidR="006B2CF5" w:rsidRPr="00214279" w:rsidRDefault="006B2CF5" w:rsidP="00214279">
      <w:pPr>
        <w:pStyle w:val="NormalWeb"/>
        <w:spacing w:before="240" w:beforeAutospacing="0" w:after="0" w:afterAutospacing="0"/>
        <w:rPr>
          <w:rStyle w:val="mpcaabody1"/>
          <w:rFonts w:ascii="Times New Roman" w:hAnsi="Times New Roman"/>
          <w:color w:val="000000"/>
          <w:sz w:val="24"/>
          <w:szCs w:val="24"/>
        </w:rPr>
      </w:pPr>
      <w:r>
        <w:rPr>
          <w:rStyle w:val="mpcaabody1"/>
        </w:rPr>
        <w:t>Tri-County Community Action Agency (TCCAA) is one of 23 community action programs in the state of Kentucky. The agency serves the core counties of Henry, Oldham and Trimble.</w:t>
      </w:r>
      <w:r w:rsidR="00214279">
        <w:t xml:space="preserve"> </w:t>
      </w:r>
      <w:r>
        <w:rPr>
          <w:rStyle w:val="mpcaabody1"/>
        </w:rPr>
        <w:t>TCCAA is part of a national movement created in 1964 with the passing of the Economic Opportunity Act. Community Action Agencies work on behalf of individuals and families to help them improve their daily living situations and to stabilize the family unit.</w:t>
      </w:r>
      <w:r w:rsidR="00214279">
        <w:rPr>
          <w:rStyle w:val="mpcaabody1"/>
        </w:rPr>
        <w:t xml:space="preserve"> </w:t>
      </w:r>
      <w:r>
        <w:rPr>
          <w:rStyle w:val="mpcaabody1"/>
        </w:rPr>
        <w:t>Community Action is about real people: the individuals who volunteer time and money; the individuals and families who find a road out of poverty into self-sufficiency; and the agencies themselves whose dedicated staff encourage and inspire.</w:t>
      </w:r>
      <w:r w:rsidR="00214279">
        <w:rPr>
          <w:rStyle w:val="mpcaabody1"/>
        </w:rPr>
        <w:t xml:space="preserve"> </w:t>
      </w:r>
      <w:r>
        <w:rPr>
          <w:rStyle w:val="mpcaabody1"/>
        </w:rPr>
        <w:t>Tri-County Community Action Agency provides a variety of services to clients over 60 years of age, to low-income clients and to at-risk families. TCCAA is incorporated as a private nonprofit 501(c</w:t>
      </w:r>
      <w:proofErr w:type="gramStart"/>
      <w:r>
        <w:rPr>
          <w:rStyle w:val="mpcaabody1"/>
        </w:rPr>
        <w:t>)(</w:t>
      </w:r>
      <w:proofErr w:type="gramEnd"/>
      <w:r>
        <w:rPr>
          <w:rStyle w:val="mpcaabody1"/>
        </w:rPr>
        <w:t>3) agency and is governed by a volunteer board of directors.</w:t>
      </w:r>
      <w:r w:rsidR="00214279">
        <w:rPr>
          <w:rStyle w:val="mpcaabody1"/>
        </w:rPr>
        <w:t xml:space="preserve"> </w:t>
      </w:r>
      <w:r>
        <w:rPr>
          <w:rStyle w:val="mpcaabody1"/>
          <w:color w:val="000000"/>
        </w:rPr>
        <w:t>The agency has been pro</w:t>
      </w:r>
      <w:r w:rsidR="00214279">
        <w:rPr>
          <w:rStyle w:val="mpcaabody1"/>
          <w:color w:val="000000"/>
        </w:rPr>
        <w:t>viding services for more than 46</w:t>
      </w:r>
      <w:r>
        <w:rPr>
          <w:rStyle w:val="mpcaabody1"/>
          <w:color w:val="000000"/>
        </w:rPr>
        <w:t xml:space="preserve"> years and continuously strives to identify needs of the community and to develop services to meet those needs. Through our various program services we promote self-sufficiency and independent living, helping our customers to achieve their own success by focusing on the positive aspects of their lives.</w:t>
      </w:r>
    </w:p>
    <w:p w:rsidR="00214279" w:rsidRDefault="006B2CF5" w:rsidP="00214279">
      <w:pPr>
        <w:pStyle w:val="bigheading"/>
        <w:spacing w:before="240" w:beforeAutospacing="0" w:after="0" w:afterAutospacing="0"/>
        <w:jc w:val="center"/>
        <w:rPr>
          <w:sz w:val="32"/>
          <w:szCs w:val="32"/>
        </w:rPr>
      </w:pPr>
      <w:r>
        <w:rPr>
          <w:sz w:val="32"/>
          <w:szCs w:val="32"/>
        </w:rPr>
        <w:t>PROMISE OF COMMUNITY ACTION:</w:t>
      </w:r>
    </w:p>
    <w:p w:rsidR="00214279" w:rsidRDefault="006B2CF5" w:rsidP="00214279">
      <w:pPr>
        <w:pStyle w:val="bigheading"/>
        <w:spacing w:before="0" w:beforeAutospacing="0" w:after="0" w:afterAutospacing="0"/>
        <w:rPr>
          <w:rStyle w:val="mpcaabody1"/>
        </w:rPr>
      </w:pPr>
      <w:r>
        <w:rPr>
          <w:rStyle w:val="mpcaabody1"/>
        </w:rPr>
        <w:t xml:space="preserve">Community Action changes people's lives, embodies the spirit of hope, improves communities, and makes America a better place to live. We care about the entire community, and we are dedicated to Helping People Help Themselves and each other. </w:t>
      </w:r>
    </w:p>
    <w:p w:rsidR="00214279" w:rsidRPr="00214279" w:rsidRDefault="00214279" w:rsidP="00214279">
      <w:pPr>
        <w:pStyle w:val="bigheading"/>
        <w:spacing w:before="0" w:beforeAutospacing="0" w:after="0" w:afterAutospacing="0"/>
        <w:rPr>
          <w:rStyle w:val="mpcaabody1"/>
          <w:color w:val="333399"/>
          <w:sz w:val="32"/>
          <w:szCs w:val="32"/>
        </w:rPr>
      </w:pPr>
    </w:p>
    <w:p w:rsidR="00720EAD" w:rsidRDefault="006B2CF5" w:rsidP="006B2CF5">
      <w:pPr>
        <w:pStyle w:val="bigspaceheading"/>
        <w:spacing w:after="0" w:afterAutospacing="0"/>
      </w:pPr>
      <w:r w:rsidRPr="00720EAD">
        <w:lastRenderedPageBreak/>
        <w:t xml:space="preserve">Dear Friends, </w:t>
      </w:r>
    </w:p>
    <w:p w:rsidR="00720EAD" w:rsidRPr="00720EAD" w:rsidRDefault="00720EAD" w:rsidP="006B2CF5">
      <w:pPr>
        <w:pStyle w:val="bigspaceheading"/>
        <w:spacing w:after="0" w:afterAutospacing="0"/>
      </w:pPr>
    </w:p>
    <w:p w:rsidR="006B2CF5" w:rsidRPr="00720EAD" w:rsidRDefault="006B2CF5" w:rsidP="006B2CF5">
      <w:r w:rsidRPr="00720EAD">
        <w:t>One of the joys of preparing an annual report is that it gives us the opportunity to look back and be thankful for all that has been accomplished.  The past year was filled with wonderful opportunities and many challenges.  Some of the highlights were:</w:t>
      </w:r>
    </w:p>
    <w:p w:rsidR="006B2CF5" w:rsidRPr="00720EAD" w:rsidRDefault="006B2CF5" w:rsidP="006B2CF5">
      <w:pPr>
        <w:rPr>
          <w:color w:val="0000FF"/>
        </w:rPr>
      </w:pPr>
    </w:p>
    <w:p w:rsidR="006B2CF5" w:rsidRDefault="006B2CF5" w:rsidP="006B2CF5">
      <w:pPr>
        <w:numPr>
          <w:ilvl w:val="0"/>
          <w:numId w:val="1"/>
        </w:numPr>
      </w:pPr>
      <w:r w:rsidRPr="00720EAD">
        <w:t xml:space="preserve">Provided </w:t>
      </w:r>
      <w:r w:rsidR="00C62743" w:rsidRPr="00720EAD">
        <w:t>42,486</w:t>
      </w:r>
      <w:r w:rsidRPr="00720EAD">
        <w:t xml:space="preserve"> congregate and home delivered meals to the elderly</w:t>
      </w:r>
      <w:r w:rsidR="00720EAD">
        <w:t>.</w:t>
      </w:r>
    </w:p>
    <w:p w:rsidR="00720EAD" w:rsidRPr="00720EAD" w:rsidRDefault="00720EAD" w:rsidP="00720EAD">
      <w:pPr>
        <w:ind w:left="720"/>
      </w:pPr>
    </w:p>
    <w:p w:rsidR="006B2CF5" w:rsidRDefault="006B2CF5" w:rsidP="006B2CF5">
      <w:pPr>
        <w:numPr>
          <w:ilvl w:val="0"/>
          <w:numId w:val="1"/>
        </w:numPr>
      </w:pPr>
      <w:r w:rsidRPr="00720EAD">
        <w:t xml:space="preserve">Provided </w:t>
      </w:r>
      <w:r w:rsidR="006D7A4B" w:rsidRPr="00720EAD">
        <w:t>42770</w:t>
      </w:r>
      <w:r w:rsidRPr="00720EAD">
        <w:t xml:space="preserve"> units of support services such as education, counseling, health promotion, advocacy</w:t>
      </w:r>
      <w:r w:rsidR="00720EAD">
        <w:t>,</w:t>
      </w:r>
      <w:r w:rsidRPr="00720EAD">
        <w:t xml:space="preserve"> amongst many other components to </w:t>
      </w:r>
      <w:r w:rsidR="006D7A4B" w:rsidRPr="00720EAD">
        <w:t>864</w:t>
      </w:r>
      <w:r w:rsidRPr="00720EAD">
        <w:t xml:space="preserve"> senior participants</w:t>
      </w:r>
      <w:r w:rsidR="00720EAD">
        <w:t>.</w:t>
      </w:r>
    </w:p>
    <w:p w:rsidR="00720EAD" w:rsidRPr="00720EAD" w:rsidRDefault="00720EAD" w:rsidP="00720EAD">
      <w:pPr>
        <w:ind w:left="720"/>
      </w:pPr>
    </w:p>
    <w:p w:rsidR="006B2CF5" w:rsidRDefault="006B2CF5" w:rsidP="006B2CF5">
      <w:pPr>
        <w:numPr>
          <w:ilvl w:val="0"/>
          <w:numId w:val="1"/>
        </w:numPr>
      </w:pPr>
      <w:r w:rsidRPr="00720EAD">
        <w:t xml:space="preserve">Provided </w:t>
      </w:r>
      <w:r w:rsidR="008B26C7" w:rsidRPr="00720EAD">
        <w:t>14942</w:t>
      </w:r>
      <w:r w:rsidRPr="00720EAD">
        <w:t xml:space="preserve"> units of Homecare services such as personal care, homemaking, </w:t>
      </w:r>
      <w:proofErr w:type="gramStart"/>
      <w:r w:rsidRPr="00720EAD">
        <w:t>lawn</w:t>
      </w:r>
      <w:proofErr w:type="gramEnd"/>
      <w:r w:rsidRPr="00720EAD">
        <w:t xml:space="preserve"> mowing </w:t>
      </w:r>
      <w:proofErr w:type="spellStart"/>
      <w:r w:rsidRPr="00720EAD">
        <w:t>etc</w:t>
      </w:r>
      <w:proofErr w:type="spellEnd"/>
      <w:r w:rsidRPr="00720EAD">
        <w:t xml:space="preserve"> to the elderly to assist them to age in place.</w:t>
      </w:r>
    </w:p>
    <w:p w:rsidR="00720EAD" w:rsidRPr="00720EAD" w:rsidRDefault="00720EAD" w:rsidP="00720EAD">
      <w:pPr>
        <w:ind w:left="720"/>
      </w:pPr>
    </w:p>
    <w:p w:rsidR="006B2CF5" w:rsidRDefault="006B2CF5" w:rsidP="006B2CF5">
      <w:pPr>
        <w:numPr>
          <w:ilvl w:val="0"/>
          <w:numId w:val="1"/>
        </w:numPr>
      </w:pPr>
      <w:r w:rsidRPr="00720EAD">
        <w:t xml:space="preserve">Provided </w:t>
      </w:r>
      <w:r w:rsidR="008B26C7" w:rsidRPr="00720EAD">
        <w:t>10392</w:t>
      </w:r>
      <w:r w:rsidRPr="00720EAD">
        <w:t xml:space="preserve"> units of Medical and Center Transportation</w:t>
      </w:r>
      <w:r w:rsidR="00720EAD">
        <w:t>.</w:t>
      </w:r>
    </w:p>
    <w:p w:rsidR="00720EAD" w:rsidRPr="00720EAD" w:rsidRDefault="00720EAD" w:rsidP="00720EAD">
      <w:pPr>
        <w:ind w:left="720"/>
      </w:pPr>
    </w:p>
    <w:p w:rsidR="006B2CF5" w:rsidRDefault="006B2CF5" w:rsidP="006B2CF5">
      <w:pPr>
        <w:numPr>
          <w:ilvl w:val="0"/>
          <w:numId w:val="1"/>
        </w:numPr>
      </w:pPr>
      <w:r w:rsidRPr="00720EAD">
        <w:t xml:space="preserve">Provided </w:t>
      </w:r>
      <w:r w:rsidR="00C62743" w:rsidRPr="00720EAD">
        <w:t>7590</w:t>
      </w:r>
      <w:r w:rsidRPr="00720EAD">
        <w:t xml:space="preserve"> units of respite through our Adult Day Care Center</w:t>
      </w:r>
      <w:r w:rsidR="00720EAD">
        <w:t>.</w:t>
      </w:r>
    </w:p>
    <w:p w:rsidR="00720EAD" w:rsidRPr="00720EAD" w:rsidRDefault="00720EAD" w:rsidP="00720EAD">
      <w:pPr>
        <w:ind w:left="720"/>
      </w:pPr>
    </w:p>
    <w:p w:rsidR="006B2CF5" w:rsidRDefault="006B2CF5" w:rsidP="006B2CF5">
      <w:pPr>
        <w:numPr>
          <w:ilvl w:val="0"/>
          <w:numId w:val="1"/>
        </w:numPr>
      </w:pPr>
      <w:r w:rsidRPr="00720EAD">
        <w:t xml:space="preserve">Mobilized </w:t>
      </w:r>
      <w:r w:rsidR="000D75DE" w:rsidRPr="00720EAD">
        <w:t>5004</w:t>
      </w:r>
      <w:r w:rsidRPr="00720EAD">
        <w:t xml:space="preserve"> hours of volunteer time to enhance community services</w:t>
      </w:r>
      <w:r w:rsidR="00720EAD">
        <w:t>.</w:t>
      </w:r>
    </w:p>
    <w:p w:rsidR="00720EAD" w:rsidRPr="00720EAD" w:rsidRDefault="00720EAD" w:rsidP="00720EAD">
      <w:pPr>
        <w:ind w:left="720"/>
      </w:pPr>
    </w:p>
    <w:p w:rsidR="006B2CF5" w:rsidRDefault="006B2CF5" w:rsidP="006B2CF5">
      <w:pPr>
        <w:numPr>
          <w:ilvl w:val="0"/>
          <w:numId w:val="1"/>
        </w:numPr>
      </w:pPr>
      <w:r w:rsidRPr="00720EAD">
        <w:t xml:space="preserve">Volunteers drove </w:t>
      </w:r>
      <w:r w:rsidR="00156FFE" w:rsidRPr="00720EAD">
        <w:t>7965</w:t>
      </w:r>
      <w:r w:rsidRPr="00720EAD">
        <w:t xml:space="preserve"> miles to ensure the needs of homebound senior citizens were met.</w:t>
      </w:r>
    </w:p>
    <w:p w:rsidR="00720EAD" w:rsidRPr="00720EAD" w:rsidRDefault="00720EAD" w:rsidP="00720EAD">
      <w:pPr>
        <w:ind w:left="720"/>
      </w:pPr>
    </w:p>
    <w:p w:rsidR="006B2CF5" w:rsidRDefault="006B2CF5" w:rsidP="006B2CF5">
      <w:pPr>
        <w:numPr>
          <w:ilvl w:val="0"/>
          <w:numId w:val="1"/>
        </w:numPr>
      </w:pPr>
      <w:r w:rsidRPr="00720EAD">
        <w:t>Assisted 1552 households with direct client assistance of $</w:t>
      </w:r>
      <w:r w:rsidR="002E01D3" w:rsidRPr="00720EAD">
        <w:t>273,331</w:t>
      </w:r>
      <w:r w:rsidRPr="00720EAD">
        <w:t xml:space="preserve"> to ensure heat within homes.</w:t>
      </w:r>
    </w:p>
    <w:p w:rsidR="00720EAD" w:rsidRPr="00720EAD" w:rsidRDefault="00720EAD" w:rsidP="00720EAD">
      <w:pPr>
        <w:ind w:left="720"/>
      </w:pPr>
    </w:p>
    <w:p w:rsidR="006B2CF5" w:rsidRDefault="006B2CF5" w:rsidP="006B2CF5">
      <w:pPr>
        <w:numPr>
          <w:ilvl w:val="0"/>
          <w:numId w:val="1"/>
        </w:numPr>
      </w:pPr>
      <w:r w:rsidRPr="00720EAD">
        <w:t>Distributed $</w:t>
      </w:r>
      <w:r w:rsidR="00276227" w:rsidRPr="00720EAD">
        <w:t>12000</w:t>
      </w:r>
      <w:r w:rsidRPr="00720EAD">
        <w:t xml:space="preserve">.00 in </w:t>
      </w:r>
      <w:proofErr w:type="spellStart"/>
      <w:r w:rsidRPr="00720EAD">
        <w:t>Wintercare</w:t>
      </w:r>
      <w:proofErr w:type="spellEnd"/>
      <w:r w:rsidRPr="00720EAD">
        <w:t>/</w:t>
      </w:r>
      <w:proofErr w:type="spellStart"/>
      <w:r w:rsidRPr="00720EAD">
        <w:t>Winterhelp</w:t>
      </w:r>
      <w:proofErr w:type="spellEnd"/>
      <w:r w:rsidRPr="00720EAD">
        <w:t xml:space="preserve"> funds to ensure families retained vital services</w:t>
      </w:r>
      <w:r w:rsidR="00720EAD">
        <w:t>.</w:t>
      </w:r>
    </w:p>
    <w:p w:rsidR="00720EAD" w:rsidRPr="00720EAD" w:rsidRDefault="00720EAD" w:rsidP="00720EAD">
      <w:pPr>
        <w:ind w:left="720"/>
      </w:pPr>
    </w:p>
    <w:p w:rsidR="00276227" w:rsidRDefault="001279D9" w:rsidP="006B2CF5">
      <w:pPr>
        <w:numPr>
          <w:ilvl w:val="0"/>
          <w:numId w:val="1"/>
        </w:numPr>
      </w:pPr>
      <w:r w:rsidRPr="00720EAD">
        <w:t xml:space="preserve">Distributed $11,952. </w:t>
      </w:r>
      <w:proofErr w:type="gramStart"/>
      <w:r w:rsidRPr="00720EAD">
        <w:t>i</w:t>
      </w:r>
      <w:r w:rsidR="00276227" w:rsidRPr="00720EAD">
        <w:t>n</w:t>
      </w:r>
      <w:proofErr w:type="gramEnd"/>
      <w:r w:rsidR="00276227" w:rsidRPr="00720EAD">
        <w:t xml:space="preserve"> Team KY funding to assist those affected by COVID 19</w:t>
      </w:r>
      <w:r w:rsidR="00720EAD">
        <w:t>.</w:t>
      </w:r>
    </w:p>
    <w:p w:rsidR="00720EAD" w:rsidRPr="00720EAD" w:rsidRDefault="00720EAD" w:rsidP="00720EAD">
      <w:pPr>
        <w:ind w:left="720"/>
      </w:pPr>
    </w:p>
    <w:p w:rsidR="00276227" w:rsidRDefault="00276227" w:rsidP="006B2CF5">
      <w:pPr>
        <w:numPr>
          <w:ilvl w:val="0"/>
          <w:numId w:val="1"/>
        </w:numPr>
      </w:pPr>
      <w:r w:rsidRPr="00720EAD">
        <w:t xml:space="preserve">Distributed 10,000 worth of supplemental food through a Meals </w:t>
      </w:r>
      <w:proofErr w:type="gramStart"/>
      <w:r w:rsidRPr="00720EAD">
        <w:t>On</w:t>
      </w:r>
      <w:proofErr w:type="gramEnd"/>
      <w:r w:rsidRPr="00720EAD">
        <w:t xml:space="preserve"> Wheels grant</w:t>
      </w:r>
      <w:r w:rsidR="00214279" w:rsidRPr="00720EAD">
        <w:t>.</w:t>
      </w:r>
    </w:p>
    <w:p w:rsidR="00720EAD" w:rsidRPr="00720EAD" w:rsidRDefault="00720EAD" w:rsidP="00720EAD">
      <w:pPr>
        <w:ind w:left="720"/>
      </w:pPr>
    </w:p>
    <w:p w:rsidR="00720EAD" w:rsidRDefault="006B2CF5" w:rsidP="006B2CF5">
      <w:pPr>
        <w:numPr>
          <w:ilvl w:val="0"/>
          <w:numId w:val="1"/>
        </w:numPr>
      </w:pPr>
      <w:r w:rsidRPr="00720EAD">
        <w:t xml:space="preserve"> Distributed $</w:t>
      </w:r>
      <w:r w:rsidR="00276227" w:rsidRPr="00720EAD">
        <w:t>10245</w:t>
      </w:r>
      <w:r w:rsidRPr="00720EAD">
        <w:t xml:space="preserve"> in Emergency Food and Shelter funds.</w:t>
      </w:r>
    </w:p>
    <w:p w:rsidR="006B2CF5" w:rsidRPr="00720EAD" w:rsidRDefault="006B2CF5" w:rsidP="00720EAD">
      <w:pPr>
        <w:ind w:left="720"/>
      </w:pPr>
      <w:r w:rsidRPr="00720EAD">
        <w:t xml:space="preserve">  </w:t>
      </w:r>
    </w:p>
    <w:p w:rsidR="006B2CF5" w:rsidRDefault="006B2CF5" w:rsidP="006B2CF5">
      <w:pPr>
        <w:numPr>
          <w:ilvl w:val="0"/>
          <w:numId w:val="1"/>
        </w:numPr>
      </w:pPr>
      <w:r w:rsidRPr="00720EAD">
        <w:t>$</w:t>
      </w:r>
      <w:r w:rsidR="002E01D3" w:rsidRPr="00720EAD">
        <w:t>199,796</w:t>
      </w:r>
      <w:r w:rsidRPr="00720EAD">
        <w:t xml:space="preserve"> State and Federal funds to address and assist in self-sufficiency efforts.</w:t>
      </w:r>
    </w:p>
    <w:p w:rsidR="00720EAD" w:rsidRPr="00720EAD" w:rsidRDefault="00720EAD" w:rsidP="00720EAD">
      <w:pPr>
        <w:ind w:left="720"/>
      </w:pPr>
    </w:p>
    <w:p w:rsidR="002E01D3" w:rsidRDefault="002E01D3" w:rsidP="006B2CF5">
      <w:pPr>
        <w:numPr>
          <w:ilvl w:val="0"/>
          <w:numId w:val="1"/>
        </w:numPr>
      </w:pPr>
      <w:r w:rsidRPr="00720EAD">
        <w:t>Distributed $15,021 in CSBG Cares to assist those affected by COVID 19.</w:t>
      </w:r>
    </w:p>
    <w:p w:rsidR="00720EAD" w:rsidRPr="00720EAD" w:rsidRDefault="00720EAD" w:rsidP="00720EAD">
      <w:pPr>
        <w:ind w:left="720"/>
      </w:pPr>
    </w:p>
    <w:p w:rsidR="006B2CF5" w:rsidRDefault="006B2CF5" w:rsidP="006B2CF5">
      <w:pPr>
        <w:numPr>
          <w:ilvl w:val="0"/>
          <w:numId w:val="1"/>
        </w:numPr>
      </w:pPr>
      <w:r w:rsidRPr="00720EAD">
        <w:t>Weatherized homes of low-income clients to help lower energy costs utilizing $</w:t>
      </w:r>
      <w:r w:rsidR="006D7A4B" w:rsidRPr="00720EAD">
        <w:t>280</w:t>
      </w:r>
      <w:r w:rsidR="00276227" w:rsidRPr="00720EAD">
        <w:t>,875</w:t>
      </w:r>
      <w:r w:rsidRPr="00720EAD">
        <w:t xml:space="preserve"> within the three county area. </w:t>
      </w:r>
    </w:p>
    <w:p w:rsidR="00720EAD" w:rsidRPr="00720EAD" w:rsidRDefault="00720EAD" w:rsidP="00720EAD">
      <w:pPr>
        <w:ind w:left="720"/>
      </w:pPr>
    </w:p>
    <w:p w:rsidR="006B2CF5" w:rsidRDefault="006B2CF5" w:rsidP="006B2CF5">
      <w:pPr>
        <w:numPr>
          <w:ilvl w:val="0"/>
          <w:numId w:val="1"/>
        </w:numPr>
      </w:pPr>
      <w:r w:rsidRPr="00720EAD">
        <w:t>Provided 6,120 boxes of commodities and emergency food to families</w:t>
      </w:r>
      <w:r w:rsidR="00720EAD">
        <w:t>.</w:t>
      </w:r>
    </w:p>
    <w:p w:rsidR="00720EAD" w:rsidRPr="00720EAD" w:rsidRDefault="00720EAD" w:rsidP="00720EAD">
      <w:pPr>
        <w:ind w:left="720"/>
      </w:pPr>
    </w:p>
    <w:p w:rsidR="006D7A4B" w:rsidRPr="00720EAD" w:rsidRDefault="006B2CF5" w:rsidP="006B2CF5">
      <w:pPr>
        <w:numPr>
          <w:ilvl w:val="0"/>
          <w:numId w:val="1"/>
        </w:numPr>
      </w:pPr>
      <w:r w:rsidRPr="00720EAD">
        <w:t>Assisted 125 families</w:t>
      </w:r>
      <w:r w:rsidR="006D7A4B" w:rsidRPr="00720EAD">
        <w:t>/individuals</w:t>
      </w:r>
      <w:r w:rsidRPr="00720EAD">
        <w:t xml:space="preserve"> with </w:t>
      </w:r>
      <w:r w:rsidR="006D7A4B" w:rsidRPr="00720EAD">
        <w:t>donated face masks</w:t>
      </w:r>
      <w:r w:rsidR="00720EAD">
        <w:t>.</w:t>
      </w:r>
    </w:p>
    <w:p w:rsidR="006D7A4B" w:rsidRDefault="006D7A4B" w:rsidP="006B2CF5">
      <w:pPr>
        <w:numPr>
          <w:ilvl w:val="0"/>
          <w:numId w:val="1"/>
        </w:numPr>
      </w:pPr>
      <w:r w:rsidRPr="00720EAD">
        <w:lastRenderedPageBreak/>
        <w:t xml:space="preserve">Through a partnership with </w:t>
      </w:r>
      <w:proofErr w:type="spellStart"/>
      <w:r w:rsidRPr="00720EAD">
        <w:t>Waterstep</w:t>
      </w:r>
      <w:proofErr w:type="spellEnd"/>
      <w:r w:rsidRPr="00720EAD">
        <w:t xml:space="preserve"> made and distributed 600 gallons of bleach</w:t>
      </w:r>
      <w:r w:rsidR="00720EAD">
        <w:t>.</w:t>
      </w:r>
    </w:p>
    <w:p w:rsidR="00720EAD" w:rsidRPr="00720EAD" w:rsidRDefault="00720EAD" w:rsidP="00720EAD">
      <w:pPr>
        <w:ind w:left="720"/>
      </w:pPr>
    </w:p>
    <w:p w:rsidR="006B2CF5" w:rsidRDefault="006D7A4B" w:rsidP="006B2CF5">
      <w:pPr>
        <w:numPr>
          <w:ilvl w:val="0"/>
          <w:numId w:val="1"/>
        </w:numPr>
      </w:pPr>
      <w:r w:rsidRPr="00720EAD">
        <w:t xml:space="preserve">Through a partnership with </w:t>
      </w:r>
      <w:proofErr w:type="spellStart"/>
      <w:r w:rsidRPr="00720EAD">
        <w:t>Ashbourne</w:t>
      </w:r>
      <w:proofErr w:type="spellEnd"/>
      <w:r w:rsidRPr="00720EAD">
        <w:t xml:space="preserve"> Farms </w:t>
      </w:r>
      <w:r w:rsidR="001279D9" w:rsidRPr="00720EAD">
        <w:t>distributed 10,500 meals.</w:t>
      </w:r>
    </w:p>
    <w:p w:rsidR="002F449D" w:rsidRDefault="002F449D" w:rsidP="002F449D">
      <w:pPr>
        <w:pStyle w:val="ListParagraph"/>
      </w:pPr>
    </w:p>
    <w:p w:rsidR="002F449D" w:rsidRDefault="002F449D" w:rsidP="006B2CF5">
      <w:pPr>
        <w:numPr>
          <w:ilvl w:val="0"/>
          <w:numId w:val="1"/>
        </w:numPr>
      </w:pPr>
      <w:r>
        <w:t>Through a partnership with Ohio Valley United Charities provided 385 rides/deliveries to seniors within the Henry and Trimble County area.</w:t>
      </w:r>
    </w:p>
    <w:p w:rsidR="00720EAD" w:rsidRPr="00720EAD" w:rsidRDefault="00720EAD" w:rsidP="00720EAD">
      <w:pPr>
        <w:ind w:left="720"/>
      </w:pPr>
    </w:p>
    <w:p w:rsidR="001279D9" w:rsidRDefault="001279D9" w:rsidP="006B2CF5">
      <w:pPr>
        <w:numPr>
          <w:ilvl w:val="0"/>
          <w:numId w:val="1"/>
        </w:numPr>
      </w:pPr>
      <w:r w:rsidRPr="00720EAD">
        <w:t xml:space="preserve">Through a partnership with Oldham County and Metro United Way we distributed $15,000 of </w:t>
      </w:r>
      <w:r w:rsidR="002F449D">
        <w:t xml:space="preserve">COVID relief </w:t>
      </w:r>
      <w:r w:rsidRPr="00720EAD">
        <w:t>emergency relief funding in the community to assist with rent, food, water, electricity.</w:t>
      </w:r>
    </w:p>
    <w:p w:rsidR="00720EAD" w:rsidRPr="00720EAD" w:rsidRDefault="00720EAD" w:rsidP="00720EAD">
      <w:pPr>
        <w:ind w:left="720"/>
      </w:pPr>
    </w:p>
    <w:p w:rsidR="006B2CF5" w:rsidRDefault="006B2CF5" w:rsidP="006B2CF5">
      <w:pPr>
        <w:numPr>
          <w:ilvl w:val="0"/>
          <w:numId w:val="1"/>
        </w:numPr>
      </w:pPr>
      <w:r w:rsidRPr="00720EAD">
        <w:t xml:space="preserve">Hosted monthly </w:t>
      </w:r>
      <w:r w:rsidR="008477BD">
        <w:t xml:space="preserve">Alzheimer’s </w:t>
      </w:r>
      <w:r w:rsidRPr="00720EAD">
        <w:t>caregiver support groups.</w:t>
      </w:r>
    </w:p>
    <w:p w:rsidR="00720EAD" w:rsidRDefault="00720EAD" w:rsidP="00720EAD">
      <w:pPr>
        <w:ind w:left="720"/>
      </w:pPr>
    </w:p>
    <w:p w:rsidR="00720EAD" w:rsidRDefault="00720EAD" w:rsidP="006B2CF5">
      <w:pPr>
        <w:numPr>
          <w:ilvl w:val="0"/>
          <w:numId w:val="1"/>
        </w:numPr>
      </w:pPr>
      <w:r>
        <w:t xml:space="preserve">Home to numerous recovery support groups such as AA, NA, </w:t>
      </w:r>
      <w:r w:rsidR="002F449D">
        <w:t>and Celebrate</w:t>
      </w:r>
      <w:r>
        <w:t xml:space="preserve"> Recovery.</w:t>
      </w:r>
    </w:p>
    <w:p w:rsidR="00720EAD" w:rsidRPr="00720EAD" w:rsidRDefault="00720EAD" w:rsidP="00720EAD">
      <w:pPr>
        <w:ind w:left="720"/>
      </w:pPr>
    </w:p>
    <w:p w:rsidR="006B2CF5" w:rsidRDefault="006B2CF5" w:rsidP="006B2CF5">
      <w:pPr>
        <w:numPr>
          <w:ilvl w:val="0"/>
          <w:numId w:val="1"/>
        </w:numPr>
        <w:rPr>
          <w:sz w:val="22"/>
          <w:szCs w:val="22"/>
        </w:rPr>
      </w:pPr>
      <w:r w:rsidRPr="00720EAD">
        <w:t xml:space="preserve">Development of HOPE Center </w:t>
      </w:r>
      <w:r w:rsidR="007F4E1D" w:rsidRPr="00720EAD">
        <w:t>continues with the completion of small conference room, seven offices, new kitchen and appliances, file room, operational services and recovery</w:t>
      </w:r>
      <w:r w:rsidR="007F4E1D">
        <w:rPr>
          <w:sz w:val="22"/>
          <w:szCs w:val="22"/>
        </w:rPr>
        <w:t xml:space="preserve"> </w:t>
      </w:r>
      <w:r w:rsidR="007F4E1D" w:rsidRPr="008477BD">
        <w:t>support groups</w:t>
      </w:r>
      <w:r w:rsidR="00720EAD" w:rsidRPr="008477BD">
        <w:t>.</w:t>
      </w:r>
    </w:p>
    <w:p w:rsidR="00720EAD" w:rsidRDefault="00720EAD" w:rsidP="00720EAD">
      <w:pPr>
        <w:rPr>
          <w:sz w:val="22"/>
          <w:szCs w:val="22"/>
        </w:rPr>
      </w:pPr>
    </w:p>
    <w:p w:rsidR="00720EAD" w:rsidRDefault="00720EAD" w:rsidP="00720EAD">
      <w:pPr>
        <w:rPr>
          <w:sz w:val="22"/>
          <w:szCs w:val="22"/>
        </w:rPr>
      </w:pPr>
    </w:p>
    <w:p w:rsidR="006B2CF5" w:rsidRPr="00065BA9" w:rsidRDefault="006B2CF5" w:rsidP="006B2CF5">
      <w:pPr>
        <w:ind w:left="720"/>
        <w:rPr>
          <w:sz w:val="16"/>
          <w:szCs w:val="16"/>
        </w:rPr>
      </w:pPr>
    </w:p>
    <w:p w:rsidR="006B2CF5" w:rsidRPr="008477BD" w:rsidRDefault="006B2CF5" w:rsidP="00720EAD">
      <w:pPr>
        <w:jc w:val="center"/>
        <w:rPr>
          <w:rStyle w:val="Hyperlink"/>
        </w:rPr>
      </w:pPr>
      <w:r w:rsidRPr="008477BD">
        <w:t xml:space="preserve">Complete financial audit report and 990 tax return is available online at </w:t>
      </w:r>
      <w:hyperlink r:id="rId7" w:history="1">
        <w:r w:rsidR="00720EAD" w:rsidRPr="008477BD">
          <w:rPr>
            <w:rStyle w:val="Hyperlink"/>
          </w:rPr>
          <w:t>www.tccaaky.org</w:t>
        </w:r>
      </w:hyperlink>
    </w:p>
    <w:p w:rsidR="00720EAD" w:rsidRPr="008477BD" w:rsidRDefault="00720EAD" w:rsidP="00720EAD">
      <w:pPr>
        <w:jc w:val="center"/>
      </w:pPr>
    </w:p>
    <w:p w:rsidR="006B2CF5" w:rsidRPr="008477BD" w:rsidRDefault="006B2CF5" w:rsidP="006B2CF5">
      <w:pPr>
        <w:jc w:val="center"/>
      </w:pPr>
      <w:r w:rsidRPr="008477BD">
        <w:t>Total revenue   $1,</w:t>
      </w:r>
      <w:r w:rsidR="002E01D3" w:rsidRPr="008477BD">
        <w:t>894,941</w:t>
      </w:r>
    </w:p>
    <w:p w:rsidR="006B2CF5" w:rsidRPr="008477BD" w:rsidRDefault="006B2CF5" w:rsidP="006B2CF5">
      <w:pPr>
        <w:jc w:val="center"/>
      </w:pPr>
      <w:r w:rsidRPr="008477BD">
        <w:t>Total expenses   $1,</w:t>
      </w:r>
      <w:r w:rsidR="002E01D3" w:rsidRPr="008477BD">
        <w:t>635</w:t>
      </w:r>
      <w:r w:rsidR="00720EAD" w:rsidRPr="008477BD">
        <w:t>,</w:t>
      </w:r>
      <w:r w:rsidR="002E01D3" w:rsidRPr="008477BD">
        <w:t>892</w:t>
      </w:r>
    </w:p>
    <w:p w:rsidR="006B2CF5" w:rsidRPr="008477BD" w:rsidRDefault="006B2CF5" w:rsidP="006B2CF5">
      <w:pPr>
        <w:jc w:val="center"/>
      </w:pPr>
      <w:r w:rsidRPr="008477BD">
        <w:t>Fundraising expense $0.00</w:t>
      </w:r>
    </w:p>
    <w:p w:rsidR="006B2CF5" w:rsidRPr="008477BD" w:rsidRDefault="006B2CF5" w:rsidP="006B2CF5">
      <w:pPr>
        <w:jc w:val="center"/>
      </w:pPr>
      <w:r w:rsidRPr="008477BD">
        <w:t>Total Program expenses $1,</w:t>
      </w:r>
      <w:r w:rsidR="002E01D3" w:rsidRPr="008477BD">
        <w:t>541,325</w:t>
      </w:r>
    </w:p>
    <w:p w:rsidR="006B2CF5" w:rsidRPr="008477BD" w:rsidRDefault="006B2CF5" w:rsidP="006B2CF5">
      <w:pPr>
        <w:jc w:val="center"/>
      </w:pPr>
      <w:r w:rsidRPr="008477BD">
        <w:t>Total Administrative expenses $</w:t>
      </w:r>
      <w:r w:rsidR="002E01D3" w:rsidRPr="008477BD">
        <w:t>94,567</w:t>
      </w:r>
    </w:p>
    <w:p w:rsidR="006B2CF5" w:rsidRPr="008477BD" w:rsidRDefault="006B2CF5" w:rsidP="00214279">
      <w:pPr>
        <w:jc w:val="center"/>
      </w:pPr>
      <w:r w:rsidRPr="008477BD">
        <w:t xml:space="preserve">Total ending net assets </w:t>
      </w:r>
      <w:r w:rsidR="002E01D3" w:rsidRPr="008477BD">
        <w:t>1</w:t>
      </w:r>
      <w:r w:rsidR="00720EAD" w:rsidRPr="008477BD">
        <w:t>,</w:t>
      </w:r>
      <w:r w:rsidR="002E01D3" w:rsidRPr="008477BD">
        <w:t>070</w:t>
      </w:r>
      <w:r w:rsidR="00720EAD" w:rsidRPr="008477BD">
        <w:t>,</w:t>
      </w:r>
      <w:r w:rsidR="002E01D3" w:rsidRPr="008477BD">
        <w:t>545.</w:t>
      </w:r>
    </w:p>
    <w:p w:rsidR="00720EAD" w:rsidRPr="008477BD" w:rsidRDefault="00720EAD" w:rsidP="00214279">
      <w:pPr>
        <w:jc w:val="center"/>
      </w:pPr>
    </w:p>
    <w:p w:rsidR="006B2CF5" w:rsidRPr="008477BD" w:rsidRDefault="002E01D3" w:rsidP="006B2CF5">
      <w:pPr>
        <w:rPr>
          <w:b/>
        </w:rPr>
      </w:pPr>
      <w:r w:rsidRPr="008477BD">
        <w:rPr>
          <w:b/>
        </w:rPr>
        <w:t xml:space="preserve">FY 2020 </w:t>
      </w:r>
      <w:r w:rsidR="006B2CF5" w:rsidRPr="008477BD">
        <w:rPr>
          <w:b/>
        </w:rPr>
        <w:t>Board of Directors:</w:t>
      </w:r>
    </w:p>
    <w:tbl>
      <w:tblPr>
        <w:tblW w:w="933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7"/>
        <w:gridCol w:w="3240"/>
        <w:gridCol w:w="3060"/>
      </w:tblGrid>
      <w:tr w:rsidR="006B2CF5" w:rsidRPr="008477BD" w:rsidTr="00214279">
        <w:tc>
          <w:tcPr>
            <w:tcW w:w="3037" w:type="dxa"/>
            <w:tcBorders>
              <w:top w:val="single" w:sz="4" w:space="0" w:color="auto"/>
              <w:left w:val="single" w:sz="4" w:space="0" w:color="auto"/>
              <w:bottom w:val="single" w:sz="4" w:space="0" w:color="auto"/>
              <w:right w:val="single" w:sz="4" w:space="0" w:color="auto"/>
            </w:tcBorders>
          </w:tcPr>
          <w:p w:rsidR="006B2CF5" w:rsidRPr="008477BD" w:rsidRDefault="006B2CF5" w:rsidP="002D17E0">
            <w:r w:rsidRPr="008477BD">
              <w:t>Judge Executive David Voegele – Board Chair</w:t>
            </w:r>
          </w:p>
        </w:tc>
        <w:tc>
          <w:tcPr>
            <w:tcW w:w="3240" w:type="dxa"/>
            <w:tcBorders>
              <w:top w:val="single" w:sz="4" w:space="0" w:color="auto"/>
              <w:left w:val="single" w:sz="4" w:space="0" w:color="auto"/>
              <w:bottom w:val="single" w:sz="4" w:space="0" w:color="auto"/>
              <w:right w:val="single" w:sz="4" w:space="0" w:color="auto"/>
            </w:tcBorders>
            <w:hideMark/>
          </w:tcPr>
          <w:p w:rsidR="006B2CF5" w:rsidRPr="008477BD" w:rsidRDefault="006B2CF5" w:rsidP="002D17E0">
            <w:r w:rsidRPr="008477BD">
              <w:t>Judge Executive Brent</w:t>
            </w:r>
            <w:r w:rsidR="00214279" w:rsidRPr="008477BD">
              <w:t xml:space="preserve">- </w:t>
            </w:r>
            <w:r w:rsidRPr="008477BD">
              <w:t>Vice Chair</w:t>
            </w:r>
          </w:p>
        </w:tc>
        <w:tc>
          <w:tcPr>
            <w:tcW w:w="3060" w:type="dxa"/>
            <w:tcBorders>
              <w:top w:val="single" w:sz="4" w:space="0" w:color="auto"/>
              <w:left w:val="single" w:sz="4" w:space="0" w:color="auto"/>
              <w:bottom w:val="single" w:sz="4" w:space="0" w:color="auto"/>
              <w:right w:val="single" w:sz="4" w:space="0" w:color="auto"/>
            </w:tcBorders>
            <w:hideMark/>
          </w:tcPr>
          <w:p w:rsidR="006B2CF5" w:rsidRPr="008477BD" w:rsidRDefault="006B2CF5" w:rsidP="002D17E0">
            <w:r w:rsidRPr="008477BD">
              <w:t>Judge Executive Todd Pollock</w:t>
            </w:r>
          </w:p>
        </w:tc>
      </w:tr>
      <w:tr w:rsidR="006B2CF5" w:rsidRPr="008477BD" w:rsidTr="00214279">
        <w:tc>
          <w:tcPr>
            <w:tcW w:w="3037" w:type="dxa"/>
            <w:tcBorders>
              <w:top w:val="single" w:sz="4" w:space="0" w:color="auto"/>
              <w:left w:val="single" w:sz="4" w:space="0" w:color="auto"/>
              <w:bottom w:val="single" w:sz="4" w:space="0" w:color="auto"/>
              <w:right w:val="single" w:sz="4" w:space="0" w:color="auto"/>
            </w:tcBorders>
          </w:tcPr>
          <w:p w:rsidR="006B2CF5" w:rsidRPr="008477BD" w:rsidRDefault="006B2CF5" w:rsidP="002D17E0">
            <w:r w:rsidRPr="008477BD">
              <w:t>Wayne Theiss</w:t>
            </w:r>
          </w:p>
        </w:tc>
        <w:tc>
          <w:tcPr>
            <w:tcW w:w="3240" w:type="dxa"/>
            <w:tcBorders>
              <w:top w:val="single" w:sz="4" w:space="0" w:color="auto"/>
              <w:left w:val="single" w:sz="4" w:space="0" w:color="auto"/>
              <w:bottom w:val="single" w:sz="4" w:space="0" w:color="auto"/>
              <w:right w:val="single" w:sz="4" w:space="0" w:color="auto"/>
            </w:tcBorders>
            <w:hideMark/>
          </w:tcPr>
          <w:p w:rsidR="006B2CF5" w:rsidRPr="008477BD" w:rsidRDefault="006B2CF5" w:rsidP="002D17E0">
            <w:r w:rsidRPr="008477BD">
              <w:t>Melodye Fletcher - Secretary</w:t>
            </w:r>
          </w:p>
        </w:tc>
        <w:tc>
          <w:tcPr>
            <w:tcW w:w="3060" w:type="dxa"/>
            <w:tcBorders>
              <w:top w:val="single" w:sz="4" w:space="0" w:color="auto"/>
              <w:left w:val="single" w:sz="4" w:space="0" w:color="auto"/>
              <w:bottom w:val="single" w:sz="4" w:space="0" w:color="auto"/>
              <w:right w:val="single" w:sz="4" w:space="0" w:color="auto"/>
            </w:tcBorders>
            <w:hideMark/>
          </w:tcPr>
          <w:p w:rsidR="006B2CF5" w:rsidRPr="008477BD" w:rsidRDefault="006B2CF5" w:rsidP="002D17E0">
            <w:r w:rsidRPr="008477BD">
              <w:t>Shane Courtney- Treasurer</w:t>
            </w:r>
          </w:p>
        </w:tc>
      </w:tr>
      <w:tr w:rsidR="006B2CF5" w:rsidRPr="008477BD" w:rsidTr="00214279">
        <w:tc>
          <w:tcPr>
            <w:tcW w:w="3037" w:type="dxa"/>
            <w:tcBorders>
              <w:top w:val="single" w:sz="4" w:space="0" w:color="auto"/>
              <w:left w:val="single" w:sz="4" w:space="0" w:color="auto"/>
              <w:bottom w:val="single" w:sz="4" w:space="0" w:color="auto"/>
              <w:right w:val="single" w:sz="4" w:space="0" w:color="auto"/>
            </w:tcBorders>
          </w:tcPr>
          <w:p w:rsidR="006B2CF5" w:rsidRPr="008477BD" w:rsidRDefault="006B2CF5" w:rsidP="002D17E0">
            <w:r w:rsidRPr="008477BD">
              <w:t>Rick Lucas</w:t>
            </w:r>
          </w:p>
        </w:tc>
        <w:tc>
          <w:tcPr>
            <w:tcW w:w="3240" w:type="dxa"/>
            <w:tcBorders>
              <w:top w:val="single" w:sz="4" w:space="0" w:color="auto"/>
              <w:left w:val="single" w:sz="4" w:space="0" w:color="auto"/>
              <w:bottom w:val="single" w:sz="4" w:space="0" w:color="auto"/>
              <w:right w:val="single" w:sz="4" w:space="0" w:color="auto"/>
            </w:tcBorders>
            <w:hideMark/>
          </w:tcPr>
          <w:p w:rsidR="006B2CF5" w:rsidRPr="008477BD" w:rsidRDefault="006B2CF5" w:rsidP="002D17E0">
            <w:r w:rsidRPr="008477BD">
              <w:t>Shawn Golden</w:t>
            </w:r>
          </w:p>
        </w:tc>
        <w:tc>
          <w:tcPr>
            <w:tcW w:w="3060" w:type="dxa"/>
            <w:tcBorders>
              <w:top w:val="single" w:sz="4" w:space="0" w:color="auto"/>
              <w:left w:val="single" w:sz="4" w:space="0" w:color="auto"/>
              <w:bottom w:val="single" w:sz="4" w:space="0" w:color="auto"/>
              <w:right w:val="single" w:sz="4" w:space="0" w:color="auto"/>
            </w:tcBorders>
            <w:hideMark/>
          </w:tcPr>
          <w:p w:rsidR="006B2CF5" w:rsidRPr="008477BD" w:rsidRDefault="00B47B55" w:rsidP="002D17E0">
            <w:r w:rsidRPr="008477BD">
              <w:t>Will McCoy</w:t>
            </w:r>
          </w:p>
        </w:tc>
      </w:tr>
      <w:tr w:rsidR="006B2CF5" w:rsidRPr="008477BD" w:rsidTr="00214279">
        <w:tc>
          <w:tcPr>
            <w:tcW w:w="3037" w:type="dxa"/>
            <w:tcBorders>
              <w:top w:val="single" w:sz="4" w:space="0" w:color="auto"/>
              <w:left w:val="single" w:sz="4" w:space="0" w:color="auto"/>
              <w:bottom w:val="single" w:sz="4" w:space="0" w:color="auto"/>
              <w:right w:val="single" w:sz="4" w:space="0" w:color="auto"/>
            </w:tcBorders>
          </w:tcPr>
          <w:p w:rsidR="006B2CF5" w:rsidRPr="008477BD" w:rsidRDefault="006B2CF5" w:rsidP="002D17E0">
            <w:r w:rsidRPr="008477BD">
              <w:t>Bill Tucker</w:t>
            </w:r>
          </w:p>
        </w:tc>
        <w:tc>
          <w:tcPr>
            <w:tcW w:w="3240" w:type="dxa"/>
            <w:tcBorders>
              <w:top w:val="single" w:sz="4" w:space="0" w:color="auto"/>
              <w:left w:val="single" w:sz="4" w:space="0" w:color="auto"/>
              <w:bottom w:val="single" w:sz="4" w:space="0" w:color="auto"/>
              <w:right w:val="single" w:sz="4" w:space="0" w:color="auto"/>
            </w:tcBorders>
            <w:hideMark/>
          </w:tcPr>
          <w:p w:rsidR="006B2CF5" w:rsidRPr="008477BD" w:rsidRDefault="006B2CF5" w:rsidP="002D17E0">
            <w:r w:rsidRPr="008477BD">
              <w:t>Scott Bates</w:t>
            </w:r>
          </w:p>
        </w:tc>
        <w:tc>
          <w:tcPr>
            <w:tcW w:w="3060" w:type="dxa"/>
            <w:tcBorders>
              <w:top w:val="single" w:sz="4" w:space="0" w:color="auto"/>
              <w:left w:val="single" w:sz="4" w:space="0" w:color="auto"/>
              <w:bottom w:val="single" w:sz="4" w:space="0" w:color="auto"/>
              <w:right w:val="single" w:sz="4" w:space="0" w:color="auto"/>
            </w:tcBorders>
            <w:hideMark/>
          </w:tcPr>
          <w:p w:rsidR="006B2CF5" w:rsidRPr="008477BD" w:rsidRDefault="006B2CF5" w:rsidP="002D17E0">
            <w:r w:rsidRPr="008477BD">
              <w:t>Charles Callahan</w:t>
            </w:r>
          </w:p>
        </w:tc>
      </w:tr>
      <w:tr w:rsidR="006B2CF5" w:rsidRPr="008477BD" w:rsidTr="00214279">
        <w:tc>
          <w:tcPr>
            <w:tcW w:w="3037" w:type="dxa"/>
            <w:tcBorders>
              <w:top w:val="single" w:sz="4" w:space="0" w:color="auto"/>
              <w:left w:val="single" w:sz="4" w:space="0" w:color="auto"/>
              <w:bottom w:val="single" w:sz="4" w:space="0" w:color="auto"/>
              <w:right w:val="single" w:sz="4" w:space="0" w:color="auto"/>
            </w:tcBorders>
          </w:tcPr>
          <w:p w:rsidR="006B2CF5" w:rsidRPr="008477BD" w:rsidRDefault="006B2CF5" w:rsidP="002D17E0">
            <w:r w:rsidRPr="008477BD">
              <w:t>Dotty Sparrow</w:t>
            </w:r>
          </w:p>
        </w:tc>
        <w:tc>
          <w:tcPr>
            <w:tcW w:w="3240" w:type="dxa"/>
            <w:tcBorders>
              <w:top w:val="single" w:sz="4" w:space="0" w:color="auto"/>
              <w:left w:val="single" w:sz="4" w:space="0" w:color="auto"/>
              <w:bottom w:val="single" w:sz="4" w:space="0" w:color="auto"/>
              <w:right w:val="single" w:sz="4" w:space="0" w:color="auto"/>
            </w:tcBorders>
            <w:hideMark/>
          </w:tcPr>
          <w:p w:rsidR="006B2CF5" w:rsidRPr="008477BD" w:rsidRDefault="006B2CF5" w:rsidP="002D17E0">
            <w:r w:rsidRPr="008477BD">
              <w:t>Polly Troxell</w:t>
            </w:r>
          </w:p>
        </w:tc>
        <w:tc>
          <w:tcPr>
            <w:tcW w:w="3060" w:type="dxa"/>
            <w:tcBorders>
              <w:top w:val="single" w:sz="4" w:space="0" w:color="auto"/>
              <w:left w:val="single" w:sz="4" w:space="0" w:color="auto"/>
              <w:bottom w:val="single" w:sz="4" w:space="0" w:color="auto"/>
              <w:right w:val="single" w:sz="4" w:space="0" w:color="auto"/>
            </w:tcBorders>
            <w:hideMark/>
          </w:tcPr>
          <w:p w:rsidR="006B2CF5" w:rsidRPr="008477BD" w:rsidRDefault="006B2CF5" w:rsidP="002D17E0">
            <w:r w:rsidRPr="008477BD">
              <w:t>Jane Proctor</w:t>
            </w:r>
          </w:p>
        </w:tc>
      </w:tr>
      <w:tr w:rsidR="006B2CF5" w:rsidRPr="008477BD" w:rsidTr="00214279">
        <w:tc>
          <w:tcPr>
            <w:tcW w:w="3037" w:type="dxa"/>
            <w:tcBorders>
              <w:top w:val="single" w:sz="4" w:space="0" w:color="auto"/>
              <w:left w:val="single" w:sz="4" w:space="0" w:color="auto"/>
              <w:bottom w:val="single" w:sz="4" w:space="0" w:color="auto"/>
              <w:right w:val="single" w:sz="4" w:space="0" w:color="auto"/>
            </w:tcBorders>
          </w:tcPr>
          <w:p w:rsidR="006B2CF5" w:rsidRPr="008477BD" w:rsidRDefault="006B2CF5" w:rsidP="002D17E0">
            <w:r w:rsidRPr="008477BD">
              <w:t>Elsie Carter</w:t>
            </w:r>
          </w:p>
        </w:tc>
        <w:tc>
          <w:tcPr>
            <w:tcW w:w="3240" w:type="dxa"/>
            <w:tcBorders>
              <w:top w:val="single" w:sz="4" w:space="0" w:color="auto"/>
              <w:left w:val="single" w:sz="4" w:space="0" w:color="auto"/>
              <w:bottom w:val="single" w:sz="4" w:space="0" w:color="auto"/>
              <w:right w:val="single" w:sz="4" w:space="0" w:color="auto"/>
            </w:tcBorders>
            <w:hideMark/>
          </w:tcPr>
          <w:p w:rsidR="006B2CF5" w:rsidRPr="008477BD" w:rsidRDefault="006B2CF5" w:rsidP="002D17E0">
            <w:r w:rsidRPr="008477BD">
              <w:t>Darlene Taylor</w:t>
            </w:r>
          </w:p>
        </w:tc>
        <w:tc>
          <w:tcPr>
            <w:tcW w:w="3060" w:type="dxa"/>
            <w:tcBorders>
              <w:top w:val="single" w:sz="4" w:space="0" w:color="auto"/>
              <w:left w:val="single" w:sz="4" w:space="0" w:color="auto"/>
              <w:bottom w:val="single" w:sz="4" w:space="0" w:color="auto"/>
              <w:right w:val="single" w:sz="4" w:space="0" w:color="auto"/>
            </w:tcBorders>
            <w:hideMark/>
          </w:tcPr>
          <w:p w:rsidR="006B2CF5" w:rsidRPr="008477BD" w:rsidRDefault="006B2CF5" w:rsidP="002D17E0">
            <w:r w:rsidRPr="008477BD">
              <w:t>Kenneth Cottongim</w:t>
            </w:r>
          </w:p>
        </w:tc>
      </w:tr>
    </w:tbl>
    <w:p w:rsidR="006B2CF5" w:rsidRDefault="006B2CF5" w:rsidP="006B2CF5">
      <w:pPr>
        <w:rPr>
          <w:sz w:val="16"/>
          <w:szCs w:val="16"/>
        </w:rPr>
      </w:pPr>
    </w:p>
    <w:p w:rsidR="006B2CF5" w:rsidRDefault="006B2CF5" w:rsidP="006B2CF5">
      <w:r>
        <w:t>Executive Director:  Brenda Fox</w:t>
      </w:r>
      <w:r>
        <w:tab/>
      </w:r>
      <w:r>
        <w:tab/>
        <w:t xml:space="preserve">Chief Financial Officer: </w:t>
      </w:r>
      <w:r w:rsidR="00B47B55">
        <w:t>Debra Head</w:t>
      </w:r>
    </w:p>
    <w:p w:rsidR="006B2CF5" w:rsidRDefault="006B2CF5" w:rsidP="006B2CF5"/>
    <w:p w:rsidR="006B2CF5" w:rsidRDefault="006B2CF5" w:rsidP="006B2CF5">
      <w:r>
        <w:t>Tri-County Community Action Agency, Inc. is tax exempt under 501(c) (3) of the Internal Revenue Code.  Donations are tax deductible to the extent allowed by law.</w:t>
      </w:r>
    </w:p>
    <w:p w:rsidR="006B2CF5" w:rsidRDefault="006B2CF5" w:rsidP="006B2CF5"/>
    <w:p w:rsidR="0078110D" w:rsidRDefault="0078110D">
      <w:bookmarkStart w:id="0" w:name="_GoBack"/>
      <w:bookmarkEnd w:id="0"/>
    </w:p>
    <w:sectPr w:rsidR="00781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74E68"/>
    <w:multiLevelType w:val="hybridMultilevel"/>
    <w:tmpl w:val="824AB5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F5"/>
    <w:rsid w:val="000D75DE"/>
    <w:rsid w:val="001279D9"/>
    <w:rsid w:val="00156FFE"/>
    <w:rsid w:val="001C00E9"/>
    <w:rsid w:val="00214279"/>
    <w:rsid w:val="00276227"/>
    <w:rsid w:val="002E01D3"/>
    <w:rsid w:val="002F449D"/>
    <w:rsid w:val="003C6F2E"/>
    <w:rsid w:val="006B2CF5"/>
    <w:rsid w:val="006D7A4B"/>
    <w:rsid w:val="00720EAD"/>
    <w:rsid w:val="00770F01"/>
    <w:rsid w:val="0078110D"/>
    <w:rsid w:val="007F4E1D"/>
    <w:rsid w:val="008477BD"/>
    <w:rsid w:val="008B26C7"/>
    <w:rsid w:val="009F2DD9"/>
    <w:rsid w:val="00B47B55"/>
    <w:rsid w:val="00C6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978123E4-E3B2-427D-B2C1-49DC46E0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C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B2CF5"/>
    <w:rPr>
      <w:color w:val="0000FF"/>
      <w:u w:val="single"/>
    </w:rPr>
  </w:style>
  <w:style w:type="paragraph" w:styleId="NormalWeb">
    <w:name w:val="Normal (Web)"/>
    <w:basedOn w:val="Normal"/>
    <w:unhideWhenUsed/>
    <w:rsid w:val="006B2CF5"/>
    <w:pPr>
      <w:spacing w:before="100" w:beforeAutospacing="1" w:after="100" w:afterAutospacing="1"/>
    </w:pPr>
    <w:rPr>
      <w:color w:val="000000"/>
    </w:rPr>
  </w:style>
  <w:style w:type="paragraph" w:customStyle="1" w:styleId="bigheading">
    <w:name w:val="bigheading"/>
    <w:basedOn w:val="Normal"/>
    <w:rsid w:val="006B2CF5"/>
    <w:pPr>
      <w:spacing w:before="100" w:beforeAutospacing="1" w:after="100" w:afterAutospacing="1"/>
    </w:pPr>
    <w:rPr>
      <w:rFonts w:ascii="Verdana" w:hAnsi="Verdana"/>
      <w:b/>
      <w:bCs/>
      <w:color w:val="333399"/>
      <w:sz w:val="36"/>
      <w:szCs w:val="36"/>
    </w:rPr>
  </w:style>
  <w:style w:type="paragraph" w:customStyle="1" w:styleId="bigspaceheading">
    <w:name w:val="bigspaceheading"/>
    <w:basedOn w:val="Normal"/>
    <w:rsid w:val="006B2CF5"/>
    <w:pPr>
      <w:spacing w:before="100" w:beforeAutospacing="1" w:after="100" w:afterAutospacing="1"/>
    </w:pPr>
    <w:rPr>
      <w:color w:val="000000"/>
    </w:rPr>
  </w:style>
  <w:style w:type="character" w:customStyle="1" w:styleId="mpcaabody1">
    <w:name w:val="mpcaabody1"/>
    <w:rsid w:val="006B2CF5"/>
    <w:rPr>
      <w:rFonts w:ascii="Verdana" w:hAnsi="Verdana" w:hint="default"/>
      <w:i w:val="0"/>
      <w:iCs w:val="0"/>
      <w:color w:val="003333"/>
      <w:sz w:val="22"/>
      <w:szCs w:val="22"/>
    </w:rPr>
  </w:style>
  <w:style w:type="paragraph" w:styleId="BalloonText">
    <w:name w:val="Balloon Text"/>
    <w:basedOn w:val="Normal"/>
    <w:link w:val="BalloonTextChar"/>
    <w:uiPriority w:val="99"/>
    <w:semiHidden/>
    <w:unhideWhenUsed/>
    <w:rsid w:val="00214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279"/>
    <w:rPr>
      <w:rFonts w:ascii="Segoe UI" w:eastAsia="Times New Roman" w:hAnsi="Segoe UI" w:cs="Segoe UI"/>
      <w:sz w:val="18"/>
      <w:szCs w:val="18"/>
    </w:rPr>
  </w:style>
  <w:style w:type="paragraph" w:styleId="ListParagraph">
    <w:name w:val="List Paragraph"/>
    <w:basedOn w:val="Normal"/>
    <w:uiPriority w:val="34"/>
    <w:qFormat/>
    <w:rsid w:val="00720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ccaak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ricountycaaky.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Brenda pc</cp:lastModifiedBy>
  <cp:revision>7</cp:revision>
  <cp:lastPrinted>2020-12-30T16:16:00Z</cp:lastPrinted>
  <dcterms:created xsi:type="dcterms:W3CDTF">2020-07-16T19:55:00Z</dcterms:created>
  <dcterms:modified xsi:type="dcterms:W3CDTF">2020-12-30T16:17:00Z</dcterms:modified>
</cp:coreProperties>
</file>