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1E29" w14:textId="77777777" w:rsidR="000C7FC9" w:rsidRPr="000C7FC9" w:rsidRDefault="000C7FC9" w:rsidP="000C7FC9">
      <w:pPr>
        <w:rPr>
          <w:rFonts w:asciiTheme="majorBidi" w:hAnsiTheme="majorBidi" w:cstheme="majorBidi"/>
          <w:b/>
          <w:bCs/>
          <w:color w:val="007BB8"/>
          <w:sz w:val="26"/>
          <w:szCs w:val="26"/>
        </w:rPr>
      </w:pPr>
      <w:r w:rsidRPr="000C7FC9">
        <w:rPr>
          <w:rFonts w:asciiTheme="majorBidi" w:hAnsiTheme="majorBidi" w:cstheme="majorBidi"/>
          <w:b/>
          <w:bCs/>
          <w:color w:val="007BB8"/>
          <w:sz w:val="26"/>
          <w:szCs w:val="26"/>
        </w:rPr>
        <w:t>DİL – MATEMATİK – İSLAM HUKUKU – ADİL DÜZEN YÖNETİMİ</w:t>
      </w:r>
    </w:p>
    <w:p w14:paraId="503F6321" w14:textId="0064C291"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Bu metin; dil, matematik, İslam hukuku ve Adil Düzen yönetimi arasındaki ilişkiyi anlam–ölçü–hüküm–uygulama bütünlüğü içinde açıklamak amacıyla hazırlanmıştır. Aşağıdaki tabloda her alanın karşılığı verilmiş, devamında her satır önce tek cümleyle özetlenmiş, ardından dört cümleyle daha açık biçimde izah edilmiştir.</w:t>
      </w:r>
    </w:p>
    <w:tbl>
      <w:tblPr>
        <w:tblW w:w="9081" w:type="dxa"/>
        <w:tblLook w:val="04A0" w:firstRow="1" w:lastRow="0" w:firstColumn="1" w:lastColumn="0" w:noHBand="0" w:noVBand="1"/>
      </w:tblPr>
      <w:tblGrid>
        <w:gridCol w:w="2452"/>
        <w:gridCol w:w="2452"/>
        <w:gridCol w:w="1725"/>
        <w:gridCol w:w="2452"/>
      </w:tblGrid>
      <w:tr w:rsidR="00A37AE1" w:rsidRPr="00E53D91" w14:paraId="5124AED3" w14:textId="77777777" w:rsidTr="00553FF4">
        <w:trPr>
          <w:trHeight w:val="968"/>
        </w:trPr>
        <w:tc>
          <w:tcPr>
            <w:tcW w:w="2452" w:type="dxa"/>
          </w:tcPr>
          <w:p w14:paraId="2ACAD44A"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DİL (ANLAM)</w:t>
            </w:r>
          </w:p>
        </w:tc>
        <w:tc>
          <w:tcPr>
            <w:tcW w:w="2452" w:type="dxa"/>
          </w:tcPr>
          <w:p w14:paraId="423ED28E"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MATEMATİK (ÖLÇÜ)</w:t>
            </w:r>
          </w:p>
        </w:tc>
        <w:tc>
          <w:tcPr>
            <w:tcW w:w="1725" w:type="dxa"/>
          </w:tcPr>
          <w:p w14:paraId="7F2069D9"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İSLAM HUKUKU</w:t>
            </w:r>
          </w:p>
        </w:tc>
        <w:tc>
          <w:tcPr>
            <w:tcW w:w="2452" w:type="dxa"/>
          </w:tcPr>
          <w:p w14:paraId="1989A8FD"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ADİL DÜZEN YÖNETİMİ</w:t>
            </w:r>
          </w:p>
        </w:tc>
      </w:tr>
      <w:tr w:rsidR="00A37AE1" w:rsidRPr="00E53D91" w14:paraId="145CB3DF" w14:textId="77777777" w:rsidTr="00553FF4">
        <w:trPr>
          <w:trHeight w:val="980"/>
        </w:trPr>
        <w:tc>
          <w:tcPr>
            <w:tcW w:w="2452" w:type="dxa"/>
          </w:tcPr>
          <w:p w14:paraId="0753C858"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Ses</w:t>
            </w:r>
          </w:p>
        </w:tc>
        <w:tc>
          <w:tcPr>
            <w:tcW w:w="2452" w:type="dxa"/>
          </w:tcPr>
          <w:p w14:paraId="34399CD4"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Birim</w:t>
            </w:r>
          </w:p>
        </w:tc>
        <w:tc>
          <w:tcPr>
            <w:tcW w:w="1725" w:type="dxa"/>
          </w:tcPr>
          <w:p w14:paraId="21424816"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Kavramsal Hudûd</w:t>
            </w:r>
          </w:p>
        </w:tc>
        <w:tc>
          <w:tcPr>
            <w:tcW w:w="2452" w:type="dxa"/>
          </w:tcPr>
          <w:p w14:paraId="06D42A05"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Görev–Yetki Dengesi</w:t>
            </w:r>
          </w:p>
        </w:tc>
      </w:tr>
      <w:tr w:rsidR="00A37AE1" w:rsidRPr="00E53D91" w14:paraId="30B5E838" w14:textId="77777777" w:rsidTr="00553FF4">
        <w:trPr>
          <w:trHeight w:val="968"/>
        </w:trPr>
        <w:tc>
          <w:tcPr>
            <w:tcW w:w="2452" w:type="dxa"/>
          </w:tcPr>
          <w:p w14:paraId="436D3260"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Lügat</w:t>
            </w:r>
          </w:p>
        </w:tc>
        <w:tc>
          <w:tcPr>
            <w:tcW w:w="2452" w:type="dxa"/>
          </w:tcPr>
          <w:p w14:paraId="4F3267D6"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Sayılar</w:t>
            </w:r>
          </w:p>
        </w:tc>
        <w:tc>
          <w:tcPr>
            <w:tcW w:w="1725" w:type="dxa"/>
          </w:tcPr>
          <w:p w14:paraId="5BC66A36"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Nassın Dilsel Çerçevesi</w:t>
            </w:r>
          </w:p>
        </w:tc>
        <w:tc>
          <w:tcPr>
            <w:tcW w:w="2452" w:type="dxa"/>
          </w:tcPr>
          <w:p w14:paraId="65E581EA"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Yetki Sınırlandırması</w:t>
            </w:r>
          </w:p>
        </w:tc>
      </w:tr>
      <w:tr w:rsidR="00A37AE1" w:rsidRPr="00E53D91" w14:paraId="0F783C7C" w14:textId="77777777" w:rsidTr="00553FF4">
        <w:trPr>
          <w:trHeight w:val="606"/>
        </w:trPr>
        <w:tc>
          <w:tcPr>
            <w:tcW w:w="2452" w:type="dxa"/>
          </w:tcPr>
          <w:p w14:paraId="4D9A69A2"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Çekim</w:t>
            </w:r>
          </w:p>
        </w:tc>
        <w:tc>
          <w:tcPr>
            <w:tcW w:w="2452" w:type="dxa"/>
          </w:tcPr>
          <w:p w14:paraId="37D35C05"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İşlemler</w:t>
            </w:r>
          </w:p>
        </w:tc>
        <w:tc>
          <w:tcPr>
            <w:tcW w:w="1725" w:type="dxa"/>
          </w:tcPr>
          <w:p w14:paraId="427E026F"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İçtihat Usulü</w:t>
            </w:r>
          </w:p>
        </w:tc>
        <w:tc>
          <w:tcPr>
            <w:tcW w:w="2452" w:type="dxa"/>
          </w:tcPr>
          <w:p w14:paraId="77303543"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Karar Usulü</w:t>
            </w:r>
          </w:p>
        </w:tc>
      </w:tr>
      <w:tr w:rsidR="00A37AE1" w:rsidRPr="00E53D91" w14:paraId="5FA51F3B" w14:textId="77777777" w:rsidTr="00553FF4">
        <w:trPr>
          <w:trHeight w:val="606"/>
        </w:trPr>
        <w:tc>
          <w:tcPr>
            <w:tcW w:w="2452" w:type="dxa"/>
          </w:tcPr>
          <w:p w14:paraId="12B51F51"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Cümle</w:t>
            </w:r>
          </w:p>
        </w:tc>
        <w:tc>
          <w:tcPr>
            <w:tcW w:w="2452" w:type="dxa"/>
          </w:tcPr>
          <w:p w14:paraId="497F17BA"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Denklem</w:t>
            </w:r>
          </w:p>
        </w:tc>
        <w:tc>
          <w:tcPr>
            <w:tcW w:w="1725" w:type="dxa"/>
          </w:tcPr>
          <w:p w14:paraId="2BBE2858"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Bağlayıcı Hüküm</w:t>
            </w:r>
          </w:p>
        </w:tc>
        <w:tc>
          <w:tcPr>
            <w:tcW w:w="2452" w:type="dxa"/>
          </w:tcPr>
          <w:p w14:paraId="391E6F6B"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İcra Esasları</w:t>
            </w:r>
          </w:p>
        </w:tc>
      </w:tr>
      <w:tr w:rsidR="00A37AE1" w:rsidRPr="00E53D91" w14:paraId="1C9DEE91" w14:textId="77777777" w:rsidTr="00553FF4">
        <w:trPr>
          <w:trHeight w:val="968"/>
        </w:trPr>
        <w:tc>
          <w:tcPr>
            <w:tcW w:w="2452" w:type="dxa"/>
          </w:tcPr>
          <w:p w14:paraId="5CABFF96"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Mana</w:t>
            </w:r>
          </w:p>
        </w:tc>
        <w:tc>
          <w:tcPr>
            <w:tcW w:w="2452" w:type="dxa"/>
          </w:tcPr>
          <w:p w14:paraId="4D78FF93"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Analiz</w:t>
            </w:r>
          </w:p>
        </w:tc>
        <w:tc>
          <w:tcPr>
            <w:tcW w:w="1725" w:type="dxa"/>
          </w:tcPr>
          <w:p w14:paraId="35F17B53" w14:textId="77777777" w:rsidR="00A37AE1" w:rsidRPr="00E53D91" w:rsidRDefault="00000000" w:rsidP="00EB54D6">
            <w:pPr>
              <w:jc w:val="both"/>
              <w:rPr>
                <w:rFonts w:asciiTheme="majorBidi" w:hAnsiTheme="majorBidi" w:cstheme="majorBidi"/>
                <w:sz w:val="26"/>
                <w:szCs w:val="26"/>
              </w:rPr>
            </w:pPr>
            <w:proofErr w:type="gramStart"/>
            <w:r w:rsidRPr="00E53D91">
              <w:rPr>
                <w:rFonts w:asciiTheme="majorBidi" w:hAnsiTheme="majorBidi" w:cstheme="majorBidi"/>
                <w:sz w:val="26"/>
                <w:szCs w:val="26"/>
              </w:rPr>
              <w:t>Ma‘</w:t>
            </w:r>
            <w:proofErr w:type="gramEnd"/>
            <w:r w:rsidRPr="00E53D91">
              <w:rPr>
                <w:rFonts w:asciiTheme="majorBidi" w:hAnsiTheme="majorBidi" w:cstheme="majorBidi"/>
                <w:sz w:val="26"/>
                <w:szCs w:val="26"/>
              </w:rPr>
              <w:t>ruf–Münker Ölçüsü</w:t>
            </w:r>
          </w:p>
        </w:tc>
        <w:tc>
          <w:tcPr>
            <w:tcW w:w="2452" w:type="dxa"/>
          </w:tcPr>
          <w:p w14:paraId="0C14FF97"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Kamu Maslahatı</w:t>
            </w:r>
          </w:p>
        </w:tc>
      </w:tr>
      <w:tr w:rsidR="00A37AE1" w:rsidRPr="00E53D91" w14:paraId="7745C6A4" w14:textId="77777777" w:rsidTr="00553FF4">
        <w:trPr>
          <w:trHeight w:val="980"/>
        </w:trPr>
        <w:tc>
          <w:tcPr>
            <w:tcW w:w="2452" w:type="dxa"/>
          </w:tcPr>
          <w:p w14:paraId="71D5F8AE"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Benzetme</w:t>
            </w:r>
          </w:p>
        </w:tc>
        <w:tc>
          <w:tcPr>
            <w:tcW w:w="2452" w:type="dxa"/>
          </w:tcPr>
          <w:p w14:paraId="38B21A68"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Matris</w:t>
            </w:r>
          </w:p>
        </w:tc>
        <w:tc>
          <w:tcPr>
            <w:tcW w:w="1725" w:type="dxa"/>
          </w:tcPr>
          <w:p w14:paraId="23ABD08A"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Kıyas</w:t>
            </w:r>
          </w:p>
        </w:tc>
        <w:tc>
          <w:tcPr>
            <w:tcW w:w="2452" w:type="dxa"/>
          </w:tcPr>
          <w:p w14:paraId="116BFFEC"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Kurumsal Organizasyon</w:t>
            </w:r>
          </w:p>
        </w:tc>
      </w:tr>
      <w:tr w:rsidR="00A37AE1" w:rsidRPr="00E53D91" w14:paraId="3E397DB9" w14:textId="77777777" w:rsidTr="00553FF4">
        <w:trPr>
          <w:trHeight w:val="606"/>
        </w:trPr>
        <w:tc>
          <w:tcPr>
            <w:tcW w:w="2452" w:type="dxa"/>
          </w:tcPr>
          <w:p w14:paraId="4AE26D79"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Edebiyat</w:t>
            </w:r>
          </w:p>
        </w:tc>
        <w:tc>
          <w:tcPr>
            <w:tcW w:w="2452" w:type="dxa"/>
          </w:tcPr>
          <w:p w14:paraId="6B8EAA60"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İstatistik</w:t>
            </w:r>
          </w:p>
        </w:tc>
        <w:tc>
          <w:tcPr>
            <w:tcW w:w="1725" w:type="dxa"/>
          </w:tcPr>
          <w:p w14:paraId="5B2B0289"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Âlimlerin İcmâsı</w:t>
            </w:r>
          </w:p>
        </w:tc>
        <w:tc>
          <w:tcPr>
            <w:tcW w:w="2452" w:type="dxa"/>
          </w:tcPr>
          <w:p w14:paraId="1C0D1DB6"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Toplumsal Denge</w:t>
            </w:r>
          </w:p>
        </w:tc>
      </w:tr>
      <w:tr w:rsidR="00A37AE1" w:rsidRPr="00E53D91" w14:paraId="2DDA7ECE" w14:textId="77777777" w:rsidTr="00553FF4">
        <w:trPr>
          <w:trHeight w:val="968"/>
        </w:trPr>
        <w:tc>
          <w:tcPr>
            <w:tcW w:w="2452" w:type="dxa"/>
          </w:tcPr>
          <w:p w14:paraId="3E98FB4C" w14:textId="77777777" w:rsidR="00A37AE1" w:rsidRPr="00E53D91" w:rsidRDefault="00000000" w:rsidP="00EB54D6">
            <w:pPr>
              <w:jc w:val="both"/>
              <w:rPr>
                <w:rFonts w:asciiTheme="majorBidi" w:hAnsiTheme="majorBidi" w:cstheme="majorBidi"/>
                <w:sz w:val="26"/>
                <w:szCs w:val="26"/>
              </w:rPr>
            </w:pPr>
            <w:proofErr w:type="spellStart"/>
            <w:r w:rsidRPr="00E53D91">
              <w:rPr>
                <w:rFonts w:asciiTheme="majorBidi" w:hAnsiTheme="majorBidi" w:cstheme="majorBidi"/>
                <w:sz w:val="26"/>
                <w:szCs w:val="26"/>
              </w:rPr>
              <w:t>Telif</w:t>
            </w:r>
            <w:proofErr w:type="spellEnd"/>
          </w:p>
        </w:tc>
        <w:tc>
          <w:tcPr>
            <w:tcW w:w="2452" w:type="dxa"/>
          </w:tcPr>
          <w:p w14:paraId="0DED6B54"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Programlama</w:t>
            </w:r>
          </w:p>
        </w:tc>
        <w:tc>
          <w:tcPr>
            <w:tcW w:w="1725" w:type="dxa"/>
          </w:tcPr>
          <w:p w14:paraId="683B2B63"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İşleyen Fıkıh Nizamı</w:t>
            </w:r>
          </w:p>
        </w:tc>
        <w:tc>
          <w:tcPr>
            <w:tcW w:w="2452" w:type="dxa"/>
          </w:tcPr>
          <w:p w14:paraId="40FC65CF"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Uygulayıcı Yönetim</w:t>
            </w:r>
          </w:p>
        </w:tc>
      </w:tr>
    </w:tbl>
    <w:p w14:paraId="68966B7D" w14:textId="77777777" w:rsidR="00A45B03" w:rsidRPr="00E53D91" w:rsidRDefault="00A45B03" w:rsidP="00EB54D6">
      <w:pPr>
        <w:jc w:val="both"/>
        <w:rPr>
          <w:rFonts w:asciiTheme="majorBidi" w:hAnsiTheme="majorBidi" w:cstheme="majorBidi"/>
          <w:sz w:val="26"/>
          <w:szCs w:val="26"/>
        </w:rPr>
      </w:pPr>
    </w:p>
    <w:p w14:paraId="4D64B78D" w14:textId="7991829C" w:rsidR="00EB54D6"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1. Ses – Birim – Kavramsal Hudûd – Görev–Yetki Dengesi</w:t>
      </w:r>
    </w:p>
    <w:p w14:paraId="32EE64AF" w14:textId="77777777" w:rsid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Anlamın ve ölçünün en küçük parçaları belirlenmeden hukuk ve yönetimde sınır çizilemez.</w:t>
      </w:r>
    </w:p>
    <w:p w14:paraId="48F9E3DF" w14:textId="36BFDD17" w:rsidR="00A37AE1" w:rsidRPr="00E53D91" w:rsidRDefault="000A5C8C" w:rsidP="00EB54D6">
      <w:pPr>
        <w:jc w:val="both"/>
        <w:rPr>
          <w:rFonts w:asciiTheme="majorBidi" w:hAnsiTheme="majorBidi" w:cstheme="majorBidi"/>
          <w:sz w:val="26"/>
          <w:szCs w:val="26"/>
        </w:rPr>
      </w:pPr>
      <w:r>
        <w:rPr>
          <w:rFonts w:asciiTheme="majorBidi" w:hAnsiTheme="majorBidi" w:cstheme="majorBidi"/>
          <w:sz w:val="26"/>
          <w:szCs w:val="26"/>
        </w:rPr>
        <w:lastRenderedPageBreak/>
        <w:t>S</w:t>
      </w:r>
      <w:r w:rsidR="00000000" w:rsidRPr="00E53D91">
        <w:rPr>
          <w:rFonts w:asciiTheme="majorBidi" w:hAnsiTheme="majorBidi" w:cstheme="majorBidi"/>
          <w:sz w:val="26"/>
          <w:szCs w:val="26"/>
        </w:rPr>
        <w:t>es, anlamın en küçük yapı taşıdır ve kelimenin temelini oluşturur. Birim, ölçünün en küçük parçasıdır ve adaletin hesaplanabilir olmasını sağlar. İslam hukukunda kavramsal hudûd, bir şeyin ne olduğunu ve ne olmadığını kesin biçimde tanımlar. Bu sınırlar sayesinde yönetimde görev ve yetki dengesi kurulabilir.</w:t>
      </w:r>
    </w:p>
    <w:p w14:paraId="690987D1" w14:textId="77777777" w:rsidR="00EB54D6"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2. Lügat – Sayılar – Nassın Dilsel Çerçevesi – Yetki Sınırlandırması</w:t>
      </w:r>
    </w:p>
    <w:p w14:paraId="35A7CD29" w14:textId="719202EA"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Metnin anlamı ve ölçüsü netleşmeden yöneticinin yetki alanı belirlenemez.</w:t>
      </w:r>
      <w:r w:rsidRPr="00E53D91">
        <w:rPr>
          <w:rFonts w:asciiTheme="majorBidi" w:hAnsiTheme="majorBidi" w:cstheme="majorBidi"/>
          <w:sz w:val="26"/>
          <w:szCs w:val="26"/>
        </w:rPr>
        <w:br/>
        <w:t>Lügat, kelimelerin sözlük anlamını belirleyerek metnin doğru anlaşılmasını sağlar. Sayılar, miktar ve oran tayini yaparak ölçüyü somutlaştırır. Nassın dilsel çerçevesi, ayet</w:t>
      </w:r>
      <w:r w:rsidR="00442DA2" w:rsidRPr="00E53D91">
        <w:rPr>
          <w:rFonts w:asciiTheme="majorBidi" w:hAnsiTheme="majorBidi" w:cstheme="majorBidi"/>
          <w:sz w:val="26"/>
          <w:szCs w:val="26"/>
        </w:rPr>
        <w:t xml:space="preserve">lerin </w:t>
      </w:r>
      <w:r w:rsidRPr="00E53D91">
        <w:rPr>
          <w:rFonts w:asciiTheme="majorBidi" w:hAnsiTheme="majorBidi" w:cstheme="majorBidi"/>
          <w:sz w:val="26"/>
          <w:szCs w:val="26"/>
        </w:rPr>
        <w:t>anlam alanını sınırlar. Bu sınır, yöneticinin keyfî yetki kullanmasını engeller.</w:t>
      </w:r>
    </w:p>
    <w:p w14:paraId="68515DBB" w14:textId="77777777" w:rsidR="00EE5699"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 xml:space="preserve">3. Çekim – İşlemler – İçtihat </w:t>
      </w:r>
      <w:proofErr w:type="spellStart"/>
      <w:r w:rsidRPr="00E53D91">
        <w:rPr>
          <w:rFonts w:asciiTheme="majorBidi" w:hAnsiTheme="majorBidi" w:cstheme="majorBidi"/>
          <w:b/>
          <w:bCs/>
          <w:sz w:val="26"/>
          <w:szCs w:val="26"/>
        </w:rPr>
        <w:t>Usulü</w:t>
      </w:r>
      <w:proofErr w:type="spellEnd"/>
      <w:r w:rsidRPr="00E53D91">
        <w:rPr>
          <w:rFonts w:asciiTheme="majorBidi" w:hAnsiTheme="majorBidi" w:cstheme="majorBidi"/>
          <w:b/>
          <w:bCs/>
          <w:sz w:val="26"/>
          <w:szCs w:val="26"/>
        </w:rPr>
        <w:t xml:space="preserve"> – Karar </w:t>
      </w:r>
      <w:proofErr w:type="spellStart"/>
      <w:r w:rsidRPr="00E53D91">
        <w:rPr>
          <w:rFonts w:asciiTheme="majorBidi" w:hAnsiTheme="majorBidi" w:cstheme="majorBidi"/>
          <w:b/>
          <w:bCs/>
          <w:sz w:val="26"/>
          <w:szCs w:val="26"/>
        </w:rPr>
        <w:t>Usulü</w:t>
      </w:r>
      <w:proofErr w:type="spellEnd"/>
    </w:p>
    <w:p w14:paraId="01766DFF" w14:textId="1485BEA8"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Değişen şartlar karşısında hüküm ve karar ancak usule bağlı kalınarak üretilebilir.</w:t>
      </w:r>
      <w:r w:rsidRPr="00E53D91">
        <w:rPr>
          <w:rFonts w:asciiTheme="majorBidi" w:hAnsiTheme="majorBidi" w:cstheme="majorBidi"/>
          <w:sz w:val="26"/>
          <w:szCs w:val="26"/>
        </w:rPr>
        <w:br/>
        <w:t xml:space="preserve">Çekim, kelimenin farklı durum ve zamanlara uyarlanmasını sağlar. İşlemler, sayısal verilerin düzenli biçimde sonuç üretmesine imkân verir. İçtihat usulü, yeni meselelerde hüküm üretmenin yöntemini belirler. Bu yöntem, yönetimde </w:t>
      </w:r>
      <w:proofErr w:type="gramStart"/>
      <w:r w:rsidRPr="00E53D91">
        <w:rPr>
          <w:rFonts w:asciiTheme="majorBidi" w:hAnsiTheme="majorBidi" w:cstheme="majorBidi"/>
          <w:sz w:val="26"/>
          <w:szCs w:val="26"/>
        </w:rPr>
        <w:t>al</w:t>
      </w:r>
      <w:r w:rsidR="00032027" w:rsidRPr="00E53D91">
        <w:rPr>
          <w:rFonts w:asciiTheme="majorBidi" w:hAnsiTheme="majorBidi" w:cstheme="majorBidi"/>
          <w:sz w:val="26"/>
          <w:szCs w:val="26"/>
        </w:rPr>
        <w:t xml:space="preserve">uşan </w:t>
      </w:r>
      <w:r w:rsidRPr="00E53D91">
        <w:rPr>
          <w:rFonts w:asciiTheme="majorBidi" w:hAnsiTheme="majorBidi" w:cstheme="majorBidi"/>
          <w:sz w:val="26"/>
          <w:szCs w:val="26"/>
        </w:rPr>
        <w:t xml:space="preserve"> karar</w:t>
      </w:r>
      <w:proofErr w:type="gramEnd"/>
      <w:r w:rsidR="00032027" w:rsidRPr="00E53D91">
        <w:rPr>
          <w:rFonts w:asciiTheme="majorBidi" w:hAnsiTheme="majorBidi" w:cstheme="majorBidi"/>
          <w:sz w:val="26"/>
          <w:szCs w:val="26"/>
        </w:rPr>
        <w:t xml:space="preserve"> usulleri </w:t>
      </w:r>
      <w:proofErr w:type="gramStart"/>
      <w:r w:rsidR="00032027" w:rsidRPr="00E53D91">
        <w:rPr>
          <w:rFonts w:asciiTheme="majorBidi" w:hAnsiTheme="majorBidi" w:cstheme="majorBidi"/>
          <w:sz w:val="26"/>
          <w:szCs w:val="26"/>
        </w:rPr>
        <w:t xml:space="preserve">ile </w:t>
      </w:r>
      <w:r w:rsidRPr="00E53D91">
        <w:rPr>
          <w:rFonts w:asciiTheme="majorBidi" w:hAnsiTheme="majorBidi" w:cstheme="majorBidi"/>
          <w:sz w:val="26"/>
          <w:szCs w:val="26"/>
        </w:rPr>
        <w:t xml:space="preserve"> sistemli</w:t>
      </w:r>
      <w:proofErr w:type="gramEnd"/>
      <w:r w:rsidRPr="00E53D91">
        <w:rPr>
          <w:rFonts w:asciiTheme="majorBidi" w:hAnsiTheme="majorBidi" w:cstheme="majorBidi"/>
          <w:sz w:val="26"/>
          <w:szCs w:val="26"/>
        </w:rPr>
        <w:t xml:space="preserve"> ve tutarlı </w:t>
      </w:r>
      <w:r w:rsidR="00032027" w:rsidRPr="00E53D91">
        <w:rPr>
          <w:rFonts w:asciiTheme="majorBidi" w:hAnsiTheme="majorBidi" w:cstheme="majorBidi"/>
          <w:sz w:val="26"/>
          <w:szCs w:val="26"/>
        </w:rPr>
        <w:t>kararların alın</w:t>
      </w:r>
      <w:r w:rsidRPr="00E53D91">
        <w:rPr>
          <w:rFonts w:asciiTheme="majorBidi" w:hAnsiTheme="majorBidi" w:cstheme="majorBidi"/>
          <w:sz w:val="26"/>
          <w:szCs w:val="26"/>
        </w:rPr>
        <w:t>masını sağlar.</w:t>
      </w:r>
    </w:p>
    <w:p w14:paraId="326B0669" w14:textId="77777777" w:rsidR="00EE5699"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4. Cümle – Denklem – Bağlayıcı Hüküm – İcra Esasları</w:t>
      </w:r>
    </w:p>
    <w:p w14:paraId="376689C8" w14:textId="4EE1B2AD"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Anlam ve ölçü tamamlandığında bağlayıcı hüküm ortaya çıkar ve uygulanır.</w:t>
      </w:r>
      <w:r w:rsidRPr="00E53D91">
        <w:rPr>
          <w:rFonts w:asciiTheme="majorBidi" w:hAnsiTheme="majorBidi" w:cstheme="majorBidi"/>
          <w:sz w:val="26"/>
          <w:szCs w:val="26"/>
        </w:rPr>
        <w:br/>
        <w:t>Cümle, anlamın tamamlan</w:t>
      </w:r>
      <w:r w:rsidR="00576BB8" w:rsidRPr="00E53D91">
        <w:rPr>
          <w:rFonts w:asciiTheme="majorBidi" w:hAnsiTheme="majorBidi" w:cstheme="majorBidi"/>
          <w:sz w:val="26"/>
          <w:szCs w:val="26"/>
        </w:rPr>
        <w:t xml:space="preserve">ması ve mesajın netleşmesidir. </w:t>
      </w:r>
      <w:r w:rsidRPr="00E53D91">
        <w:rPr>
          <w:rFonts w:asciiTheme="majorBidi" w:hAnsiTheme="majorBidi" w:cstheme="majorBidi"/>
          <w:sz w:val="26"/>
          <w:szCs w:val="26"/>
        </w:rPr>
        <w:t>Denklem, işlemlerin anlamlı ve dengeli bir sonuca bağlanmasıdır. Nass ve usul birleştiğinde bağlayıcı bir hüküm ortaya çıkar. İcra esasları, bu hükmün yönetim tarafından nasıl uygulanacağını gösterir.</w:t>
      </w:r>
    </w:p>
    <w:p w14:paraId="1642ECFE" w14:textId="77777777" w:rsidR="00EE5699"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 xml:space="preserve">5. Mana – Analiz – </w:t>
      </w:r>
      <w:proofErr w:type="gramStart"/>
      <w:r w:rsidRPr="00E53D91">
        <w:rPr>
          <w:rFonts w:asciiTheme="majorBidi" w:hAnsiTheme="majorBidi" w:cstheme="majorBidi"/>
          <w:b/>
          <w:bCs/>
          <w:sz w:val="26"/>
          <w:szCs w:val="26"/>
        </w:rPr>
        <w:t>Ma‘</w:t>
      </w:r>
      <w:proofErr w:type="gramEnd"/>
      <w:r w:rsidRPr="00E53D91">
        <w:rPr>
          <w:rFonts w:asciiTheme="majorBidi" w:hAnsiTheme="majorBidi" w:cstheme="majorBidi"/>
          <w:b/>
          <w:bCs/>
          <w:sz w:val="26"/>
          <w:szCs w:val="26"/>
        </w:rPr>
        <w:t>ruf–Münker Ölçüsü – Kamu Maslahatı</w:t>
      </w:r>
    </w:p>
    <w:p w14:paraId="73C095B2" w14:textId="208A90AF"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Hukukun amacı doğruyu yaymak ve yanlışı ortadan kaldırmaktır.</w:t>
      </w:r>
      <w:r w:rsidRPr="00E53D91">
        <w:rPr>
          <w:rFonts w:asciiTheme="majorBidi" w:hAnsiTheme="majorBidi" w:cstheme="majorBidi"/>
          <w:sz w:val="26"/>
          <w:szCs w:val="26"/>
        </w:rPr>
        <w:br/>
        <w:t xml:space="preserve">Mana, metnin arkasındaki temel amacı ve yönü ifade eder. Analiz, bu amacın sonuçlarını ölçme, karşılaştırma ve denge açısından değerlendirmeyi sağlar. </w:t>
      </w:r>
      <w:proofErr w:type="gramStart"/>
      <w:r w:rsidRPr="00E53D91">
        <w:rPr>
          <w:rFonts w:asciiTheme="majorBidi" w:hAnsiTheme="majorBidi" w:cstheme="majorBidi"/>
          <w:sz w:val="26"/>
          <w:szCs w:val="26"/>
        </w:rPr>
        <w:t>Ma‘</w:t>
      </w:r>
      <w:proofErr w:type="gramEnd"/>
      <w:r w:rsidRPr="00E53D91">
        <w:rPr>
          <w:rFonts w:asciiTheme="majorBidi" w:hAnsiTheme="majorBidi" w:cstheme="majorBidi"/>
          <w:sz w:val="26"/>
          <w:szCs w:val="26"/>
        </w:rPr>
        <w:t>ruf ve münker, doğru ile yanlışın Kur’ânî ölçüsünü belirler. Kamu maslahatı, bu ölçünün toplum yararına dengeli biçimde uygulanmasıdır.</w:t>
      </w:r>
    </w:p>
    <w:p w14:paraId="390AE287" w14:textId="622B520C" w:rsidR="009B5B6E"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 xml:space="preserve">6. Benzetme – Matris – </w:t>
      </w:r>
      <w:r w:rsidR="009B5B6E" w:rsidRPr="00E53D91">
        <w:rPr>
          <w:rFonts w:asciiTheme="majorBidi" w:hAnsiTheme="majorBidi" w:cstheme="majorBidi"/>
          <w:b/>
          <w:bCs/>
          <w:sz w:val="26"/>
          <w:szCs w:val="26"/>
        </w:rPr>
        <w:t>Kayas</w:t>
      </w:r>
      <w:r w:rsidRPr="00E53D91">
        <w:rPr>
          <w:rFonts w:asciiTheme="majorBidi" w:hAnsiTheme="majorBidi" w:cstheme="majorBidi"/>
          <w:b/>
          <w:bCs/>
          <w:sz w:val="26"/>
          <w:szCs w:val="26"/>
        </w:rPr>
        <w:t xml:space="preserve"> – Kurumsal Organizasyon</w:t>
      </w:r>
    </w:p>
    <w:p w14:paraId="3E3BC360" w14:textId="71A12716"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Yeni meseleler benzer örnekler ve sistematik yapı sayesinde çözüme kavuşturulur.</w:t>
      </w:r>
      <w:r w:rsidRPr="00E53D91">
        <w:rPr>
          <w:rFonts w:asciiTheme="majorBidi" w:hAnsiTheme="majorBidi" w:cstheme="majorBidi"/>
          <w:sz w:val="26"/>
          <w:szCs w:val="26"/>
        </w:rPr>
        <w:br/>
        <w:t>Benzetme, bilinmeyen bir durumu bilinen bir örnekle açıklamayı sağlar. Matris, çoklu ilişkilerin birlikte değerlendirilmesine imkân verir. Kıyas, benzer olaylar arasında hüküm aktarımını mümkün kılar. Bu yaklaşım, yönetimde kurumsal ve sürdürülebilir yapı oluşturur.</w:t>
      </w:r>
    </w:p>
    <w:p w14:paraId="673DD89C" w14:textId="1F650206" w:rsidR="009B5B6E"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7. Edebiyat – İstatistik – Âlimlerin İcmâsı – Toplumsal Denge</w:t>
      </w:r>
    </w:p>
    <w:p w14:paraId="15C32181" w14:textId="4AABC65E"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Özet: Toplumsal gerçeklik ilmi uzlaşıyla hukuki dengeye dönüştürülür.</w:t>
      </w:r>
      <w:r w:rsidRPr="00E53D91">
        <w:rPr>
          <w:rFonts w:asciiTheme="majorBidi" w:hAnsiTheme="majorBidi" w:cstheme="majorBidi"/>
          <w:sz w:val="26"/>
          <w:szCs w:val="26"/>
        </w:rPr>
        <w:br/>
        <w:t>Edebiyat, toplumun dilini, kültürünü ve ortak hafızasını yansıtır. İstatistik, toplumsal verileri sayısal olarak ortaya koyar. Âlimlerin icmâsı, bu veriler ışığında hukuki istikrar sağlar. Böylece toplumda denge ve düzen korunur.</w:t>
      </w:r>
    </w:p>
    <w:p w14:paraId="1F0F09C2" w14:textId="0C1B59DB" w:rsidR="009B5B6E" w:rsidRPr="00E53D91" w:rsidRDefault="00000000" w:rsidP="00EB54D6">
      <w:pPr>
        <w:jc w:val="both"/>
        <w:rPr>
          <w:rFonts w:asciiTheme="majorBidi" w:hAnsiTheme="majorBidi" w:cstheme="majorBidi"/>
          <w:b/>
          <w:bCs/>
          <w:sz w:val="26"/>
          <w:szCs w:val="26"/>
        </w:rPr>
      </w:pPr>
      <w:r w:rsidRPr="00E53D91">
        <w:rPr>
          <w:rFonts w:asciiTheme="majorBidi" w:hAnsiTheme="majorBidi" w:cstheme="majorBidi"/>
          <w:b/>
          <w:bCs/>
          <w:sz w:val="26"/>
          <w:szCs w:val="26"/>
        </w:rPr>
        <w:t>8. Telif – Programlama – İşleyen Fıkıh Nizamı – Uygulayıcı Yönetim</w:t>
      </w:r>
    </w:p>
    <w:p w14:paraId="79E90D5A" w14:textId="1B28ED11" w:rsidR="00A37AE1" w:rsidRPr="00E53D91" w:rsidRDefault="00000000" w:rsidP="00202D38">
      <w:pPr>
        <w:jc w:val="both"/>
        <w:rPr>
          <w:rFonts w:asciiTheme="majorBidi" w:hAnsiTheme="majorBidi" w:cstheme="majorBidi"/>
          <w:sz w:val="26"/>
          <w:szCs w:val="26"/>
        </w:rPr>
      </w:pPr>
      <w:r w:rsidRPr="00E53D91">
        <w:rPr>
          <w:rFonts w:asciiTheme="majorBidi" w:hAnsiTheme="majorBidi" w:cstheme="majorBidi"/>
          <w:sz w:val="26"/>
          <w:szCs w:val="26"/>
        </w:rPr>
        <w:t>Özet: Parçalar birleştirildiğinde hukuk yaşayan bir sisteme dönüşür.</w:t>
      </w:r>
      <w:r w:rsidRPr="00E53D91">
        <w:rPr>
          <w:rFonts w:asciiTheme="majorBidi" w:hAnsiTheme="majorBidi" w:cstheme="majorBidi"/>
          <w:sz w:val="26"/>
          <w:szCs w:val="26"/>
        </w:rPr>
        <w:br/>
        <w:t>Telif, farklı unsurların anlamlı bir bütün hâline getirilmesidir. Programlama, sistemin düzenli ve sürekli çalışmasını sağlar. İşleyen fıkıh nizamı, hukukun teoride kalmayıp hayata geçmesini ifade eder. Uygulayıcı yönetim, bu sistemi pratikte işler hâle getirir.</w:t>
      </w:r>
    </w:p>
    <w:p w14:paraId="30D50EAB" w14:textId="77777777" w:rsidR="000C7FC9" w:rsidRPr="000C7FC9" w:rsidRDefault="000C7FC9" w:rsidP="000C7FC9">
      <w:pPr>
        <w:jc w:val="both"/>
        <w:rPr>
          <w:rFonts w:asciiTheme="majorBidi" w:hAnsiTheme="majorBidi" w:cstheme="majorBidi"/>
          <w:b/>
          <w:bCs/>
          <w:color w:val="007BB8"/>
          <w:sz w:val="26"/>
          <w:szCs w:val="26"/>
        </w:rPr>
      </w:pPr>
      <w:r w:rsidRPr="000C7FC9">
        <w:rPr>
          <w:rFonts w:asciiTheme="majorBidi" w:hAnsiTheme="majorBidi" w:cstheme="majorBidi"/>
          <w:b/>
          <w:bCs/>
          <w:color w:val="007BB8"/>
          <w:sz w:val="26"/>
          <w:szCs w:val="26"/>
        </w:rPr>
        <w:t>Sonuç</w:t>
      </w:r>
    </w:p>
    <w:p w14:paraId="5D123B8F" w14:textId="638394AA"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t>Bu çalışma göstermektedir ki İslam hukuku; dil ile doğru anlaşılan, matematik ile ölçülen, usul ile hükme bağlanan ve Adil Düzen yönetimi ile hayata geçirilen bütüncül bir nizamdır. Bu bütünlük sağlandığında adalet soyut bir ideal olmaktan çıkar ve toplumsal hayatta karşılık bulur.</w:t>
      </w:r>
    </w:p>
    <w:p w14:paraId="1F83B3F1" w14:textId="77777777" w:rsidR="00A37AE1" w:rsidRPr="00E53D91" w:rsidRDefault="00000000" w:rsidP="00EB54D6">
      <w:pPr>
        <w:jc w:val="both"/>
        <w:rPr>
          <w:rFonts w:asciiTheme="majorBidi" w:hAnsiTheme="majorBidi" w:cstheme="majorBidi"/>
          <w:sz w:val="26"/>
          <w:szCs w:val="26"/>
        </w:rPr>
      </w:pPr>
      <w:r w:rsidRPr="00E53D91">
        <w:rPr>
          <w:rFonts w:asciiTheme="majorBidi" w:hAnsiTheme="majorBidi" w:cstheme="majorBidi"/>
          <w:sz w:val="26"/>
          <w:szCs w:val="26"/>
        </w:rPr>
        <w:br/>
        <w:t>Hazırlayan</w:t>
      </w:r>
      <w:r w:rsidRPr="00E53D91">
        <w:rPr>
          <w:rFonts w:asciiTheme="majorBidi" w:hAnsiTheme="majorBidi" w:cstheme="majorBidi"/>
          <w:sz w:val="26"/>
          <w:szCs w:val="26"/>
        </w:rPr>
        <w:br/>
        <w:t>Hilal Çekmen</w:t>
      </w:r>
    </w:p>
    <w:sectPr w:rsidR="00A37AE1" w:rsidRPr="00E53D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140296851">
    <w:abstractNumId w:val="8"/>
  </w:num>
  <w:num w:numId="2" w16cid:durableId="1631400354">
    <w:abstractNumId w:val="6"/>
  </w:num>
  <w:num w:numId="3" w16cid:durableId="407269411">
    <w:abstractNumId w:val="5"/>
  </w:num>
  <w:num w:numId="4" w16cid:durableId="327365936">
    <w:abstractNumId w:val="4"/>
  </w:num>
  <w:num w:numId="5" w16cid:durableId="1196191158">
    <w:abstractNumId w:val="7"/>
  </w:num>
  <w:num w:numId="6" w16cid:durableId="1409771225">
    <w:abstractNumId w:val="3"/>
  </w:num>
  <w:num w:numId="7" w16cid:durableId="332608191">
    <w:abstractNumId w:val="2"/>
  </w:num>
  <w:num w:numId="8" w16cid:durableId="897474227">
    <w:abstractNumId w:val="1"/>
  </w:num>
  <w:num w:numId="9" w16cid:durableId="110553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027"/>
    <w:rsid w:val="00034616"/>
    <w:rsid w:val="0006063C"/>
    <w:rsid w:val="000A5C8C"/>
    <w:rsid w:val="000C7FC9"/>
    <w:rsid w:val="0015074B"/>
    <w:rsid w:val="00202D38"/>
    <w:rsid w:val="0029639D"/>
    <w:rsid w:val="00326F90"/>
    <w:rsid w:val="00442DA2"/>
    <w:rsid w:val="00553FF4"/>
    <w:rsid w:val="00576BB8"/>
    <w:rsid w:val="007F5E7D"/>
    <w:rsid w:val="008F4E68"/>
    <w:rsid w:val="009B5B6E"/>
    <w:rsid w:val="00A31C4E"/>
    <w:rsid w:val="00A37AE1"/>
    <w:rsid w:val="00A45B03"/>
    <w:rsid w:val="00AA1D8D"/>
    <w:rsid w:val="00B47730"/>
    <w:rsid w:val="00CB0664"/>
    <w:rsid w:val="00E53D91"/>
    <w:rsid w:val="00EB54D6"/>
    <w:rsid w:val="00ED72EF"/>
    <w:rsid w:val="00EE56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7D798"/>
  <w14:defaultImageDpi w14:val="300"/>
  <w15:docId w15:val="{15B32F7F-1068-48F1-9660-77B0F4E6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Hilal Sipahi</cp:lastModifiedBy>
  <cp:revision>2</cp:revision>
  <dcterms:created xsi:type="dcterms:W3CDTF">2025-12-22T17:51:00Z</dcterms:created>
  <dcterms:modified xsi:type="dcterms:W3CDTF">2025-12-22T17:51:00Z</dcterms:modified>
  <cp:category/>
</cp:coreProperties>
</file>