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78D4" w:sz="1"/>
              <w:left w:val="single" w:color="0078D4" w:sz="1"/>
              <w:bottom w:val="single" w:color="0078D4" w:sz="1"/>
              <w:right w:val="single" w:color="0078D4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4"/>
                <w:szCs w:val="24"/>
              </w:rPr>
              <w:t xml:space="preserve">Get Found Online  ·  Paid Methods  ·  Final Course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09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Microsoft / Bing Ads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Setup checklist, import guide, bid planner &amp; monthly sync tracker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90C8F0" w:sz="1"/>
              <w:left w:val="single" w:color="90C8F0" w:sz="1"/>
              <w:bottom w:val="single" w:color="90C8F0" w:sz="1"/>
              <w:right w:val="single" w:color="90C8F0" w:sz="1"/>
            </w:tcBorders>
            <w:shd w:fill="E8F4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£30–£50/month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Starting budget</w:t>
            </w:r>
          </w:p>
        </w:tc>
        <w:tc>
          <w:tcPr>
            <w:tcW w:type="dxa" w:w="3302"/>
            <w:tcBorders>
              <w:top w:val="single" w:color="90C8F0" w:sz="1"/>
              <w:left w:val="single" w:color="90C8F0" w:sz="1"/>
              <w:bottom w:val="single" w:color="90C8F0" w:sz="1"/>
              <w:right w:val="single" w:color="90C8F0" w:sz="1"/>
            </w:tcBorders>
            <w:shd w:fill="E8F4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~1 hour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 (after Course 06)</w:t>
            </w:r>
          </w:p>
        </w:tc>
        <w:tc>
          <w:tcPr>
            <w:tcW w:type="dxa" w:w="3302"/>
            <w:tcBorders>
              <w:top w:val="single" w:color="90C8F0" w:sz="1"/>
              <w:left w:val="single" w:color="90C8F0" w:sz="1"/>
              <w:bottom w:val="single" w:color="90C8F0" w:sz="1"/>
              <w:right w:val="single" w:color="90C8F0" w:sz="1"/>
            </w:tcBorders>
            <w:shd w:fill="E8F4F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📉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20–40% less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Cost per click vs Google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Microsoft Advertising account correctly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Import your Google Ads campaign in under 10 minutes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Adjust bids to reflect Bing's lower cost environment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Install the UET tag for conversion tracking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Keep Google and Bing in sync with a monthly update process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SETUP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Step-by-step setup guide — tick as you go</w:t>
      </w:r>
    </w:p>
    <w:p>
      <w:pPr>
        <w:pBdr>
          <w:bottom w:val="single" w:color="0078D4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All 7 steps should take under 1 hour if your Google Ads campaign (Course 06) is already live.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The import shortcut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Step 3 (Import from Google Ads) does 90% of the work for you.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Every keyword, match type, negative, ad copy, and extension imports automatically.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After that, it's just bid reduction, location check, and UET tag.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9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— TICK WHEN COMPLETE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Go to ads.microsoft.com → Sign up → Microsoft account → GBP currency, GMT time zone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Tools → Billing → add card. Tools → Accounts → Account Budget → set monthly limit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3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Import → Import from Google Ads → sign in to Google → select campaign → Import now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4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Review import summary. Then reduce ALL keyword bids by 20–30%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5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 campaign settings: Location = UK, Presence only. Language = English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6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Tools → UET Tags → Create → name it → send code to Travelgenix team for site installation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7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Tools → Conversion Goals → Create → Destination URL → enter your thank-you page URL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8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Enable campaigns and go live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8D4"/>
                <w:sz w:val="22"/>
                <w:szCs w:val="22"/>
              </w:rPr>
              <w:t xml:space="preserve">9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monthly reminder: Check Search Terms + Sync from Google Ads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BID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Reduce your imported bids by 20–30%</w:t>
      </w:r>
    </w:p>
    <w:p>
      <w:pPr>
        <w:pBdr>
          <w:bottom w:val="single" w:color="0078D4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After importing from Google Ads, your bids will be identical to Google's. Lower them by 20–30% — Bing clicks are cheaper and you'll achieve similar ad positions at lower cost.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200"/>
        <w:gridCol w:w="2506"/>
      </w:tblGrid>
      <w:tr>
        <w:tc>
          <w:tcPr>
            <w:tcW w:type="dxa" w:w="30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Keyword</w:t>
            </w:r>
          </w:p>
        </w:tc>
        <w:tc>
          <w:tcPr>
            <w:tcW w:type="dxa" w:w="2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Google Ads Bid (£)</w:t>
            </w:r>
          </w:p>
        </w:tc>
        <w:tc>
          <w:tcPr>
            <w:tcW w:type="dxa" w:w="2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Bing Target Bid (£)</w:t>
            </w:r>
          </w:p>
        </w:tc>
        <w:tc>
          <w:tcPr>
            <w:tcW w:type="dxa" w:w="25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📝  Bid adjustment rule of thumb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If Google bid = £1.50 → set Bing bid to £1.00–£1.20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If Google bid = £2.00 → set Bing bid to £1.40–£1.60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If your ads aren't showing after week 1, gradually raise bids until you see impressions.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MONTHLY SYNC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Bing monthly review log</w:t>
      </w:r>
    </w:p>
    <w:p>
      <w:pPr>
        <w:pBdr>
          <w:bottom w:val="single" w:color="0078D4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Every month: check Search Terms AND sync any updates from Google Ads. These two tasks take 15 minutes and keep the campaign performing well.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6906"/>
      </w:tblGrid>
      <w:tr>
        <w:tc>
          <w:tcPr>
            <w:tcW w:type="dxa" w:w="1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New Negatives Added (from Search Terms)</w:t>
            </w:r>
          </w:p>
        </w:tc>
        <w:tc>
          <w:tcPr>
            <w:tcW w:type="dxa" w:w="69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Notes / Sync Actions</w:t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Layer LinkedIn profile targeting on search campaigns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Campaign Settings → LinkedIn Profile Targeting.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Show ads specifically to HR Managers, PAs, Finance Directors — while they search on Bing.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Unique to Microsoft Advertising — no other search platform offers this.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Ideal for corporate travel, incentive trips, or group booking clients.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Mine both Search Terms reports for richer keyword intelligence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Bing surfaces different search queries than Google — slightly different user phrasing.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Export both reports monthly. New relevant terms = add as keywords on both platforms.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New irrelevant terms = add as negatives on both. Two reports are always better than one.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Increase desktop bids — Bing's strength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 Campaign Settings → Device bid adjustments, increase desktop by 20–30%.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Bing is dominant on Windows desktop computers — that's where its 45–70 audience lives.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Check your Google Ads device data first to confirm desktop converts well for your business.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Common Bing mistakes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Expecting Google volume — Bing has 6–8% of UK searches, which is intentional and fine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Forgetting to re-import after updating Google Ads — platforms drift out of sync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checking Bing's Search Terms separately — different irrelevant searches to catch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reducing bids after import — overpaying on a cheaper platform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SERIES COMPLETE 🎉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6"/>
          <w:szCs w:val="36"/>
        </w:rPr>
        <w:t xml:space="preserve">You've completed Get Found Online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75467"/>
          <w:sz w:val="22"/>
          <w:szCs w:val="22"/>
        </w:rPr>
        <w:t xml:space="preserve">Nine courses. Nine channels. A complete traffic strategy built from scratch.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Course 01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Google Business Profile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Free</w:t>
            </w:r>
          </w:p>
        </w:tc>
        <w:tc>
          <w:tcPr>
            <w:tcW w:type="dxa" w:w="3302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Course 02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Google Reviews Strategy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Free</w:t>
            </w:r>
          </w:p>
        </w:tc>
        <w:tc>
          <w:tcPr>
            <w:tcW w:type="dxa" w:w="3302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Course 03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Email Newsletter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Free</w:t>
            </w:r>
          </w:p>
        </w:tc>
      </w:tr>
      <w:tr>
        <w:tc>
          <w:tcPr>
            <w:tcW w:type="dxa" w:w="3302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Course 04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WhatsApp Broadcast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Free</w:t>
            </w:r>
          </w:p>
        </w:tc>
        <w:tc>
          <w:tcPr>
            <w:tcW w:type="dxa" w:w="3302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Course 05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Past Client Re-Engagement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27A48"/>
                <w:sz w:val="16"/>
                <w:szCs w:val="16"/>
              </w:rPr>
              <w:t xml:space="preserve">Free</w:t>
            </w:r>
          </w:p>
        </w:tc>
        <w:tc>
          <w:tcPr>
            <w:tcW w:type="dxa" w:w="3302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FFA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Course 06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Google Search Ads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£100–£150/mo</w:t>
            </w:r>
          </w:p>
        </w:tc>
      </w:tr>
      <w:tr>
        <w:tc>
          <w:tcPr>
            <w:tcW w:type="dxa" w:w="3302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FFA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Course 07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Google Remarketing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£30–£50/mo</w:t>
            </w:r>
          </w:p>
        </w:tc>
        <w:tc>
          <w:tcPr>
            <w:tcW w:type="dxa" w:w="3302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FFA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Course 08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Meta Retargeting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£30–£50/mo</w:t>
            </w:r>
          </w:p>
        </w:tc>
        <w:tc>
          <w:tcPr>
            <w:tcW w:type="dxa" w:w="3302"/>
            <w:tcBorders>
              <w:top w:val="single" w:color="FEC84B" w:sz="1"/>
              <w:left w:val="single" w:color="FEC84B" w:sz="1"/>
              <w:bottom w:val="single" w:color="FEC84B" w:sz="1"/>
              <w:right w:val="single" w:color="FEC84B" w:sz="1"/>
            </w:tcBorders>
            <w:shd w:fill="FFFA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Course 09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Microsoft / Bing Ads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B54708"/>
                <w:sz w:val="16"/>
                <w:szCs w:val="16"/>
              </w:rPr>
              <w:t xml:space="preserve">£30–£50/mo</w:t>
            </w:r>
          </w:p>
        </w:tc>
      </w:tr>
    </w:tbl>
    <w:p>
      <w:pPr>
        <w:spacing w:before="16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1A2B3C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B3DDE9"/>
                <w:sz w:val="24"/>
                <w:szCs w:val="24"/>
              </w:rPr>
              <w:t xml:space="preserve">"Running a travel business can be complex — but your marketing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B3DDE9"/>
                <w:sz w:val="24"/>
                <w:szCs w:val="24"/>
              </w:rPr>
              <w:t xml:space="preserve">doesn't have to be. You now have everything you need to be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B3DDE9"/>
                <w:sz w:val="24"/>
                <w:szCs w:val="24"/>
              </w:rPr>
              <w:t xml:space="preserve">found, chosen, and remembered."</w:t>
            </w:r>
          </w:p>
          <w:p>
            <w:pPr>
              <w:spacing w:before="80" w:after="0"/>
              <w:jc w:val="center"/>
            </w:pPr>
            <w:r>
              <w:rPr>
                <w:rFonts w:ascii="Arial" w:cs="Arial" w:eastAsia="Arial" w:hAnsi="Arial"/>
                <w:color w:val="98A2B3"/>
                <w:sz w:val="19"/>
                <w:szCs w:val="19"/>
              </w:rPr>
              <w:t xml:space="preserve">university.travelgenix.io  ·  www.travelgenix.io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09: Microsoft / Bing Ads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2026-04-01T11:23:32.035Z</dcterms:created>
  <dcterms:modified xsi:type="dcterms:W3CDTF">2026-04-01T11:23:32.036Z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