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1A2B3C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089AB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B3DDE9"/>
                <w:sz w:val="28"/>
                <w:szCs w:val="28"/>
              </w:rPr>
              <w:t xml:space="preserve">Get Found Online</w:t>
            </w:r>
          </w:p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Mini-Course 03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Email Newsletter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4"/>
                <w:szCs w:val="24"/>
              </w:rPr>
              <w:t xml:space="preserve">Your step-by-step workbook</w:t>
            </w:r>
          </w:p>
        </w:tc>
      </w:tr>
    </w:tbl>
    <w:p>
      <w:pPr>
        <w:spacing w:before="1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6C87"/>
                <w:sz w:val="22"/>
                <w:szCs w:val="22"/>
              </w:rPr>
              <w:t xml:space="preserve">2 hours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Setup time</w:t>
            </w:r>
          </w:p>
        </w:tc>
        <w:tc>
          <w:tcPr>
            <w:tcW w:type="dxa" w:w="3302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💰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6C87"/>
                <w:sz w:val="22"/>
                <w:szCs w:val="22"/>
              </w:rPr>
              <w:t xml:space="preserve">Free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Budget to start</w:t>
            </w:r>
          </w:p>
        </w:tc>
        <w:tc>
          <w:tcPr>
            <w:tcW w:type="dxa" w:w="3302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📈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06C87"/>
                <w:sz w:val="22"/>
                <w:szCs w:val="22"/>
              </w:rPr>
              <w:t xml:space="preserve">Very High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Impact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LEARNING OBJECTIVES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By the end of this course you will...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Create a free Mailchimp account and set up your mailing list correctly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Import your existing contacts and add a sign-up form to your website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Use the 5-part content formula so you always know what to write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Send your first newsletter and understand what the stats mean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CONTENT FORMULA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The 5-part email formula — use this every single send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Use the same structure every time. Consistency is what builds a list that people look forward to receiving. Each section should take you 10–15 minutes to write.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506"/>
      </w:tblGrid>
      <w:tr>
        <w:tc>
          <w:tcPr>
            <w:tcW w:type="dxa" w:w="2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75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TO WRITE</w:t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1. Opening line</w:t>
            </w:r>
          </w:p>
        </w:tc>
        <w:tc>
          <w:tcPr>
            <w:tcW w:type="dxa" w:w="7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One warm, personal sentence — what's happening seasonally, a client story, something you've been excited about this month.</w:t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2. Deal or highlight</w:t>
            </w:r>
          </w:p>
        </w:tc>
        <w:tc>
          <w:tcPr>
            <w:tcW w:type="dxa" w:w="7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One featured holiday — destination, headline price, and a clear button linking to your website or deal page.</w:t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3. Destination story</w:t>
            </w:r>
          </w:p>
        </w:tc>
        <w:tc>
          <w:tcPr>
            <w:tcW w:type="dxa" w:w="7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3–4 sentences about a destination you love right now. Not a hard sell — genuine enthusiasm.</w:t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4. Useful tip</w:t>
            </w:r>
          </w:p>
        </w:tc>
        <w:tc>
          <w:tcPr>
            <w:tcW w:type="dxa" w:w="7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One practical travel intelligence item. A new route, visa change, best booking window, packing tip.</w:t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5. Call to action</w:t>
            </w:r>
          </w:p>
        </w:tc>
        <w:tc>
          <w:tcPr>
            <w:tcW w:type="dxa" w:w="7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One clear invitation: 'Reply to this email or call us on [number].' One CTA only.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Your next email — topic and notes: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SUBJECT LINE SWIPE FILE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Subject lines that get opened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Your subject line determines whether the email gets opened. Use these frameworks as inspiration — always adapt to your specific content and voice.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8106"/>
      </w:tblGrid>
      <w:tr>
        <w:tc>
          <w:tcPr>
            <w:tcW w:type="dxa" w:w="18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81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EXAMPLE — ADAPT TO YOUR CONTENT</w:t>
            </w:r>
          </w:p>
        </w:tc>
      </w:tr>
      <w:tr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Curiosity</w:t>
            </w:r>
          </w:p>
        </w:tc>
        <w:tc>
          <w:tcPr>
            <w:tcW w:type="dxa" w:w="8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The one destination everyone should visit before 2026</w:t>
            </w:r>
          </w:p>
        </w:tc>
      </w:tr>
      <w:tr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Specificity</w:t>
            </w:r>
          </w:p>
        </w:tc>
        <w:tc>
          <w:tcPr>
            <w:tcW w:type="dxa" w:w="8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Last-minute sunshine from £499pp — this week only</w:t>
            </w:r>
          </w:p>
        </w:tc>
      </w:tr>
      <w:tr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Personal</w:t>
            </w:r>
          </w:p>
        </w:tc>
        <w:tc>
          <w:tcPr>
            <w:tcW w:type="dxa" w:w="8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I just got back from Sri Lanka and need to tell you everything</w:t>
            </w:r>
          </w:p>
        </w:tc>
      </w:tr>
      <w:tr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Urgency</w:t>
            </w:r>
          </w:p>
        </w:tc>
        <w:tc>
          <w:tcPr>
            <w:tcW w:type="dxa" w:w="8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Summer 2025 availability — 8 weeks left at this price</w:t>
            </w:r>
          </w:p>
        </w:tc>
      </w:tr>
      <w:tr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Question</w:t>
            </w:r>
          </w:p>
        </w:tc>
        <w:tc>
          <w:tcPr>
            <w:tcW w:type="dxa" w:w="8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Where would you go if money was no object?</w:t>
            </w:r>
          </w:p>
        </w:tc>
      </w:tr>
      <w:tr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Number</w:t>
            </w:r>
          </w:p>
        </w:tc>
        <w:tc>
          <w:tcPr>
            <w:tcW w:type="dxa" w:w="8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7 reasons October is the best time to visit Morocco</w:t>
            </w:r>
          </w:p>
        </w:tc>
      </w:tr>
      <w:tr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Story hook</w:t>
            </w:r>
          </w:p>
        </w:tc>
        <w:tc>
          <w:tcPr>
            <w:tcW w:type="dxa" w:w="8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5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My client nearly missed the trip of a lifetime. Here's why.</w:t>
            </w:r>
          </w:p>
        </w:tc>
      </w:tr>
    </w:tbl>
    <w:p>
      <w:pPr>
        <w:spacing w:before="10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Your subject line ideas for the next three sends: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MONTHLY PLANNER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Your 2-month email calendar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Plan your sends two months ahead. Knowing what you're writing about removes the biggest barrier — deciding what to say.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76"/>
        <w:gridCol w:w="2476"/>
        <w:gridCol w:w="2476"/>
        <w:gridCol w:w="2478"/>
      </w:tblGrid>
      <w:tr>
        <w:tc>
          <w:tcPr>
            <w:tcW w:type="dxa" w:w="247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Send Date</w:t>
            </w:r>
          </w:p>
        </w:tc>
        <w:tc>
          <w:tcPr>
            <w:tcW w:type="dxa" w:w="247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Subject Line (draft)</w:t>
            </w:r>
          </w:p>
        </w:tc>
        <w:tc>
          <w:tcPr>
            <w:tcW w:type="dxa" w:w="247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Main Deal / Destination</w:t>
            </w:r>
          </w:p>
        </w:tc>
        <w:tc>
          <w:tcPr>
            <w:tcW w:type="dxa" w:w="247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7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6C87" w:sz="1"/>
              <w:left w:val="single" w:color="006C87" w:sz="1"/>
              <w:bottom w:val="single" w:color="006C87" w:sz="1"/>
              <w:right w:val="single" w:color="006C87" w:sz="1"/>
            </w:tcBorders>
            <w:shd w:fill="E5F5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💡  Mailchimp stats targets to aim for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Open rate: 25%+ (below 20% = subject lines need work)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Click rate: 3–5%+ (low clicks = content or CTA needs improving)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Unsubscribes: 1–3 per send is normal (sudden spike = content missed the mark)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5925DC"/>
          <w:spacing w:val="100"/>
          <w:sz w:val="18"/>
          <w:szCs w:val="18"/>
        </w:rPr>
        <w:t xml:space="preserve">PRO TIPS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Advanced strategies</w:t>
      </w:r>
    </w:p>
    <w:p>
      <w:pPr>
        <w:pBdr>
          <w:bottom w:val="single" w:color="5925DC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Segment your list from day one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Tag contacts with labels like Honeymoon, Ski, Family, Luxury from the moment you import them.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When your list reaches 200+, segmented campaigns get 50–60% higher open rates.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The content is always relevant, so unsubscribes drop too.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Set up a welcome email automation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In Mailchimp: Automations → Welcome new subscribers.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Create one email that sends automatically the moment someone joins your list.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Welcome emails get 4x the open rate of regular campaigns — subscribers are most engaged at the start.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Repurpose every email as a blog post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After sending, paste your destination story section into a blog post on your Travelgenix website.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Add a title and a few extra sentences. Published. SEO content. Almost no extra effort.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After a year of fortnightly sends, that's 26 blog posts written almost accidentally.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42318" w:sz="1"/>
              <w:left w:val="single" w:color="B42318" w:sz="1"/>
              <w:bottom w:val="single" w:color="B42318" w:sz="1"/>
              <w:right w:val="single" w:color="B42318" w:sz="1"/>
            </w:tcBorders>
            <w:shd w:fill="FEF3F2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42318"/>
                <w:sz w:val="20"/>
                <w:szCs w:val="20"/>
              </w:rPr>
              <w:t xml:space="preserve">🚫  Email mistakes to avoid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Sending more than once a week — feels like spam for most travel businesses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Every email being a hard sell — aim for 80% useful/inspiring, 20% promotional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Sending from a personal Gmail — damages deliverability permanently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Not previewing on mobile — over 60% of emails are read on phones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COMPLETION CHECKLIST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Lesson completion checklist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Tick each item as you complete it.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created my free Mailchimp account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set up my Audience with correct From Name, Reply-To and business address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imported my existing contacts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created a sign-up form and sent the code to my web manager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set up my email template with logo and brand colour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written and sent my first newsletter using the 5-part formula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set a fortnightly calendar reminder for my sending schedule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checked open rate, click rate and unsubscribes after my first send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 have added a sign-up link to my email signature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D2939"/>
          <w:sz w:val="26"/>
          <w:szCs w:val="26"/>
        </w:rPr>
        <w:t xml:space="preserve">Ready for Course 04?</w:t>
      </w:r>
    </w:p>
    <w:p>
      <w:pPr>
        <w:spacing w:before="0" w:after="0"/>
        <w:jc w:val="center"/>
      </w:pPr>
      <w:r>
        <w:rPr>
          <w:rFonts w:ascii="Arial" w:cs="Arial" w:eastAsia="Arial" w:hAnsi="Arial"/>
          <w:i/>
          <w:iCs/>
          <w:color w:val="667085"/>
          <w:sz w:val="21"/>
          <w:szCs w:val="21"/>
        </w:rPr>
        <w:t xml:space="preserve">Next up: WhatsApp Broadcast List — the channel with 85-90% open rates.</w:t>
      </w:r>
    </w:p>
    <w:p>
      <w:pPr>
        <w:spacing w:before="8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9"/>
          <w:szCs w:val="19"/>
        </w:rPr>
        <w:t xml:space="preserve">university.travelgenix.io  ·  www.travelgenix.io</w:t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89AB" w:sz="4" w:space="1"/>
      </w:pBdr>
      <w:tabs>
        <w:tab w:val="right" w:pos="9026"/>
      </w:tabs>
      <w:spacing w:before="80" w:after="0"/>
    </w:pPr>
    <w:r>
      <w:rPr>
        <w:rFonts w:ascii="Arial" w:cs="Arial" w:eastAsia="Arial" w:hAnsi="Arial"/>
        <w:color w:val="0089AB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67085"/>
        <w:sz w:val="16"/>
        <w:szCs w:val="16"/>
      </w:rPr>
      <w:t xml:space="preserve">Page </w:t>
    </w:r>
    <w:r>
      <w:rPr>
        <w:rFonts w:ascii="Arial" w:cs="Arial" w:eastAsia="Arial" w:hAnsi="Arial"/>
        <w:color w:val="6670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89AB" w:sz="4" w:space="1"/>
      </w:pBdr>
      <w:spacing w:before="0" w:after="80"/>
    </w:pPr>
    <w:r>
      <w:rPr>
        <w:rFonts w:ascii="Arial" w:cs="Arial" w:eastAsia="Arial" w:hAnsi="Arial"/>
        <w:color w:val="667085"/>
        <w:sz w:val="16"/>
        <w:szCs w:val="16"/>
      </w:rPr>
      <w:t xml:space="preserve">TRAVELGENIX UNIVERSITY  |  Get Found Online  |  Course 03: Email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  <w:rPr>
        <w:rFonts w:ascii="Arial" w:cs="Arial" w:eastAsia="Arial" w:hAnsi="Arial"/>
        <w:b/>
        <w:bCs/>
        <w:color w:val="006C87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0089AB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0089AB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93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2026-04-01T10:29:51.749Z</dcterms:created>
  <dcterms:modified xsi:type="dcterms:W3CDTF">2026-04-01T10:29:51.750Z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