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FBBFA7"/>
                <w:sz w:val="24"/>
                <w:szCs w:val="24"/>
              </w:rPr>
              <w:t xml:space="preserve">Bonus Social Media Module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Bonus Module 10C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TikTok · LinkedIn · YouTube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Honest platform comparison &amp; decision framework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🤔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Decision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guide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3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Platforms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assessed honestly</w:t>
            </w:r>
          </w:p>
        </w:tc>
        <w:tc>
          <w:tcPr>
            <w:tcW w:type="dxa" w:w="3302"/>
            <w:tcBorders>
              <w:top w:val="single" w:color="FBBFA7" w:sz="1"/>
              <w:left w:val="single" w:color="FBBFA7" w:sz="1"/>
              <w:bottom w:val="single" w:color="FBBFA7" w:sz="1"/>
              <w:right w:val="single" w:color="FBBFA7" w:sz="1"/>
            </w:tcBorders>
            <w:shd w:fill="FEF0E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B53B1A"/>
                <w:sz w:val="22"/>
                <w:szCs w:val="22"/>
              </w:rPr>
              <w:t xml:space="preserve">20 min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read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PLATFORM COMPARISON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The honest facts about all three platforms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This is not a how-to guide. It's a decision framework. Use the tables below to decide whether any of these platforms make sense for your specific business.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600"/>
        <w:gridCol w:w="1600"/>
        <w:gridCol w:w="5106"/>
      </w:tblGrid>
      <w:tr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Factor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TikTok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LinkedIn</w:t>
            </w:r>
          </w:p>
        </w:tc>
        <w:tc>
          <w:tcPr>
            <w:tcW w:type="dxa" w:w="5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YouTube</w:t>
            </w:r>
          </w:p>
        </w:tc>
      </w:tr>
      <w:tr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19"/>
                <w:szCs w:val="19"/>
              </w:rPr>
              <w:t xml:space="preserve">Time commitment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High — daily video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Medium — 2–3 posts/week</w:t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Very high — weekly video + editing</w:t>
            </w:r>
          </w:p>
        </w:tc>
      </w:tr>
      <w:tr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19"/>
                <w:szCs w:val="19"/>
              </w:rPr>
              <w:t xml:space="preserve">Core audience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18–34 primarily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Business professionals</w:t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All ages, research intent</w:t>
            </w:r>
          </w:p>
        </w:tc>
      </w:tr>
      <w:tr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19"/>
                <w:szCs w:val="19"/>
              </w:rPr>
              <w:t xml:space="preserve">Content required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Short video, camera confidence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Professional text + images</w:t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Long-form video, good production</w:t>
            </w:r>
          </w:p>
        </w:tc>
      </w:tr>
      <w:tr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19"/>
                <w:szCs w:val="19"/>
              </w:rPr>
              <w:t xml:space="preserve">Time to results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4–8 weeks with consistency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2–3 months</w:t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6–12 months</w:t>
            </w:r>
          </w:p>
        </w:tc>
      </w:tr>
      <w:tr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53B1A"/>
                <w:sz w:val="19"/>
                <w:szCs w:val="19"/>
              </w:rPr>
              <w:t xml:space="preserve">Right for you if...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On-camera, 35+ clients</w:t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Corporate / B2B focus</w:t>
            </w:r>
          </w:p>
        </w:tc>
        <w:tc>
          <w:tcPr>
            <w:tcW w:type="dxa" w:w="5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Already making video content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QUICK DECISION MATRIX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Match your situation to the right platform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1400"/>
        <w:gridCol w:w="1400"/>
        <w:gridCol w:w="3306"/>
      </w:tblGrid>
      <w:tr>
        <w:tc>
          <w:tcPr>
            <w:tcW w:type="dxa" w:w="2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Your situation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TikTok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LinkedIn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YouTube</w:t>
            </w:r>
          </w:p>
        </w:tc>
        <w:tc>
          <w:tcPr>
            <w:tcW w:type="dxa" w:w="33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Leisure-only travel agent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A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4708"/>
                <w:sz w:val="19"/>
                <w:szCs w:val="19"/>
              </w:rPr>
              <w:t xml:space="preserve">Maybe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75467"/>
                <w:sz w:val="19"/>
                <w:szCs w:val="19"/>
              </w:rPr>
              <w:t xml:space="preserve">Not yet</w:t>
            </w:r>
          </w:p>
        </w:tc>
        <w:tc>
          <w:tcPr>
            <w:tcW w:type="dxa" w:w="33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75467"/>
                <w:sz w:val="18"/>
                <w:szCs w:val="18"/>
              </w:rPr>
              <w:t xml:space="preserve">Focus on Modules 10A + 10B first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Corporate / group travel focus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CFDF3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27A48"/>
                <w:sz w:val="19"/>
                <w:szCs w:val="19"/>
              </w:rPr>
              <w:t xml:space="preserve">Yes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475467"/>
                <w:sz w:val="19"/>
                <w:szCs w:val="19"/>
              </w:rPr>
              <w:t xml:space="preserve">Not yet</w:t>
            </w:r>
          </w:p>
        </w:tc>
        <w:tc>
          <w:tcPr>
            <w:tcW w:type="dxa" w:w="33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75467"/>
                <w:sz w:val="18"/>
                <w:szCs w:val="18"/>
              </w:rPr>
              <w:t xml:space="preserve">LinkedIn is your B2B priority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Comfortable on camera, 35+ clients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A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4708"/>
                <w:sz w:val="19"/>
                <w:szCs w:val="19"/>
              </w:rPr>
              <w:t xml:space="preserve">Maybe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A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4708"/>
                <w:sz w:val="19"/>
                <w:szCs w:val="19"/>
              </w:rPr>
              <w:t xml:space="preserve">Maybe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AE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54708"/>
                <w:sz w:val="19"/>
                <w:szCs w:val="19"/>
              </w:rPr>
              <w:t xml:space="preserve">Maybe</w:t>
            </w:r>
          </w:p>
        </w:tc>
        <w:tc>
          <w:tcPr>
            <w:tcW w:type="dxa" w:w="33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75467"/>
                <w:sz w:val="18"/>
                <w:szCs w:val="18"/>
              </w:rPr>
              <w:t xml:space="preserve">Try TikTok first, then YouTube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Already making video content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CFDF3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27A48"/>
                <w:sz w:val="19"/>
                <w:szCs w:val="19"/>
              </w:rPr>
              <w:t xml:space="preserve">Yes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CFDF3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27A48"/>
                <w:sz w:val="19"/>
                <w:szCs w:val="19"/>
              </w:rPr>
              <w:t xml:space="preserve">Yes</w:t>
            </w:r>
          </w:p>
        </w:tc>
        <w:tc>
          <w:tcPr>
            <w:tcW w:type="dxa" w:w="33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75467"/>
                <w:sz w:val="18"/>
                <w:szCs w:val="18"/>
              </w:rPr>
              <w:t xml:space="preserve">Repurpose video across both</w:t>
            </w:r>
          </w:p>
        </w:tc>
      </w:tr>
      <w:tr>
        <w:tc>
          <w:tcPr>
            <w:tcW w:type="dxa" w:w="2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0E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D2939"/>
                <w:sz w:val="19"/>
                <w:szCs w:val="19"/>
              </w:rPr>
              <w:t xml:space="preserve">Time-limited, want max ROI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EF3F2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Skip</w:t>
            </w:r>
          </w:p>
        </w:tc>
        <w:tc>
          <w:tcPr>
            <w:tcW w:type="dxa" w:w="33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475467"/>
                <w:sz w:val="18"/>
                <w:szCs w:val="18"/>
              </w:rPr>
              <w:t xml:space="preserve">Focus on core 9 courses first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53B1A" w:sz="1"/>
              <w:left w:val="single" w:color="B53B1A" w:sz="1"/>
              <w:bottom w:val="single" w:color="B53B1A" w:sz="1"/>
              <w:right w:val="single" w:color="B53B1A" w:sz="1"/>
            </w:tcBorders>
            <w:shd w:fill="FEF0E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53B1A"/>
                <w:sz w:val="20"/>
                <w:szCs w:val="20"/>
              </w:rPr>
              <w:t xml:space="preserve">💡  The recommended platform priority order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1. Google Business Profile + Reviews (Courses 01–02) — highest impact, free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2. Email + WhatsApp (Courses 03–04) — channels you own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3. Facebook + Instagram (Module 10A) — trust and credibility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4. Pinterest (Module 10B) — long-term search traffic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5. Paid channels (Courses 06–09) — when ready to invest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TikTok / LinkedIn / YouTube are situational additions — not essentials.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E05C2E"/>
          <w:spacing w:val="100"/>
          <w:sz w:val="18"/>
          <w:szCs w:val="18"/>
        </w:rPr>
        <w:t xml:space="preserve">MY DECISION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Record your platform decisions here</w:t>
      </w:r>
    </w:p>
    <w:p>
      <w:pPr>
        <w:pBdr>
          <w:bottom w:val="single" w:color="E05C2E" w:sz="6" w:space="1"/>
        </w:pBdr>
        <w:spacing w:before="40" w:after="160"/>
      </w:pPr>
      <w:r>
        <w:t xml:space="preserve"/>
      </w:r>
    </w:p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TikTok — my decision and reasoning: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LinkedIn — my decision and reasoning: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YouTube — my decision and reasoning: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If I start any of these, my 90-day commitment looks like: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pPr>
        <w:spacing w:before="12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05C2E" w:sz="1"/>
              <w:left w:val="single" w:color="E05C2E" w:sz="1"/>
              <w:bottom w:val="single" w:color="E05C2E" w:sz="1"/>
              <w:right w:val="single" w:color="E05C2E" w:sz="1"/>
            </w:tcBorders>
            <w:shd w:fill="1A2B3C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FBBFA7"/>
                <w:sz w:val="24"/>
                <w:szCs w:val="24"/>
              </w:rPr>
              <w:t xml:space="preserve">"The best marketing strategy isn't the one that uses the most channels.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FBBFA7"/>
                <w:sz w:val="24"/>
                <w:szCs w:val="24"/>
              </w:rPr>
              <w:t xml:space="preserve">It's the one you can sustain consistently — and that puts the right message</w:t>
            </w:r>
          </w:p>
          <w:p>
            <w:pPr>
              <w:spacing w:before="0" w:after="80"/>
              <w:jc w:val="center"/>
            </w:pPr>
            <w:r>
              <w:rPr>
                <w:rFonts w:ascii="Arial" w:cs="Arial" w:eastAsia="Arial" w:hAnsi="Arial"/>
                <w:i/>
                <w:iCs/>
                <w:color w:val="FBBFA7"/>
                <w:sz w:val="24"/>
                <w:szCs w:val="24"/>
              </w:rPr>
              <w:t xml:space="preserve">in front of the right people at the right moment."</w:t>
            </w:r>
          </w:p>
          <w:p>
            <w:pPr>
              <w:spacing w:before="80" w:after="0"/>
              <w:jc w:val="center"/>
            </w:pPr>
            <w:r>
              <w:rPr>
                <w:rFonts w:ascii="Arial" w:cs="Arial" w:eastAsia="Arial" w:hAnsi="Arial"/>
                <w:color w:val="98A2B3"/>
                <w:sz w:val="19"/>
                <w:szCs w:val="19"/>
              </w:rPr>
              <w:t xml:space="preserve">university.travelgenix.io  ·  www.travelgenix.io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5C2E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E05C2E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5C2E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Bonus Social Media  |  Module 10C: TikTok · LinkedIn · YouTube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E05C2E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E05C2E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2026-04-01T11:43:11.276Z</dcterms:created>
  <dcterms:modified xsi:type="dcterms:W3CDTF">2026-04-01T11:43:11.276Z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