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8DF92" w14:textId="77777777" w:rsidR="000D026E" w:rsidRDefault="005C3F90">
      <w:pPr>
        <w:spacing w:after="120"/>
        <w:jc w:val="center"/>
      </w:pPr>
      <w:r>
        <w:rPr>
          <w:noProof/>
        </w:rPr>
        <w:pict w14:anchorId="25B769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M37 Advisory logo" style="width:91.2pt;height:49pt;visibility:visible;mso-wrap-style:square;mso-width-percent:0;mso-height-percent:0;mso-width-percent:0;mso-height-percent:0">
            <v:imagedata r:id="rId7" o:title="M37 Advisory logo"/>
          </v:shape>
        </w:pict>
      </w:r>
    </w:p>
    <w:p w14:paraId="09D5A5D4" w14:textId="77777777" w:rsidR="000D026E" w:rsidRDefault="00000000">
      <w:pPr>
        <w:spacing w:after="120"/>
        <w:jc w:val="center"/>
      </w:pPr>
      <w:r>
        <w:rPr>
          <w:rFonts w:ascii="Georgia" w:hAnsi="Georgia"/>
          <w:b/>
          <w:bCs/>
          <w:color w:val="000000"/>
          <w:sz w:val="52"/>
          <w:szCs w:val="52"/>
        </w:rPr>
        <w:t>PATENT 300 ANALYSIS 2026:</w:t>
      </w:r>
    </w:p>
    <w:p w14:paraId="64477BEC" w14:textId="77777777" w:rsidR="000D026E" w:rsidRDefault="00000000">
      <w:pPr>
        <w:spacing w:after="360"/>
        <w:jc w:val="center"/>
      </w:pPr>
      <w:r>
        <w:rPr>
          <w:rFonts w:ascii="Georgia" w:hAnsi="Georgia"/>
          <w:i/>
          <w:iCs/>
          <w:color w:val="666666"/>
          <w:sz w:val="28"/>
          <w:szCs w:val="28"/>
        </w:rPr>
        <w:t>The Innovation Landscape is Shifting</w:t>
      </w:r>
    </w:p>
    <w:p w14:paraId="2569F8A2" w14:textId="77777777" w:rsidR="000D026E" w:rsidRDefault="000D026E">
      <w:pPr>
        <w:pStyle w:val="Metadata"/>
        <w:spacing w:after="0"/>
      </w:pPr>
      <w:hyperlink r:id="rId8">
        <w:r>
          <w:rPr>
            <w:rFonts w:ascii="Georgia" w:hAnsi="Georgia"/>
            <w:color w:val="0066CC"/>
            <w:u w:val="single"/>
          </w:rPr>
          <w:t>Joe Batista</w:t>
        </w:r>
      </w:hyperlink>
      <w:r>
        <w:rPr>
          <w:rFonts w:ascii="Georgia" w:hAnsi="Georgia"/>
        </w:rPr>
        <w:t xml:space="preserve"> | Innovation &amp; Growth | January 2026 | 12 min read</w:t>
      </w:r>
    </w:p>
    <w:p w14:paraId="6D7427E7" w14:textId="77777777" w:rsidR="000D026E" w:rsidRDefault="00000000">
      <w:pPr>
        <w:spacing w:after="240"/>
        <w:jc w:val="center"/>
      </w:pPr>
      <w:r>
        <w:rPr>
          <w:rFonts w:ascii="Georgia" w:hAnsi="Georgia"/>
          <w:color w:val="666666"/>
          <w:sz w:val="20"/>
          <w:szCs w:val="20"/>
        </w:rPr>
        <w:t xml:space="preserve">Share: </w:t>
      </w:r>
      <w:hyperlink r:id="rId9">
        <w:r w:rsidR="000D026E">
          <w:rPr>
            <w:rFonts w:ascii="Georgia" w:hAnsi="Georgia"/>
            <w:color w:val="E67E22"/>
            <w:sz w:val="20"/>
            <w:szCs w:val="20"/>
            <w:u w:val="single"/>
          </w:rPr>
          <w:t>LinkedIn</w:t>
        </w:r>
      </w:hyperlink>
      <w:r>
        <w:rPr>
          <w:rFonts w:ascii="Georgia" w:hAnsi="Georgia"/>
          <w:color w:val="666666"/>
          <w:sz w:val="20"/>
          <w:szCs w:val="20"/>
        </w:rPr>
        <w:t xml:space="preserve"> | </w:t>
      </w:r>
      <w:hyperlink r:id="rId10">
        <w:r w:rsidR="000D026E">
          <w:rPr>
            <w:rFonts w:ascii="Georgia" w:hAnsi="Georgia"/>
            <w:color w:val="E67E22"/>
            <w:sz w:val="20"/>
            <w:szCs w:val="20"/>
            <w:u w:val="single"/>
          </w:rPr>
          <w:t>X</w:t>
        </w:r>
      </w:hyperlink>
      <w:r>
        <w:rPr>
          <w:rFonts w:ascii="Georgia" w:hAnsi="Georgia"/>
          <w:color w:val="666666"/>
          <w:sz w:val="20"/>
          <w:szCs w:val="20"/>
        </w:rPr>
        <w:t xml:space="preserve"> | </w:t>
      </w:r>
      <w:hyperlink r:id="rId11">
        <w:r w:rsidR="000D026E">
          <w:rPr>
            <w:rFonts w:ascii="Georgia" w:hAnsi="Georgia"/>
            <w:color w:val="E67E22"/>
            <w:sz w:val="20"/>
            <w:szCs w:val="20"/>
            <w:u w:val="single"/>
          </w:rPr>
          <w:t>Facebook</w:t>
        </w:r>
      </w:hyperlink>
    </w:p>
    <w:tbl>
      <w:tblPr>
        <w:tblW w:w="5000" w:type="pct"/>
        <w:tblLayout w:type="fixed"/>
        <w:tblCellMar>
          <w:top w:w="200" w:type="dxa"/>
          <w:left w:w="200" w:type="dxa"/>
          <w:bottom w:w="200" w:type="dxa"/>
          <w:right w:w="200" w:type="dxa"/>
        </w:tblCellMar>
        <w:tblLook w:val="04A0" w:firstRow="1" w:lastRow="0" w:firstColumn="1" w:lastColumn="0" w:noHBand="0" w:noVBand="1"/>
      </w:tblPr>
      <w:tblGrid>
        <w:gridCol w:w="11200"/>
      </w:tblGrid>
      <w:tr w:rsidR="000D026E" w14:paraId="35C02427" w14:textId="77777777">
        <w:tc>
          <w:tcPr>
            <w:tcW w:w="10800" w:type="dxa"/>
            <w:tcBorders>
              <w:top w:val="single" w:sz="2" w:space="0" w:color="1B4D89"/>
              <w:left w:val="single" w:sz="2" w:space="0" w:color="1B4D89"/>
              <w:bottom w:val="single" w:sz="2" w:space="0" w:color="1B4D89"/>
              <w:right w:val="single" w:sz="2" w:space="0" w:color="1B4D89"/>
            </w:tcBorders>
            <w:shd w:val="clear" w:color="auto" w:fill="D5E8F0"/>
          </w:tcPr>
          <w:p w14:paraId="1C2BCCF2" w14:textId="77777777" w:rsidR="000D026E" w:rsidRDefault="00000000">
            <w:pPr>
              <w:spacing w:after="180"/>
              <w:rPr>
                <w:rFonts w:ascii="Garamond" w:hAnsi="Garamond"/>
              </w:rPr>
            </w:pPr>
            <w:r>
              <w:rPr>
                <w:rFonts w:ascii="Garamond" w:hAnsi="Garamond"/>
                <w:b/>
                <w:bCs/>
                <w:color w:val="1B4D89"/>
                <w:sz w:val="26"/>
                <w:szCs w:val="26"/>
              </w:rPr>
              <w:t>KEY TAKEAWAYS</w:t>
            </w:r>
          </w:p>
          <w:p w14:paraId="57621556" w14:textId="77777777" w:rsidR="000D026E" w:rsidRDefault="00000000">
            <w:pPr>
              <w:pStyle w:val="ListParagraph"/>
              <w:numPr>
                <w:ilvl w:val="0"/>
                <w:numId w:val="5"/>
              </w:numPr>
              <w:spacing w:after="120"/>
              <w:rPr>
                <w:rFonts w:ascii="Garamond" w:hAnsi="Garamond"/>
              </w:rPr>
            </w:pPr>
            <w:r>
              <w:rPr>
                <w:rFonts w:ascii="Garamond" w:hAnsi="Garamond"/>
              </w:rPr>
              <w:t>Asian companies dominate the top 7 positions with Samsung Electronics leading at 7,519 patents (up 12%)</w:t>
            </w:r>
          </w:p>
          <w:p w14:paraId="68D971A3" w14:textId="77777777" w:rsidR="000D026E" w:rsidRDefault="00000000">
            <w:pPr>
              <w:pStyle w:val="ListParagraph"/>
              <w:numPr>
                <w:ilvl w:val="0"/>
                <w:numId w:val="1"/>
              </w:numPr>
              <w:spacing w:after="120"/>
              <w:rPr>
                <w:rFonts w:ascii="Garamond" w:hAnsi="Garamond"/>
              </w:rPr>
            </w:pPr>
            <w:r>
              <w:rPr>
                <w:rFonts w:ascii="Garamond" w:hAnsi="Garamond"/>
              </w:rPr>
              <w:t>U.S. tech giants in retreat: Apple (-8%), IBM (-11%), Alphabet (-13%)</w:t>
            </w:r>
          </w:p>
          <w:p w14:paraId="78E95B8B" w14:textId="77777777" w:rsidR="000D026E" w:rsidRDefault="00000000">
            <w:pPr>
              <w:pStyle w:val="ListParagraph"/>
              <w:numPr>
                <w:ilvl w:val="0"/>
                <w:numId w:val="1"/>
              </w:numPr>
              <w:spacing w:after="120"/>
              <w:rPr>
                <w:rFonts w:ascii="Garamond" w:hAnsi="Garamond"/>
              </w:rPr>
            </w:pPr>
            <w:r>
              <w:rPr>
                <w:rFonts w:ascii="Garamond" w:hAnsi="Garamond"/>
              </w:rPr>
              <w:t>Automotive sector surging with Toyota (+19%), Hyundai (+21%), GM (+19%) driven by EV innovation</w:t>
            </w:r>
          </w:p>
          <w:p w14:paraId="2B69E1D4" w14:textId="77777777" w:rsidR="000D026E" w:rsidRDefault="00000000">
            <w:pPr>
              <w:pStyle w:val="ListParagraph"/>
              <w:numPr>
                <w:ilvl w:val="0"/>
                <w:numId w:val="1"/>
              </w:numPr>
              <w:spacing w:after="120"/>
              <w:rPr>
                <w:rFonts w:ascii="Garamond" w:hAnsi="Garamond"/>
              </w:rPr>
            </w:pPr>
            <w:r>
              <w:rPr>
                <w:rFonts w:ascii="Garamond" w:hAnsi="Garamond"/>
              </w:rPr>
              <w:t>Platform companies (Tesla, OpenAI, Netflix) absent competing through speed and secrecy, not patents</w:t>
            </w:r>
          </w:p>
          <w:p w14:paraId="18093EEF" w14:textId="77777777" w:rsidR="000D026E" w:rsidRDefault="00000000">
            <w:pPr>
              <w:pStyle w:val="ListParagraph"/>
              <w:numPr>
                <w:ilvl w:val="0"/>
                <w:numId w:val="1"/>
              </w:numPr>
              <w:rPr>
                <w:rFonts w:ascii="Garamond" w:hAnsi="Garamond"/>
              </w:rPr>
            </w:pPr>
            <w:r>
              <w:rPr>
                <w:rFonts w:ascii="Garamond" w:hAnsi="Garamond"/>
              </w:rPr>
              <w:t>Battery and display tech exploding: LG Energy Solution (+50%), BOE (+19%), Samsung Display (+11%)</w:t>
            </w:r>
          </w:p>
        </w:tc>
      </w:tr>
    </w:tbl>
    <w:p w14:paraId="2737B107" w14:textId="77777777" w:rsidR="000D026E" w:rsidRDefault="000D026E">
      <w:pPr>
        <w:spacing w:after="360"/>
        <w:rPr>
          <w:rFonts w:ascii="Garamond" w:hAnsi="Garamond"/>
        </w:rPr>
      </w:pPr>
    </w:p>
    <w:p w14:paraId="1E8F309D" w14:textId="77777777" w:rsidR="000D026E" w:rsidRPr="00D93F53" w:rsidRDefault="00000000" w:rsidP="00D93F53">
      <w:pPr>
        <w:jc w:val="center"/>
        <w:rPr>
          <w:rFonts w:ascii="Garamond" w:hAnsi="Garamond"/>
          <w:i/>
          <w:iCs/>
          <w:color w:val="EE8429"/>
          <w:sz w:val="40"/>
          <w:szCs w:val="40"/>
        </w:rPr>
      </w:pPr>
      <w:r w:rsidRPr="00D93F53">
        <w:rPr>
          <w:rFonts w:ascii="Garamond" w:hAnsi="Garamond"/>
          <w:i/>
          <w:iCs/>
          <w:color w:val="EE8429"/>
          <w:sz w:val="40"/>
          <w:szCs w:val="40"/>
        </w:rPr>
        <w:t>"The gap between patent leaders and everyone else is widening, not stabilizing. The middle ground is vanishing, and the cost of indecision compounds quarterly."</w:t>
      </w:r>
    </w:p>
    <w:p w14:paraId="7648AD0E" w14:textId="77777777" w:rsidR="000D026E" w:rsidRPr="00D93F53" w:rsidRDefault="00000000">
      <w:pPr>
        <w:pStyle w:val="Heading1"/>
        <w:rPr>
          <w:rFonts w:ascii="Garamond" w:hAnsi="Garamond"/>
          <w:color w:val="EE8429"/>
        </w:rPr>
      </w:pPr>
      <w:r w:rsidRPr="00D93F53">
        <w:rPr>
          <w:rFonts w:ascii="Garamond" w:hAnsi="Garamond"/>
          <w:color w:val="EE8429"/>
        </w:rPr>
        <w:t xml:space="preserve">Personal Journey </w:t>
      </w:r>
    </w:p>
    <w:p w14:paraId="5D23F0DD" w14:textId="77777777" w:rsidR="000D026E" w:rsidRDefault="00000000">
      <w:pPr>
        <w:spacing w:after="240" w:line="360" w:lineRule="auto"/>
        <w:rPr>
          <w:rFonts w:ascii="Garamond" w:hAnsi="Garamond"/>
          <w:sz w:val="24"/>
          <w:szCs w:val="24"/>
        </w:rPr>
      </w:pPr>
      <w:r>
        <w:rPr>
          <w:rFonts w:ascii="Garamond" w:hAnsi="Garamond"/>
          <w:sz w:val="24"/>
          <w:szCs w:val="24"/>
        </w:rPr>
        <w:t>The Intellectual Property Owners Association (IPO) has published this annual report for over 40 years, and I have made it a point every January to review the data for the last 25 years to glean some insights for my conversations with clients around innovation and growth. In 2018 I used this data to make a career change it wasn’t the sole data point in my decision but noticed that my former employer who consistently ranked in the top 25 was being surpassed by another company who today in the latest Patent 300 is number 10, DELL Technologies.</w:t>
      </w:r>
    </w:p>
    <w:p w14:paraId="46DC3503" w14:textId="77777777" w:rsidR="000D026E" w:rsidRDefault="00000000">
      <w:pPr>
        <w:spacing w:after="240" w:line="360" w:lineRule="auto"/>
        <w:rPr>
          <w:rFonts w:ascii="Garamond" w:hAnsi="Garamond"/>
          <w:sz w:val="24"/>
          <w:szCs w:val="24"/>
        </w:rPr>
      </w:pPr>
      <w:r>
        <w:rPr>
          <w:rFonts w:ascii="Garamond" w:hAnsi="Garamond"/>
          <w:sz w:val="24"/>
          <w:szCs w:val="24"/>
        </w:rPr>
        <w:t xml:space="preserve">So, my objective for this short research piece is to offer my observations, insights but more importantly some guidance on what it means to every employee of a major firm to executives and board members. </w:t>
      </w:r>
    </w:p>
    <w:p w14:paraId="08EA8F0E" w14:textId="77777777" w:rsidR="000D026E" w:rsidRDefault="00000000">
      <w:pPr>
        <w:spacing w:after="240" w:line="360" w:lineRule="auto"/>
        <w:rPr>
          <w:rFonts w:ascii="Garamond" w:hAnsi="Garamond"/>
          <w:sz w:val="24"/>
          <w:szCs w:val="24"/>
        </w:rPr>
      </w:pPr>
      <w:r>
        <w:rPr>
          <w:rFonts w:ascii="Garamond" w:hAnsi="Garamond"/>
          <w:sz w:val="24"/>
          <w:szCs w:val="24"/>
        </w:rPr>
        <w:t>The 2026 Patent 300 list reveals a fundamental realignment in global innovation, with clear winners and losers emerging across industries and geographies. The data tells a story of Asian manufacturing dominance, American tech decline, and surprising sector surges that should concern every executive and employee tracking competitive positioning.</w:t>
      </w:r>
    </w:p>
    <w:p w14:paraId="297ED332" w14:textId="77777777" w:rsidR="000D026E" w:rsidRDefault="000D026E">
      <w:pPr>
        <w:pStyle w:val="Heading1"/>
        <w:rPr>
          <w:rFonts w:ascii="Garamond" w:hAnsi="Garamond"/>
        </w:rPr>
      </w:pPr>
    </w:p>
    <w:p w14:paraId="0178E71B" w14:textId="77777777" w:rsidR="000D026E" w:rsidRPr="00D93F53" w:rsidRDefault="00000000">
      <w:pPr>
        <w:pStyle w:val="Heading1"/>
        <w:rPr>
          <w:rFonts w:ascii="Garamond" w:hAnsi="Garamond"/>
          <w:color w:val="EE8429"/>
        </w:rPr>
      </w:pPr>
      <w:r w:rsidRPr="00D93F53">
        <w:rPr>
          <w:rFonts w:ascii="Garamond" w:hAnsi="Garamond"/>
          <w:color w:val="EE8429"/>
        </w:rPr>
        <w:lastRenderedPageBreak/>
        <w:t>Key Observations</w:t>
      </w:r>
    </w:p>
    <w:p w14:paraId="1646A44B" w14:textId="77777777" w:rsidR="000D026E" w:rsidRDefault="000D026E">
      <w:pPr>
        <w:rPr>
          <w:rFonts w:ascii="Garamond" w:hAnsi="Garamond"/>
        </w:rPr>
      </w:pPr>
    </w:p>
    <w:p w14:paraId="2F198E8A" w14:textId="77777777" w:rsidR="000D026E" w:rsidRDefault="00000000">
      <w:pPr>
        <w:spacing w:after="240" w:line="360" w:lineRule="auto"/>
        <w:rPr>
          <w:rFonts w:ascii="Garamond" w:hAnsi="Garamond"/>
          <w:sz w:val="24"/>
          <w:szCs w:val="24"/>
        </w:rPr>
      </w:pPr>
      <w:r>
        <w:rPr>
          <w:rFonts w:ascii="Garamond" w:hAnsi="Garamond"/>
          <w:b/>
          <w:bCs/>
          <w:sz w:val="24"/>
          <w:szCs w:val="24"/>
        </w:rPr>
        <w:t>Asian companies now occupy the top seven positions</w:t>
      </w:r>
      <w:r>
        <w:rPr>
          <w:rFonts w:ascii="Garamond" w:hAnsi="Garamond"/>
          <w:sz w:val="24"/>
          <w:szCs w:val="24"/>
        </w:rPr>
        <w:t>, led by Samsung Electronics with 7,519 patents—a 12% year-over-year increase. Taiwan Semiconductor Manufacturing Co., Qualcomm, Huawei, Canon, Samsung Display, and Toyota round out this commanding lead. This isn't just dominance; it's acceleration.</w:t>
      </w:r>
    </w:p>
    <w:p w14:paraId="027E1971" w14:textId="77777777" w:rsidR="000D026E" w:rsidRDefault="00000000">
      <w:pPr>
        <w:spacing w:after="240" w:line="360" w:lineRule="auto"/>
        <w:rPr>
          <w:rFonts w:ascii="Garamond" w:hAnsi="Garamond"/>
          <w:sz w:val="24"/>
          <w:szCs w:val="24"/>
        </w:rPr>
      </w:pPr>
      <w:r>
        <w:rPr>
          <w:rFonts w:ascii="Garamond" w:hAnsi="Garamond"/>
          <w:sz w:val="24"/>
          <w:szCs w:val="24"/>
        </w:rPr>
        <w:t xml:space="preserve">Meanwhile, </w:t>
      </w:r>
      <w:r>
        <w:rPr>
          <w:rFonts w:ascii="Garamond" w:hAnsi="Garamond"/>
          <w:b/>
          <w:bCs/>
          <w:sz w:val="24"/>
          <w:szCs w:val="24"/>
        </w:rPr>
        <w:t>traditional U.S. tech giants are in retreat</w:t>
      </w:r>
      <w:r>
        <w:rPr>
          <w:rFonts w:ascii="Garamond" w:hAnsi="Garamond"/>
          <w:sz w:val="24"/>
          <w:szCs w:val="24"/>
        </w:rPr>
        <w:t>. Apple dropped 8%, IBM fell 11%, and Alphabet decreased 13% in patent grants. This represents more than quarterly fluctuations—it signals a strategic repositioning away from volume patenting or, more concerning, a slowdown in protectable innovation.</w:t>
      </w:r>
    </w:p>
    <w:p w14:paraId="3AA2C2F4" w14:textId="77777777" w:rsidR="000D026E" w:rsidRDefault="00000000">
      <w:pPr>
        <w:spacing w:after="240" w:line="360" w:lineRule="auto"/>
        <w:rPr>
          <w:rFonts w:ascii="Garamond" w:hAnsi="Garamond"/>
          <w:sz w:val="24"/>
          <w:szCs w:val="24"/>
        </w:rPr>
      </w:pPr>
      <w:r>
        <w:rPr>
          <w:rFonts w:ascii="Garamond" w:hAnsi="Garamond"/>
          <w:b/>
          <w:bCs/>
          <w:sz w:val="24"/>
          <w:szCs w:val="24"/>
        </w:rPr>
        <w:t>Resurgence of Corporate Innovators</w:t>
      </w:r>
      <w:r>
        <w:rPr>
          <w:rFonts w:ascii="Garamond" w:hAnsi="Garamond"/>
          <w:sz w:val="24"/>
          <w:szCs w:val="24"/>
        </w:rPr>
        <w:t xml:space="preserve">, </w:t>
      </w:r>
      <w:r>
        <w:rPr>
          <w:rFonts w:ascii="Garamond" w:hAnsi="Garamond"/>
          <w:b/>
          <w:bCs/>
          <w:sz w:val="24"/>
          <w:szCs w:val="24"/>
        </w:rPr>
        <w:t>Dell Technologies</w:t>
      </w:r>
      <w:r>
        <w:rPr>
          <w:rFonts w:ascii="Garamond" w:hAnsi="Garamond"/>
          <w:sz w:val="24"/>
          <w:szCs w:val="24"/>
        </w:rPr>
        <w:t> jumped into the top 10 with a </w:t>
      </w:r>
      <w:r>
        <w:rPr>
          <w:rFonts w:ascii="Garamond" w:hAnsi="Garamond"/>
          <w:b/>
          <w:bCs/>
          <w:sz w:val="24"/>
          <w:szCs w:val="24"/>
        </w:rPr>
        <w:t>~38% increase</w:t>
      </w:r>
      <w:r>
        <w:rPr>
          <w:rFonts w:ascii="Garamond" w:hAnsi="Garamond"/>
          <w:sz w:val="24"/>
          <w:szCs w:val="24"/>
        </w:rPr>
        <w:t xml:space="preserve"> in patents.  </w:t>
      </w:r>
      <w:r>
        <w:rPr>
          <w:rFonts w:ascii="Garamond" w:hAnsi="Garamond"/>
          <w:b/>
          <w:bCs/>
          <w:sz w:val="24"/>
          <w:szCs w:val="24"/>
        </w:rPr>
        <w:t>This suggests:</w:t>
      </w:r>
      <w:r>
        <w:rPr>
          <w:rFonts w:ascii="Garamond" w:hAnsi="Garamond"/>
          <w:sz w:val="24"/>
          <w:szCs w:val="24"/>
        </w:rPr>
        <w:t> Strategic reinvestment in IP, possibly tied to infrastructure, cloud, and edge computing tech</w:t>
      </w:r>
    </w:p>
    <w:p w14:paraId="111DE400" w14:textId="77777777" w:rsidR="000D026E" w:rsidRDefault="00000000">
      <w:pPr>
        <w:spacing w:after="240" w:line="360" w:lineRule="auto"/>
        <w:rPr>
          <w:rFonts w:ascii="Garamond" w:hAnsi="Garamond"/>
          <w:sz w:val="24"/>
          <w:szCs w:val="24"/>
        </w:rPr>
      </w:pPr>
      <w:r>
        <w:rPr>
          <w:rFonts w:ascii="Garamond" w:hAnsi="Garamond"/>
          <w:b/>
          <w:bCs/>
          <w:sz w:val="24"/>
          <w:szCs w:val="24"/>
        </w:rPr>
        <w:t>The automotive sector is experiencing an innovation explosion</w:t>
      </w:r>
      <w:r>
        <w:rPr>
          <w:rFonts w:ascii="Garamond" w:hAnsi="Garamond"/>
          <w:sz w:val="24"/>
          <w:szCs w:val="24"/>
        </w:rPr>
        <w:t>. Toyota jumped 19%, Hyundai rose 21%, and General Motors increased 19%, driven by the intense race around electric vehicles and autonomous driving systems. These aren't incremental gains; they reflect existential investments in reinvention.</w:t>
      </w:r>
    </w:p>
    <w:p w14:paraId="42C07C29" w14:textId="77777777" w:rsidR="000D026E" w:rsidRDefault="00000000">
      <w:pPr>
        <w:spacing w:after="240" w:line="360" w:lineRule="auto"/>
        <w:rPr>
          <w:rFonts w:ascii="Garamond" w:hAnsi="Garamond"/>
          <w:sz w:val="24"/>
          <w:szCs w:val="24"/>
        </w:rPr>
      </w:pPr>
      <w:r>
        <w:rPr>
          <w:rFonts w:ascii="Garamond" w:hAnsi="Garamond"/>
          <w:sz w:val="24"/>
          <w:szCs w:val="24"/>
        </w:rPr>
        <w:t xml:space="preserve">Perhaps most striking are the </w:t>
      </w:r>
      <w:r>
        <w:rPr>
          <w:rFonts w:ascii="Garamond" w:hAnsi="Garamond"/>
          <w:b/>
          <w:bCs/>
          <w:sz w:val="24"/>
          <w:szCs w:val="24"/>
        </w:rPr>
        <w:t>companies conspicuously absent from the list.</w:t>
      </w:r>
      <w:r>
        <w:rPr>
          <w:rFonts w:ascii="Garamond" w:hAnsi="Garamond"/>
          <w:sz w:val="24"/>
          <w:szCs w:val="24"/>
        </w:rPr>
        <w:t xml:space="preserve"> Tesla, SpaceX, OpenAI, Netflix, and most platform businesses don't appear, suggesting they compete through speed, trade secrets, and network effects rather than patent portfolios. This absence may be as strategically valid as presence, but it represents a fundamentally different competitive playbook.</w:t>
      </w:r>
    </w:p>
    <w:p w14:paraId="6D681885" w14:textId="77777777" w:rsidR="000D026E" w:rsidRDefault="00000000">
      <w:pPr>
        <w:spacing w:after="360" w:line="360" w:lineRule="auto"/>
        <w:rPr>
          <w:rFonts w:ascii="Garamond" w:hAnsi="Garamond"/>
          <w:sz w:val="24"/>
          <w:szCs w:val="24"/>
        </w:rPr>
      </w:pPr>
      <w:r>
        <w:rPr>
          <w:rFonts w:ascii="Garamond" w:hAnsi="Garamond"/>
          <w:b/>
          <w:bCs/>
          <w:sz w:val="24"/>
          <w:szCs w:val="24"/>
        </w:rPr>
        <w:t>Battery and display technology companies are surging</w:t>
      </w:r>
      <w:r>
        <w:rPr>
          <w:rFonts w:ascii="Garamond" w:hAnsi="Garamond"/>
          <w:sz w:val="24"/>
          <w:szCs w:val="24"/>
        </w:rPr>
        <w:t>, with LG Energy Solution up 50%, BOE Technology growing 19%, and Samsung Display increasing 11%. These enabling technologies are where the real value creation is happening, powering everything from smartphones to electric vehicles.</w:t>
      </w:r>
    </w:p>
    <w:p w14:paraId="4D81882C" w14:textId="77777777" w:rsidR="000D026E" w:rsidRPr="00D93F53" w:rsidRDefault="00000000">
      <w:pPr>
        <w:pStyle w:val="Heading1"/>
        <w:rPr>
          <w:rFonts w:ascii="Garamond" w:hAnsi="Garamond"/>
          <w:color w:val="EE8429"/>
        </w:rPr>
      </w:pPr>
      <w:r w:rsidRPr="00D93F53">
        <w:rPr>
          <w:rFonts w:ascii="Garamond" w:hAnsi="Garamond"/>
          <w:color w:val="EE8429"/>
        </w:rPr>
        <w:t>Smaller Nuances</w:t>
      </w:r>
    </w:p>
    <w:p w14:paraId="7D51E25D" w14:textId="77777777" w:rsidR="000D026E" w:rsidRDefault="000D026E">
      <w:pPr>
        <w:rPr>
          <w:rFonts w:ascii="Garamond" w:hAnsi="Garamond"/>
        </w:rPr>
      </w:pPr>
    </w:p>
    <w:p w14:paraId="4965F695" w14:textId="77777777" w:rsidR="000D026E" w:rsidRDefault="00000000">
      <w:pPr>
        <w:spacing w:afterAutospacing="1" w:line="360" w:lineRule="auto"/>
        <w:rPr>
          <w:rFonts w:ascii="Garamond" w:hAnsi="Garamond"/>
          <w:sz w:val="24"/>
          <w:szCs w:val="24"/>
        </w:rPr>
      </w:pPr>
      <w:r>
        <w:rPr>
          <w:rFonts w:ascii="Garamond" w:hAnsi="Garamond"/>
          <w:b/>
          <w:bCs/>
          <w:sz w:val="24"/>
          <w:szCs w:val="24"/>
        </w:rPr>
        <w:t>Memory chip companies struggling</w:t>
      </w:r>
      <w:r>
        <w:rPr>
          <w:rFonts w:ascii="Garamond" w:hAnsi="Garamond"/>
          <w:sz w:val="24"/>
          <w:szCs w:val="24"/>
        </w:rPr>
        <w:t> - Micron dropped 25%, Kioxia fell 22%, and Brother Industries decreased 30%, suggesting challenges in traditional memory markets.</w:t>
      </w:r>
    </w:p>
    <w:p w14:paraId="67B18213" w14:textId="77777777" w:rsidR="000D026E" w:rsidRDefault="00000000">
      <w:pPr>
        <w:spacing w:afterAutospacing="1" w:line="360" w:lineRule="auto"/>
        <w:rPr>
          <w:rFonts w:ascii="Garamond" w:hAnsi="Garamond"/>
          <w:sz w:val="24"/>
          <w:szCs w:val="24"/>
        </w:rPr>
      </w:pPr>
      <w:r>
        <w:rPr>
          <w:rFonts w:ascii="Garamond" w:hAnsi="Garamond"/>
          <w:b/>
          <w:bCs/>
          <w:sz w:val="24"/>
          <w:szCs w:val="24"/>
        </w:rPr>
        <w:t>Financial services retreating</w:t>
      </w:r>
      <w:r>
        <w:rPr>
          <w:rFonts w:ascii="Garamond" w:hAnsi="Garamond"/>
          <w:sz w:val="24"/>
          <w:szCs w:val="24"/>
        </w:rPr>
        <w:t> - Wells Fargo down 22%, PayPal down 34%, USAA down 38%, and Capital One down 13%, indicating these firms may be scaling back patent filings.</w:t>
      </w:r>
    </w:p>
    <w:p w14:paraId="1FD80BD7" w14:textId="77777777" w:rsidR="000D026E" w:rsidRDefault="00000000">
      <w:pPr>
        <w:spacing w:afterAutospacing="1" w:line="360" w:lineRule="auto"/>
        <w:rPr>
          <w:rFonts w:ascii="Garamond" w:hAnsi="Garamond"/>
          <w:sz w:val="24"/>
          <w:szCs w:val="24"/>
        </w:rPr>
      </w:pPr>
      <w:r>
        <w:rPr>
          <w:rFonts w:ascii="Garamond" w:hAnsi="Garamond"/>
          <w:b/>
          <w:bCs/>
          <w:sz w:val="24"/>
          <w:szCs w:val="24"/>
        </w:rPr>
        <w:t>Surprising newcomers with explosive growth</w:t>
      </w:r>
      <w:r>
        <w:rPr>
          <w:rFonts w:ascii="Garamond" w:hAnsi="Garamond"/>
          <w:sz w:val="24"/>
          <w:szCs w:val="24"/>
        </w:rPr>
        <w:t> - Imam Mohammad Ibn Saud Islamic University up 562%, Corteva up 179%, Honor Device up 136%, and Digital Global Systems up 144% show emerging players making major moves.</w:t>
      </w:r>
    </w:p>
    <w:p w14:paraId="3E4AF107" w14:textId="77777777" w:rsidR="000D026E" w:rsidRDefault="00000000">
      <w:pPr>
        <w:spacing w:afterAutospacing="1" w:line="360" w:lineRule="auto"/>
        <w:rPr>
          <w:rFonts w:ascii="Garamond" w:hAnsi="Garamond"/>
          <w:sz w:val="24"/>
          <w:szCs w:val="24"/>
        </w:rPr>
      </w:pPr>
      <w:r>
        <w:rPr>
          <w:rFonts w:ascii="Garamond" w:hAnsi="Garamond"/>
          <w:b/>
          <w:bCs/>
          <w:sz w:val="24"/>
          <w:szCs w:val="24"/>
        </w:rPr>
        <w:lastRenderedPageBreak/>
        <w:t>Chinese innovation accelerating</w:t>
      </w:r>
      <w:r>
        <w:rPr>
          <w:rFonts w:ascii="Garamond" w:hAnsi="Garamond"/>
          <w:sz w:val="24"/>
          <w:szCs w:val="24"/>
        </w:rPr>
        <w:t> - Beyond Huawei, companies like Contemporary Amperex (+11%), ByteDance (present despite -12%), and Alibaba (+10%) demonstrate China's broadening patent base.</w:t>
      </w:r>
    </w:p>
    <w:p w14:paraId="5C0D5CAD" w14:textId="77777777" w:rsidR="000D026E" w:rsidRDefault="00000000">
      <w:pPr>
        <w:spacing w:afterAutospacing="1" w:line="360" w:lineRule="auto"/>
        <w:rPr>
          <w:rFonts w:ascii="Garamond" w:hAnsi="Garamond"/>
          <w:sz w:val="24"/>
          <w:szCs w:val="24"/>
        </w:rPr>
      </w:pPr>
      <w:r>
        <w:rPr>
          <w:rFonts w:ascii="Garamond" w:hAnsi="Garamond"/>
          <w:b/>
          <w:bCs/>
          <w:sz w:val="24"/>
          <w:szCs w:val="24"/>
        </w:rPr>
        <w:t>Semiconductor equipment makers gaining</w:t>
      </w:r>
      <w:r>
        <w:rPr>
          <w:rFonts w:ascii="Garamond" w:hAnsi="Garamond"/>
          <w:sz w:val="24"/>
          <w:szCs w:val="24"/>
        </w:rPr>
        <w:t> - Tokyo Electron (+25%), Lam Research (+39%), and ASML (+22%) reflect the critical infrastructure race.</w:t>
      </w:r>
    </w:p>
    <w:p w14:paraId="07A94F77" w14:textId="77777777" w:rsidR="000D026E" w:rsidRDefault="00000000">
      <w:pPr>
        <w:spacing w:afterAutospacing="1" w:line="360" w:lineRule="auto"/>
        <w:rPr>
          <w:rFonts w:ascii="Garamond" w:hAnsi="Garamond"/>
          <w:sz w:val="24"/>
          <w:szCs w:val="24"/>
        </w:rPr>
      </w:pPr>
      <w:r>
        <w:rPr>
          <w:rFonts w:ascii="Garamond" w:hAnsi="Garamond"/>
          <w:b/>
          <w:bCs/>
          <w:sz w:val="24"/>
          <w:szCs w:val="24"/>
        </w:rPr>
        <w:t>Corporate restructuring impacts</w:t>
      </w:r>
      <w:r>
        <w:rPr>
          <w:rFonts w:ascii="Garamond" w:hAnsi="Garamond"/>
          <w:sz w:val="24"/>
          <w:szCs w:val="24"/>
        </w:rPr>
        <w:t> - The footnotes note Samsung and LG have been split into separate entities, making year-over-year comparisons more meaningful by business unit.</w:t>
      </w:r>
    </w:p>
    <w:p w14:paraId="055A29F4" w14:textId="77777777" w:rsidR="000D026E" w:rsidRDefault="00000000">
      <w:pPr>
        <w:spacing w:afterAutospacing="1" w:line="360" w:lineRule="auto"/>
        <w:rPr>
          <w:rFonts w:ascii="Garamond" w:hAnsi="Garamond"/>
          <w:b/>
          <w:bCs/>
          <w:sz w:val="24"/>
          <w:szCs w:val="24"/>
        </w:rPr>
      </w:pPr>
      <w:r>
        <w:rPr>
          <w:rFonts w:ascii="Garamond" w:hAnsi="Garamond"/>
          <w:b/>
          <w:bCs/>
          <w:sz w:val="24"/>
          <w:szCs w:val="24"/>
        </w:rPr>
        <w:t>Emerging Players Rising, LG Energy Solution</w:t>
      </w:r>
      <w:r>
        <w:rPr>
          <w:rFonts w:ascii="Garamond" w:hAnsi="Garamond"/>
          <w:sz w:val="24"/>
          <w:szCs w:val="24"/>
        </w:rPr>
        <w:t> showed one of the </w:t>
      </w:r>
      <w:r>
        <w:rPr>
          <w:rFonts w:ascii="Garamond" w:hAnsi="Garamond"/>
          <w:b/>
          <w:bCs/>
          <w:sz w:val="24"/>
          <w:szCs w:val="24"/>
        </w:rPr>
        <w:t>largest percentage increases</w:t>
      </w:r>
      <w:r>
        <w:rPr>
          <w:rFonts w:ascii="Garamond" w:hAnsi="Garamond"/>
          <w:sz w:val="24"/>
          <w:szCs w:val="24"/>
        </w:rPr>
        <w:t> (~50%), reflecting growth in battery and energy storage patents. </w:t>
      </w:r>
      <w:r>
        <w:rPr>
          <w:rFonts w:ascii="Garamond" w:hAnsi="Garamond"/>
          <w:b/>
          <w:bCs/>
          <w:sz w:val="24"/>
          <w:szCs w:val="24"/>
        </w:rPr>
        <w:t xml:space="preserve"> Lenovo and NVIDIA</w:t>
      </w:r>
      <w:r>
        <w:rPr>
          <w:rFonts w:ascii="Garamond" w:hAnsi="Garamond"/>
          <w:sz w:val="24"/>
          <w:szCs w:val="24"/>
        </w:rPr>
        <w:t> both gained ~31%, pointing to increased filing strength in computing and AI hardware. </w:t>
      </w:r>
    </w:p>
    <w:p w14:paraId="6F081F13" w14:textId="77777777" w:rsidR="000D026E" w:rsidRDefault="00000000">
      <w:pPr>
        <w:spacing w:afterAutospacing="1" w:line="360" w:lineRule="auto"/>
        <w:rPr>
          <w:rFonts w:ascii="Garamond" w:hAnsi="Garamond"/>
          <w:b/>
          <w:bCs/>
          <w:sz w:val="24"/>
          <w:szCs w:val="24"/>
        </w:rPr>
      </w:pPr>
      <w:r>
        <w:rPr>
          <w:rFonts w:ascii="Garamond" w:hAnsi="Garamond"/>
          <w:b/>
          <w:bCs/>
          <w:sz w:val="24"/>
          <w:szCs w:val="24"/>
        </w:rPr>
        <w:t xml:space="preserve">Increased Patent Output Outside Pure Tech, </w:t>
      </w:r>
      <w:r>
        <w:rPr>
          <w:rFonts w:ascii="Garamond" w:hAnsi="Garamond"/>
          <w:sz w:val="24"/>
          <w:szCs w:val="24"/>
        </w:rPr>
        <w:t>Players like </w:t>
      </w:r>
      <w:r>
        <w:rPr>
          <w:rFonts w:ascii="Garamond" w:hAnsi="Garamond"/>
          <w:b/>
          <w:bCs/>
          <w:sz w:val="24"/>
          <w:szCs w:val="24"/>
        </w:rPr>
        <w:t>The United States Federal Government</w:t>
      </w:r>
      <w:r>
        <w:rPr>
          <w:rFonts w:ascii="Garamond" w:hAnsi="Garamond"/>
          <w:sz w:val="24"/>
          <w:szCs w:val="24"/>
        </w:rPr>
        <w:t>, </w:t>
      </w:r>
      <w:r>
        <w:rPr>
          <w:rFonts w:ascii="Garamond" w:hAnsi="Garamond"/>
          <w:b/>
          <w:bCs/>
          <w:sz w:val="24"/>
          <w:szCs w:val="24"/>
        </w:rPr>
        <w:t>Boston Scientific</w:t>
      </w:r>
      <w:r>
        <w:rPr>
          <w:rFonts w:ascii="Garamond" w:hAnsi="Garamond"/>
          <w:sz w:val="24"/>
          <w:szCs w:val="24"/>
        </w:rPr>
        <w:t>, and </w:t>
      </w:r>
      <w:r>
        <w:rPr>
          <w:rFonts w:ascii="Garamond" w:hAnsi="Garamond"/>
          <w:b/>
          <w:bCs/>
          <w:sz w:val="24"/>
          <w:szCs w:val="24"/>
        </w:rPr>
        <w:t>InterDigital</w:t>
      </w:r>
      <w:r>
        <w:rPr>
          <w:rFonts w:ascii="Garamond" w:hAnsi="Garamond"/>
          <w:sz w:val="24"/>
          <w:szCs w:val="24"/>
        </w:rPr>
        <w:t> make appearances based on specific research and licensing efforts. </w:t>
      </w:r>
      <w:r>
        <w:rPr>
          <w:rFonts w:ascii="Garamond" w:hAnsi="Garamond"/>
          <w:sz w:val="24"/>
          <w:szCs w:val="24"/>
        </w:rPr>
        <w:br/>
      </w:r>
      <w:r>
        <w:rPr>
          <w:rFonts w:ascii="Garamond" w:hAnsi="Garamond"/>
          <w:b/>
          <w:bCs/>
          <w:sz w:val="24"/>
          <w:szCs w:val="24"/>
        </w:rPr>
        <w:t>Insight:</w:t>
      </w:r>
      <w:r>
        <w:rPr>
          <w:rFonts w:ascii="Garamond" w:hAnsi="Garamond"/>
          <w:sz w:val="24"/>
          <w:szCs w:val="24"/>
        </w:rPr>
        <w:t> Academic, public sector, and specialized licensing entities continue to patent actively in niche innovation areas.</w:t>
      </w:r>
    </w:p>
    <w:p w14:paraId="259D06E7" w14:textId="77777777" w:rsidR="000D026E" w:rsidRDefault="00000000">
      <w:pPr>
        <w:spacing w:afterAutospacing="1" w:line="360" w:lineRule="auto"/>
        <w:rPr>
          <w:rFonts w:ascii="Garamond" w:hAnsi="Garamond"/>
          <w:b/>
          <w:bCs/>
          <w:sz w:val="24"/>
          <w:szCs w:val="24"/>
        </w:rPr>
      </w:pPr>
      <w:r>
        <w:rPr>
          <w:rFonts w:ascii="Garamond" w:hAnsi="Garamond"/>
          <w:b/>
          <w:bCs/>
          <w:sz w:val="24"/>
          <w:szCs w:val="24"/>
        </w:rPr>
        <w:t xml:space="preserve">Stability Near the Middle of the List </w:t>
      </w:r>
      <w:r>
        <w:rPr>
          <w:rFonts w:ascii="Garamond" w:hAnsi="Garamond"/>
          <w:sz w:val="24"/>
          <w:szCs w:val="24"/>
        </w:rPr>
        <w:t>A number of companies around ranks 40–90 have </w:t>
      </w:r>
      <w:r>
        <w:rPr>
          <w:rFonts w:ascii="Garamond" w:hAnsi="Garamond"/>
          <w:b/>
          <w:bCs/>
          <w:sz w:val="24"/>
          <w:szCs w:val="24"/>
        </w:rPr>
        <w:t>modest gains or small declines</w:t>
      </w:r>
      <w:r>
        <w:rPr>
          <w:rFonts w:ascii="Garamond" w:hAnsi="Garamond"/>
          <w:sz w:val="24"/>
          <w:szCs w:val="24"/>
        </w:rPr>
        <w:t>, which suggests a </w:t>
      </w:r>
      <w:r>
        <w:rPr>
          <w:rFonts w:ascii="Garamond" w:hAnsi="Garamond"/>
          <w:b/>
          <w:bCs/>
          <w:sz w:val="24"/>
          <w:szCs w:val="24"/>
        </w:rPr>
        <w:t>maturing innovation landscape</w:t>
      </w:r>
      <w:r>
        <w:rPr>
          <w:rFonts w:ascii="Garamond" w:hAnsi="Garamond"/>
          <w:sz w:val="24"/>
          <w:szCs w:val="24"/>
        </w:rPr>
        <w:t> where only standout technologies or strategic investments drive major shifts</w:t>
      </w:r>
    </w:p>
    <w:p w14:paraId="141E8E15" w14:textId="77777777" w:rsidR="000D026E" w:rsidRDefault="00000000">
      <w:pPr>
        <w:spacing w:beforeAutospacing="1" w:afterAutospacing="1"/>
        <w:rPr>
          <w:rFonts w:ascii="Garamond" w:hAnsi="Garamond"/>
          <w:color w:val="000000"/>
          <w:sz w:val="24"/>
          <w:szCs w:val="24"/>
        </w:rPr>
      </w:pPr>
      <w:r>
        <w:rPr>
          <w:rFonts w:ascii="Garamond" w:hAnsi="Garamond"/>
          <w:color w:val="000000"/>
          <w:sz w:val="24"/>
          <w:szCs w:val="24"/>
        </w:rPr>
        <w:t>Looking at the 2026 Patent 300 list, here are the notable </w:t>
      </w:r>
      <w:r>
        <w:rPr>
          <w:rFonts w:ascii="Garamond" w:hAnsi="Garamond"/>
          <w:b/>
          <w:bCs/>
          <w:color w:val="000000"/>
          <w:sz w:val="24"/>
          <w:szCs w:val="24"/>
        </w:rPr>
        <w:t>absences and gaps</w:t>
      </w:r>
      <w:r>
        <w:rPr>
          <w:rFonts w:ascii="Garamond" w:hAnsi="Garamond"/>
          <w:color w:val="000000"/>
          <w:sz w:val="24"/>
          <w:szCs w:val="24"/>
        </w:rPr>
        <w:t>:</w:t>
      </w:r>
    </w:p>
    <w:p w14:paraId="733D7E03" w14:textId="77777777" w:rsidR="000D026E" w:rsidRPr="00D93F53" w:rsidRDefault="00000000">
      <w:pPr>
        <w:pStyle w:val="Heading1"/>
        <w:rPr>
          <w:rFonts w:ascii="Garamond" w:hAnsi="Garamond"/>
          <w:color w:val="EE8429"/>
        </w:rPr>
      </w:pPr>
      <w:r w:rsidRPr="00D93F53">
        <w:rPr>
          <w:rFonts w:ascii="Garamond" w:hAnsi="Garamond"/>
          <w:color w:val="EE8429"/>
        </w:rPr>
        <w:t>Major Tech Companies Conspicuously Missing</w:t>
      </w:r>
    </w:p>
    <w:p w14:paraId="191836BF" w14:textId="77777777" w:rsidR="000D026E" w:rsidRDefault="00000000">
      <w:pPr>
        <w:spacing w:beforeAutospacing="1" w:afterAutospacing="1"/>
        <w:rPr>
          <w:rFonts w:ascii="Garamond" w:hAnsi="Garamond"/>
          <w:color w:val="000000"/>
          <w:sz w:val="24"/>
          <w:szCs w:val="24"/>
        </w:rPr>
      </w:pPr>
      <w:r>
        <w:rPr>
          <w:rFonts w:ascii="Garamond" w:hAnsi="Garamond"/>
          <w:b/>
          <w:bCs/>
          <w:color w:val="000000"/>
          <w:sz w:val="24"/>
          <w:szCs w:val="24"/>
        </w:rPr>
        <w:t>Tesla</w:t>
      </w:r>
      <w:r>
        <w:rPr>
          <w:rFonts w:ascii="Garamond" w:hAnsi="Garamond"/>
          <w:color w:val="000000"/>
          <w:sz w:val="24"/>
          <w:szCs w:val="24"/>
        </w:rPr>
        <w:t> - Despite being a leader in EVs and autonomous driving, Tesla doesn't appear on the list. This is particularly striking given the automotive surge from Toyota, Hyundai, and GM. Tesla's approach may favor trade secrets over patents, or they're simply not patenting at the scale of traditional automakers.</w:t>
      </w:r>
    </w:p>
    <w:p w14:paraId="50F90864" w14:textId="77777777" w:rsidR="000D026E" w:rsidRDefault="00000000">
      <w:pPr>
        <w:spacing w:beforeAutospacing="1" w:afterAutospacing="1"/>
        <w:rPr>
          <w:rFonts w:ascii="Garamond" w:hAnsi="Garamond"/>
          <w:color w:val="000000"/>
          <w:sz w:val="24"/>
          <w:szCs w:val="24"/>
        </w:rPr>
      </w:pPr>
      <w:r>
        <w:rPr>
          <w:rFonts w:ascii="Garamond" w:hAnsi="Garamond"/>
          <w:b/>
          <w:bCs/>
          <w:color w:val="000000"/>
          <w:sz w:val="24"/>
          <w:szCs w:val="24"/>
        </w:rPr>
        <w:t>SpaceX</w:t>
      </w:r>
      <w:r>
        <w:rPr>
          <w:rFonts w:ascii="Garamond" w:hAnsi="Garamond"/>
          <w:color w:val="000000"/>
          <w:sz w:val="24"/>
          <w:szCs w:val="24"/>
        </w:rPr>
        <w:t> - Another Elon Musk company absent despite revolutionary aerospace work. Again, likely a strategic choice to protect IP through secrecy rather than public patents.</w:t>
      </w:r>
    </w:p>
    <w:p w14:paraId="7CC3B758" w14:textId="77777777" w:rsidR="000D026E" w:rsidRDefault="00000000">
      <w:pPr>
        <w:spacing w:beforeAutospacing="1" w:afterAutospacing="1"/>
        <w:rPr>
          <w:rFonts w:ascii="Garamond" w:hAnsi="Garamond"/>
          <w:color w:val="000000"/>
          <w:sz w:val="24"/>
          <w:szCs w:val="24"/>
        </w:rPr>
      </w:pPr>
      <w:r>
        <w:rPr>
          <w:rFonts w:ascii="Garamond" w:hAnsi="Garamond"/>
          <w:b/>
          <w:bCs/>
          <w:color w:val="000000"/>
          <w:sz w:val="24"/>
          <w:szCs w:val="24"/>
        </w:rPr>
        <w:t>OpenAI</w:t>
      </w:r>
      <w:r>
        <w:rPr>
          <w:rFonts w:ascii="Garamond" w:hAnsi="Garamond"/>
          <w:color w:val="000000"/>
          <w:sz w:val="24"/>
          <w:szCs w:val="24"/>
        </w:rPr>
        <w:t> - Given the AI revolution and their prominence, OpenAI's absence is notable, though they may be too young or strategically avoiding patents to maintain competitive advantages.</w:t>
      </w:r>
    </w:p>
    <w:p w14:paraId="7B5DB50F" w14:textId="77777777" w:rsidR="000D026E" w:rsidRDefault="00000000">
      <w:pPr>
        <w:spacing w:beforeAutospacing="1" w:afterAutospacing="1"/>
        <w:rPr>
          <w:rFonts w:ascii="Garamond" w:hAnsi="Garamond"/>
          <w:color w:val="000000"/>
          <w:sz w:val="24"/>
          <w:szCs w:val="24"/>
        </w:rPr>
      </w:pPr>
      <w:r>
        <w:rPr>
          <w:rFonts w:ascii="Garamond" w:hAnsi="Garamond"/>
          <w:b/>
          <w:bCs/>
          <w:color w:val="000000"/>
          <w:sz w:val="24"/>
          <w:szCs w:val="24"/>
        </w:rPr>
        <w:t>Anthropic</w:t>
      </w:r>
      <w:r>
        <w:rPr>
          <w:rFonts w:ascii="Garamond" w:hAnsi="Garamond"/>
          <w:color w:val="000000"/>
          <w:sz w:val="24"/>
          <w:szCs w:val="24"/>
        </w:rPr>
        <w:t> - Similarly missing from the AI patent landscape.</w:t>
      </w:r>
    </w:p>
    <w:p w14:paraId="54F7F7A9" w14:textId="77777777" w:rsidR="000D026E" w:rsidRDefault="00000000">
      <w:pPr>
        <w:spacing w:beforeAutospacing="1" w:afterAutospacing="1"/>
        <w:rPr>
          <w:rFonts w:ascii="Garamond" w:hAnsi="Garamond"/>
          <w:color w:val="000000"/>
          <w:sz w:val="24"/>
          <w:szCs w:val="24"/>
        </w:rPr>
      </w:pPr>
      <w:r>
        <w:rPr>
          <w:rFonts w:ascii="Garamond" w:hAnsi="Garamond"/>
          <w:b/>
          <w:bCs/>
          <w:color w:val="000000"/>
          <w:sz w:val="24"/>
          <w:szCs w:val="24"/>
        </w:rPr>
        <w:t>Netflix</w:t>
      </w:r>
      <w:r>
        <w:rPr>
          <w:rFonts w:ascii="Garamond" w:hAnsi="Garamond"/>
          <w:color w:val="000000"/>
          <w:sz w:val="24"/>
          <w:szCs w:val="24"/>
        </w:rPr>
        <w:t> - As a major tech platform, their absence suggests their competitive moat isn't built on patents.</w:t>
      </w:r>
    </w:p>
    <w:p w14:paraId="47E4E7EF" w14:textId="77777777" w:rsidR="000D026E" w:rsidRDefault="00000000">
      <w:pPr>
        <w:spacing w:beforeAutospacing="1" w:afterAutospacing="1"/>
        <w:rPr>
          <w:rFonts w:ascii="Garamond" w:hAnsi="Garamond"/>
          <w:color w:val="000000"/>
          <w:sz w:val="24"/>
          <w:szCs w:val="24"/>
        </w:rPr>
      </w:pPr>
      <w:r>
        <w:rPr>
          <w:rFonts w:ascii="Garamond" w:hAnsi="Garamond"/>
          <w:b/>
          <w:bCs/>
          <w:color w:val="000000"/>
          <w:sz w:val="24"/>
          <w:szCs w:val="24"/>
        </w:rPr>
        <w:t>Uber/Lyft</w:t>
      </w:r>
      <w:r>
        <w:rPr>
          <w:rFonts w:ascii="Garamond" w:hAnsi="Garamond"/>
          <w:color w:val="000000"/>
          <w:sz w:val="24"/>
          <w:szCs w:val="24"/>
        </w:rPr>
        <w:t> - Platform companies that seem to rely more on network effects than patent portfolios.</w:t>
      </w:r>
    </w:p>
    <w:p w14:paraId="33A297FD" w14:textId="77777777" w:rsidR="000D026E" w:rsidRDefault="00000000">
      <w:pPr>
        <w:spacing w:beforeAutospacing="1" w:afterAutospacing="1"/>
        <w:rPr>
          <w:rFonts w:ascii="Garamond" w:hAnsi="Garamond"/>
          <w:color w:val="000000"/>
          <w:sz w:val="24"/>
          <w:szCs w:val="24"/>
        </w:rPr>
      </w:pPr>
      <w:r>
        <w:rPr>
          <w:rFonts w:ascii="Garamond" w:hAnsi="Garamond"/>
          <w:b/>
          <w:bCs/>
          <w:color w:val="000000"/>
          <w:sz w:val="24"/>
          <w:szCs w:val="24"/>
        </w:rPr>
        <w:lastRenderedPageBreak/>
        <w:t>Airbnb</w:t>
      </w:r>
      <w:r>
        <w:rPr>
          <w:rFonts w:ascii="Garamond" w:hAnsi="Garamond"/>
          <w:color w:val="000000"/>
          <w:sz w:val="24"/>
          <w:szCs w:val="24"/>
        </w:rPr>
        <w:t> - Another platform business model that apparently doesn't compete on patents.</w:t>
      </w:r>
    </w:p>
    <w:p w14:paraId="7FAD886B" w14:textId="77777777" w:rsidR="000D026E" w:rsidRDefault="000D026E">
      <w:pPr>
        <w:spacing w:beforeAutospacing="1" w:afterAutospacing="1"/>
        <w:rPr>
          <w:rFonts w:ascii="Garamond" w:hAnsi="Garamond"/>
          <w:color w:val="000000"/>
          <w:sz w:val="24"/>
          <w:szCs w:val="24"/>
        </w:rPr>
      </w:pPr>
    </w:p>
    <w:p w14:paraId="3F5763F6" w14:textId="77777777" w:rsidR="000D026E" w:rsidRPr="00D93F53" w:rsidRDefault="00000000">
      <w:pPr>
        <w:pStyle w:val="Heading1"/>
        <w:rPr>
          <w:rFonts w:ascii="Garamond" w:hAnsi="Garamond"/>
          <w:color w:val="EE8429"/>
        </w:rPr>
      </w:pPr>
      <w:r w:rsidRPr="00D93F53">
        <w:rPr>
          <w:rFonts w:ascii="Garamond" w:hAnsi="Garamond"/>
          <w:color w:val="EE8429"/>
        </w:rPr>
        <w:t>Industry Sectors Under-Represented</w:t>
      </w:r>
    </w:p>
    <w:p w14:paraId="16A2AE36" w14:textId="77777777" w:rsidR="000D026E" w:rsidRDefault="00000000">
      <w:pPr>
        <w:spacing w:beforeAutospacing="1" w:afterAutospacing="1"/>
        <w:rPr>
          <w:rFonts w:ascii="Garamond" w:hAnsi="Garamond"/>
          <w:color w:val="000000"/>
          <w:sz w:val="24"/>
          <w:szCs w:val="24"/>
        </w:rPr>
      </w:pPr>
      <w:r>
        <w:rPr>
          <w:rFonts w:ascii="Garamond" w:hAnsi="Garamond"/>
          <w:b/>
          <w:bCs/>
          <w:color w:val="000000"/>
          <w:sz w:val="24"/>
          <w:szCs w:val="24"/>
        </w:rPr>
        <w:t>Social Media/Platform Companies</w:t>
      </w:r>
      <w:r>
        <w:rPr>
          <w:rFonts w:ascii="Garamond" w:hAnsi="Garamond"/>
          <w:color w:val="000000"/>
          <w:sz w:val="24"/>
          <w:szCs w:val="24"/>
        </w:rPr>
        <w:t> - Besides Meta (#106, down 9%) and Snap (#56), most social platforms are absent or declining. This suggests their value isn't in patentable technology.</w:t>
      </w:r>
    </w:p>
    <w:p w14:paraId="7A01F8EC" w14:textId="77777777" w:rsidR="000D026E" w:rsidRDefault="00000000">
      <w:pPr>
        <w:spacing w:beforeAutospacing="1" w:afterAutospacing="1"/>
        <w:rPr>
          <w:rFonts w:ascii="Garamond" w:hAnsi="Garamond"/>
          <w:color w:val="000000"/>
          <w:sz w:val="24"/>
          <w:szCs w:val="24"/>
        </w:rPr>
      </w:pPr>
      <w:r>
        <w:rPr>
          <w:rFonts w:ascii="Garamond" w:hAnsi="Garamond"/>
          <w:b/>
          <w:bCs/>
          <w:color w:val="000000"/>
          <w:sz w:val="24"/>
          <w:szCs w:val="24"/>
        </w:rPr>
        <w:t>Streaming Services</w:t>
      </w:r>
      <w:r>
        <w:rPr>
          <w:rFonts w:ascii="Garamond" w:hAnsi="Garamond"/>
          <w:color w:val="000000"/>
          <w:sz w:val="24"/>
          <w:szCs w:val="24"/>
        </w:rPr>
        <w:t> - Disney, Paramount, Warner Bros Discovery - largely absent despite digital transformation efforts.</w:t>
      </w:r>
    </w:p>
    <w:p w14:paraId="38B7757D" w14:textId="77777777" w:rsidR="000D026E" w:rsidRDefault="00000000">
      <w:pPr>
        <w:spacing w:beforeAutospacing="1" w:afterAutospacing="1"/>
        <w:rPr>
          <w:rFonts w:ascii="Garamond" w:hAnsi="Garamond"/>
          <w:color w:val="000000"/>
          <w:sz w:val="24"/>
          <w:szCs w:val="24"/>
        </w:rPr>
      </w:pPr>
      <w:r>
        <w:rPr>
          <w:rFonts w:ascii="Garamond" w:hAnsi="Garamond"/>
          <w:b/>
          <w:bCs/>
          <w:color w:val="000000"/>
          <w:sz w:val="24"/>
          <w:szCs w:val="24"/>
        </w:rPr>
        <w:t>Cryptocurrency/Blockchain Companies</w:t>
      </w:r>
      <w:r>
        <w:rPr>
          <w:rFonts w:ascii="Garamond" w:hAnsi="Garamond"/>
          <w:color w:val="000000"/>
          <w:sz w:val="24"/>
          <w:szCs w:val="24"/>
        </w:rPr>
        <w:t> - Outside of nChain (#294), the crypto industry is remarkably absent given its growth and innovation claims.</w:t>
      </w:r>
    </w:p>
    <w:p w14:paraId="71230AB5" w14:textId="77777777" w:rsidR="000D026E" w:rsidRDefault="00000000">
      <w:pPr>
        <w:spacing w:beforeAutospacing="1" w:afterAutospacing="1"/>
        <w:rPr>
          <w:rFonts w:ascii="Garamond" w:hAnsi="Garamond"/>
          <w:color w:val="000000"/>
          <w:sz w:val="24"/>
          <w:szCs w:val="24"/>
        </w:rPr>
      </w:pPr>
      <w:r>
        <w:rPr>
          <w:rFonts w:ascii="Garamond" w:hAnsi="Garamond"/>
          <w:b/>
          <w:bCs/>
          <w:color w:val="000000"/>
          <w:sz w:val="24"/>
          <w:szCs w:val="24"/>
        </w:rPr>
        <w:t>Cybersecurity Pure-Plays</w:t>
      </w:r>
      <w:r>
        <w:rPr>
          <w:rFonts w:ascii="Garamond" w:hAnsi="Garamond"/>
          <w:color w:val="000000"/>
          <w:sz w:val="24"/>
          <w:szCs w:val="24"/>
        </w:rPr>
        <w:t> - While Palo Alto Networks appears (#275), other major cybersecurity firms like CrowdStrike, Fortinet, Okta are missing.</w:t>
      </w:r>
    </w:p>
    <w:p w14:paraId="685EBAD6" w14:textId="77777777" w:rsidR="000D026E" w:rsidRDefault="00000000">
      <w:pPr>
        <w:spacing w:beforeAutospacing="1" w:afterAutospacing="1"/>
        <w:rPr>
          <w:rFonts w:ascii="Garamond" w:hAnsi="Garamond"/>
          <w:color w:val="000000"/>
          <w:sz w:val="24"/>
          <w:szCs w:val="24"/>
        </w:rPr>
      </w:pPr>
      <w:r>
        <w:rPr>
          <w:rFonts w:ascii="Garamond" w:hAnsi="Garamond"/>
          <w:b/>
          <w:bCs/>
          <w:color w:val="000000"/>
          <w:sz w:val="24"/>
          <w:szCs w:val="24"/>
        </w:rPr>
        <w:t>Cloud Infrastructure Specialists</w:t>
      </w:r>
      <w:r>
        <w:rPr>
          <w:rFonts w:ascii="Garamond" w:hAnsi="Garamond"/>
          <w:color w:val="000000"/>
          <w:sz w:val="24"/>
          <w:szCs w:val="24"/>
        </w:rPr>
        <w:t> - Databricks, Confluent, HashiCorp - absent despite being infrastructure innovators.</w:t>
      </w:r>
    </w:p>
    <w:p w14:paraId="153291F7" w14:textId="77777777" w:rsidR="000D026E" w:rsidRDefault="00000000">
      <w:pPr>
        <w:spacing w:beforeAutospacing="1" w:afterAutospacing="1"/>
        <w:rPr>
          <w:rFonts w:ascii="Garamond" w:hAnsi="Garamond"/>
          <w:color w:val="000000"/>
          <w:sz w:val="24"/>
          <w:szCs w:val="24"/>
        </w:rPr>
      </w:pPr>
      <w:r>
        <w:rPr>
          <w:rFonts w:ascii="Garamond" w:hAnsi="Garamond"/>
          <w:b/>
          <w:bCs/>
          <w:color w:val="000000"/>
          <w:sz w:val="24"/>
          <w:szCs w:val="24"/>
        </w:rPr>
        <w:t>Biotech Startups</w:t>
      </w:r>
      <w:r>
        <w:rPr>
          <w:rFonts w:ascii="Garamond" w:hAnsi="Garamond"/>
          <w:color w:val="000000"/>
          <w:sz w:val="24"/>
          <w:szCs w:val="24"/>
        </w:rPr>
        <w:t> - While big pharma appears (J&amp;J, Roche, Sanofi), the hundreds of innovative biotech startups are missing, possibly because they haven't reached the patent volume threshold.</w:t>
      </w:r>
    </w:p>
    <w:p w14:paraId="50166BA0" w14:textId="77777777" w:rsidR="000D026E" w:rsidRPr="00D93F53" w:rsidRDefault="00000000">
      <w:pPr>
        <w:pStyle w:val="Heading1"/>
        <w:rPr>
          <w:rFonts w:ascii="Garamond" w:hAnsi="Garamond"/>
          <w:color w:val="EE8429"/>
        </w:rPr>
      </w:pPr>
      <w:r w:rsidRPr="00D93F53">
        <w:rPr>
          <w:rFonts w:ascii="Garamond" w:hAnsi="Garamond"/>
          <w:color w:val="EE8429"/>
        </w:rPr>
        <w:t>Geographic Gaps</w:t>
      </w:r>
    </w:p>
    <w:p w14:paraId="072BAA20" w14:textId="77777777" w:rsidR="000D026E" w:rsidRDefault="00000000">
      <w:pPr>
        <w:spacing w:beforeAutospacing="1" w:afterAutospacing="1"/>
        <w:rPr>
          <w:rFonts w:ascii="Garamond" w:hAnsi="Garamond"/>
          <w:color w:val="000000"/>
          <w:sz w:val="24"/>
          <w:szCs w:val="24"/>
        </w:rPr>
      </w:pPr>
      <w:r>
        <w:rPr>
          <w:rFonts w:ascii="Garamond" w:hAnsi="Garamond"/>
          <w:b/>
          <w:bCs/>
          <w:color w:val="000000"/>
          <w:sz w:val="24"/>
          <w:szCs w:val="24"/>
        </w:rPr>
        <w:t>Indian Tech Companies</w:t>
      </w:r>
      <w:r>
        <w:rPr>
          <w:rFonts w:ascii="Garamond" w:hAnsi="Garamond"/>
          <w:color w:val="000000"/>
          <w:sz w:val="24"/>
          <w:szCs w:val="24"/>
        </w:rPr>
        <w:t> - Tata Sons appears (#166), but where are Infosys, Wipro, and other major Indian IT firms?</w:t>
      </w:r>
    </w:p>
    <w:p w14:paraId="312A4EAA" w14:textId="77777777" w:rsidR="000D026E" w:rsidRDefault="00000000">
      <w:pPr>
        <w:spacing w:beforeAutospacing="1" w:afterAutospacing="1"/>
        <w:rPr>
          <w:rFonts w:ascii="Garamond" w:hAnsi="Garamond"/>
          <w:color w:val="000000"/>
          <w:sz w:val="24"/>
          <w:szCs w:val="24"/>
        </w:rPr>
      </w:pPr>
      <w:r>
        <w:rPr>
          <w:rFonts w:ascii="Garamond" w:hAnsi="Garamond"/>
          <w:b/>
          <w:bCs/>
          <w:color w:val="000000"/>
          <w:sz w:val="24"/>
          <w:szCs w:val="24"/>
        </w:rPr>
        <w:t>Southeast Asian Innovation</w:t>
      </w:r>
      <w:r>
        <w:rPr>
          <w:rFonts w:ascii="Garamond" w:hAnsi="Garamond"/>
          <w:color w:val="000000"/>
          <w:sz w:val="24"/>
          <w:szCs w:val="24"/>
        </w:rPr>
        <w:t> - Very limited representation from Singapore, Malaysia, Indonesia, Thailand despite growing tech sectors.</w:t>
      </w:r>
    </w:p>
    <w:p w14:paraId="3F189CB6" w14:textId="77777777" w:rsidR="000D026E" w:rsidRDefault="00000000">
      <w:pPr>
        <w:spacing w:beforeAutospacing="1" w:afterAutospacing="1"/>
        <w:rPr>
          <w:rFonts w:ascii="Garamond" w:hAnsi="Garamond"/>
          <w:color w:val="000000"/>
          <w:sz w:val="24"/>
          <w:szCs w:val="24"/>
        </w:rPr>
      </w:pPr>
      <w:r>
        <w:rPr>
          <w:rFonts w:ascii="Garamond" w:hAnsi="Garamond"/>
          <w:b/>
          <w:bCs/>
          <w:color w:val="000000"/>
          <w:sz w:val="24"/>
          <w:szCs w:val="24"/>
        </w:rPr>
        <w:t>African Companies</w:t>
      </w:r>
      <w:r>
        <w:rPr>
          <w:rFonts w:ascii="Garamond" w:hAnsi="Garamond"/>
          <w:color w:val="000000"/>
          <w:sz w:val="24"/>
          <w:szCs w:val="24"/>
        </w:rPr>
        <w:t> - Completely absent, highlighting the continent's exclusion from the patent-driven innovation economy.</w:t>
      </w:r>
    </w:p>
    <w:p w14:paraId="2E40BA80" w14:textId="77777777" w:rsidR="000D026E" w:rsidRDefault="00000000">
      <w:pPr>
        <w:spacing w:beforeAutospacing="1" w:afterAutospacing="1"/>
        <w:rPr>
          <w:rFonts w:ascii="Garamond" w:hAnsi="Garamond"/>
          <w:color w:val="000000"/>
          <w:sz w:val="24"/>
          <w:szCs w:val="24"/>
        </w:rPr>
      </w:pPr>
      <w:r>
        <w:rPr>
          <w:rFonts w:ascii="Garamond" w:hAnsi="Garamond"/>
          <w:b/>
          <w:bCs/>
          <w:color w:val="000000"/>
          <w:sz w:val="24"/>
          <w:szCs w:val="24"/>
        </w:rPr>
        <w:t>Latin American Companies</w:t>
      </w:r>
      <w:r>
        <w:rPr>
          <w:rFonts w:ascii="Garamond" w:hAnsi="Garamond"/>
          <w:color w:val="000000"/>
          <w:sz w:val="24"/>
          <w:szCs w:val="24"/>
        </w:rPr>
        <w:t> - No representation from Brazil, Mexico, Argentina despite significant markets and R&amp;D activity.</w:t>
      </w:r>
    </w:p>
    <w:p w14:paraId="043F85D0" w14:textId="77777777" w:rsidR="000D026E" w:rsidRDefault="00000000">
      <w:pPr>
        <w:spacing w:beforeAutospacing="1" w:afterAutospacing="1"/>
        <w:rPr>
          <w:rFonts w:ascii="Garamond" w:hAnsi="Garamond"/>
          <w:color w:val="000000"/>
          <w:sz w:val="24"/>
          <w:szCs w:val="24"/>
        </w:rPr>
      </w:pPr>
      <w:r>
        <w:rPr>
          <w:rFonts w:ascii="Garamond" w:hAnsi="Garamond"/>
          <w:b/>
          <w:bCs/>
          <w:color w:val="000000"/>
          <w:sz w:val="24"/>
          <w:szCs w:val="24"/>
        </w:rPr>
        <w:t>Middle Eastern Companies</w:t>
      </w:r>
      <w:r>
        <w:rPr>
          <w:rFonts w:ascii="Garamond" w:hAnsi="Garamond"/>
          <w:color w:val="000000"/>
          <w:sz w:val="24"/>
          <w:szCs w:val="24"/>
        </w:rPr>
        <w:t> - Outside of Saudi Aramco (#44) and King Fahd University (#145), limited presence despite sovereign wealth fund investments in tech.</w:t>
      </w:r>
    </w:p>
    <w:p w14:paraId="13FD30B7" w14:textId="77777777" w:rsidR="000D026E" w:rsidRPr="00D93F53" w:rsidRDefault="00000000">
      <w:pPr>
        <w:pStyle w:val="Heading1"/>
        <w:rPr>
          <w:rFonts w:ascii="Garamond" w:hAnsi="Garamond"/>
          <w:color w:val="EE8429"/>
        </w:rPr>
      </w:pPr>
      <w:r w:rsidRPr="00D93F53">
        <w:rPr>
          <w:rFonts w:ascii="Garamond" w:hAnsi="Garamond"/>
          <w:color w:val="EE8429"/>
        </w:rPr>
        <w:t>Specific Technology Gaps</w:t>
      </w:r>
    </w:p>
    <w:p w14:paraId="7342A023" w14:textId="77777777" w:rsidR="000D026E" w:rsidRDefault="00000000">
      <w:pPr>
        <w:spacing w:beforeAutospacing="1" w:afterAutospacing="1"/>
        <w:rPr>
          <w:rFonts w:ascii="Garamond" w:hAnsi="Garamond"/>
          <w:color w:val="000000"/>
          <w:sz w:val="24"/>
          <w:szCs w:val="24"/>
        </w:rPr>
      </w:pPr>
      <w:r>
        <w:rPr>
          <w:rFonts w:ascii="Garamond" w:hAnsi="Garamond"/>
          <w:b/>
          <w:bCs/>
          <w:color w:val="000000"/>
          <w:sz w:val="24"/>
          <w:szCs w:val="24"/>
        </w:rPr>
        <w:t>Quantum Computing Leaders</w:t>
      </w:r>
      <w:r>
        <w:rPr>
          <w:rFonts w:ascii="Garamond" w:hAnsi="Garamond"/>
          <w:color w:val="000000"/>
          <w:sz w:val="24"/>
          <w:szCs w:val="24"/>
        </w:rPr>
        <w:t> - IonQ, Rigetti, D-Wave aren't visible despite the quantum race.</w:t>
      </w:r>
    </w:p>
    <w:p w14:paraId="5E065FBD" w14:textId="77777777" w:rsidR="000D026E" w:rsidRDefault="00000000">
      <w:pPr>
        <w:spacing w:beforeAutospacing="1" w:afterAutospacing="1"/>
        <w:rPr>
          <w:rFonts w:ascii="Garamond" w:hAnsi="Garamond"/>
          <w:color w:val="000000"/>
          <w:sz w:val="24"/>
          <w:szCs w:val="24"/>
        </w:rPr>
      </w:pPr>
      <w:r>
        <w:rPr>
          <w:rFonts w:ascii="Garamond" w:hAnsi="Garamond"/>
          <w:b/>
          <w:bCs/>
          <w:color w:val="000000"/>
          <w:sz w:val="24"/>
          <w:szCs w:val="24"/>
        </w:rPr>
        <w:t>Advanced AI Chip Designers</w:t>
      </w:r>
      <w:r>
        <w:rPr>
          <w:rFonts w:ascii="Garamond" w:hAnsi="Garamond"/>
          <w:color w:val="000000"/>
          <w:sz w:val="24"/>
          <w:szCs w:val="24"/>
        </w:rPr>
        <w:t> - While NVIDIA appears (#57), companies like Cerebras, Graphcore, SambaNova are missing.</w:t>
      </w:r>
    </w:p>
    <w:p w14:paraId="3593CD9F" w14:textId="77777777" w:rsidR="000D026E" w:rsidRDefault="00000000">
      <w:pPr>
        <w:spacing w:beforeAutospacing="1" w:afterAutospacing="1"/>
        <w:rPr>
          <w:rFonts w:ascii="Garamond" w:hAnsi="Garamond"/>
          <w:color w:val="000000"/>
          <w:sz w:val="24"/>
          <w:szCs w:val="24"/>
        </w:rPr>
      </w:pPr>
      <w:r>
        <w:rPr>
          <w:rFonts w:ascii="Garamond" w:hAnsi="Garamond"/>
          <w:b/>
          <w:bCs/>
          <w:color w:val="000000"/>
          <w:sz w:val="24"/>
          <w:szCs w:val="24"/>
        </w:rPr>
        <w:t>Gene Editing Companies</w:t>
      </w:r>
      <w:r>
        <w:rPr>
          <w:rFonts w:ascii="Garamond" w:hAnsi="Garamond"/>
          <w:color w:val="000000"/>
          <w:sz w:val="24"/>
          <w:szCs w:val="24"/>
        </w:rPr>
        <w:t> - CRISPR pioneers like Editas, Intellia, and CRISPR Therapeutics absent.</w:t>
      </w:r>
    </w:p>
    <w:p w14:paraId="02441F30" w14:textId="77777777" w:rsidR="000D026E" w:rsidRDefault="00000000">
      <w:pPr>
        <w:spacing w:beforeAutospacing="1" w:afterAutospacing="1"/>
        <w:rPr>
          <w:rFonts w:ascii="Garamond" w:hAnsi="Garamond"/>
          <w:color w:val="000000"/>
        </w:rPr>
      </w:pPr>
      <w:r>
        <w:rPr>
          <w:rFonts w:ascii="Garamond" w:hAnsi="Garamond"/>
          <w:b/>
          <w:bCs/>
          <w:color w:val="000000"/>
          <w:sz w:val="24"/>
          <w:szCs w:val="24"/>
        </w:rPr>
        <w:lastRenderedPageBreak/>
        <w:t>Space Tech Beyond Traditional Aerospace</w:t>
      </w:r>
      <w:r>
        <w:rPr>
          <w:rFonts w:ascii="Garamond" w:hAnsi="Garamond"/>
          <w:color w:val="000000"/>
          <w:sz w:val="24"/>
          <w:szCs w:val="24"/>
        </w:rPr>
        <w:t> - Rocket Lab, Planet Labs, other new</w:t>
      </w:r>
      <w:r>
        <w:rPr>
          <w:rFonts w:ascii="Garamond" w:hAnsi="Garamond"/>
          <w:color w:val="000000"/>
        </w:rPr>
        <w:t xml:space="preserve"> space companies missing.</w:t>
      </w:r>
    </w:p>
    <w:p w14:paraId="0A6D206D" w14:textId="77777777" w:rsidR="000D026E" w:rsidRDefault="00000000">
      <w:pPr>
        <w:spacing w:beforeAutospacing="1" w:afterAutospacing="1"/>
        <w:rPr>
          <w:rFonts w:ascii="Garamond" w:hAnsi="Garamond"/>
          <w:color w:val="000000"/>
        </w:rPr>
      </w:pPr>
      <w:r>
        <w:rPr>
          <w:rFonts w:ascii="Garamond" w:hAnsi="Garamond"/>
          <w:b/>
          <w:bCs/>
          <w:color w:val="000000"/>
        </w:rPr>
        <w:t>Synthetic Biology</w:t>
      </w:r>
      <w:r>
        <w:rPr>
          <w:rFonts w:ascii="Garamond" w:hAnsi="Garamond"/>
          <w:color w:val="000000"/>
        </w:rPr>
        <w:t> - Ginkgo Bioworks, Zymergen-type companies absent.</w:t>
      </w:r>
    </w:p>
    <w:p w14:paraId="17819A9E" w14:textId="77777777" w:rsidR="000D026E" w:rsidRPr="00D93F53" w:rsidRDefault="00000000">
      <w:pPr>
        <w:pStyle w:val="Heading1"/>
        <w:rPr>
          <w:rFonts w:ascii="Garamond" w:hAnsi="Garamond"/>
          <w:color w:val="EE8429"/>
        </w:rPr>
      </w:pPr>
      <w:r w:rsidRPr="00D93F53">
        <w:rPr>
          <w:rFonts w:ascii="Garamond" w:hAnsi="Garamond"/>
          <w:color w:val="EE8429"/>
        </w:rPr>
        <w:t>Companies That Declined Off the List</w:t>
      </w:r>
    </w:p>
    <w:p w14:paraId="62155F87" w14:textId="77777777" w:rsidR="000D026E" w:rsidRDefault="00000000">
      <w:pPr>
        <w:spacing w:beforeAutospacing="1" w:afterAutospacing="1"/>
        <w:rPr>
          <w:rFonts w:ascii="Garamond" w:hAnsi="Garamond"/>
          <w:color w:val="000000"/>
          <w:sz w:val="24"/>
          <w:szCs w:val="24"/>
        </w:rPr>
      </w:pPr>
      <w:r>
        <w:rPr>
          <w:rFonts w:ascii="Garamond" w:hAnsi="Garamond"/>
          <w:color w:val="000000"/>
          <w:sz w:val="24"/>
          <w:szCs w:val="24"/>
        </w:rPr>
        <w:t>The data shows many companies with negative year-over-year changes, suggesting some former Patent 300 members may have dropped off entirely. The steepest declines (Nippon Telegraph -38%, USAA -38%, Broadcom -31%) hint at companies potentially falling out.</w:t>
      </w:r>
    </w:p>
    <w:p w14:paraId="68FE9B37" w14:textId="77777777" w:rsidR="000D026E" w:rsidRPr="00D93F53" w:rsidRDefault="00000000">
      <w:pPr>
        <w:pStyle w:val="Heading1"/>
        <w:rPr>
          <w:rFonts w:ascii="Garamond" w:hAnsi="Garamond"/>
          <w:color w:val="EE8429"/>
        </w:rPr>
      </w:pPr>
      <w:r w:rsidRPr="00D93F53">
        <w:rPr>
          <w:rFonts w:ascii="Garamond" w:hAnsi="Garamond"/>
          <w:color w:val="EE8429"/>
        </w:rPr>
        <w:t>Key Insights: What the Data Really Means</w:t>
      </w:r>
    </w:p>
    <w:p w14:paraId="0A95750F" w14:textId="77777777" w:rsidR="000D026E" w:rsidRDefault="00000000">
      <w:pPr>
        <w:pStyle w:val="ListParagraph"/>
        <w:numPr>
          <w:ilvl w:val="0"/>
          <w:numId w:val="2"/>
        </w:numPr>
        <w:spacing w:after="360" w:line="360" w:lineRule="auto"/>
        <w:contextualSpacing/>
        <w:rPr>
          <w:rFonts w:ascii="Garamond" w:hAnsi="Garamond"/>
          <w:sz w:val="24"/>
          <w:szCs w:val="24"/>
        </w:rPr>
      </w:pPr>
      <w:r>
        <w:rPr>
          <w:rFonts w:ascii="Garamond" w:hAnsi="Garamond"/>
          <w:b/>
          <w:bCs/>
          <w:sz w:val="24"/>
          <w:szCs w:val="24"/>
        </w:rPr>
        <w:t>The innovation center of gravity has permanently shifted.</w:t>
      </w:r>
      <w:r>
        <w:rPr>
          <w:rFonts w:ascii="Garamond" w:hAnsi="Garamond"/>
          <w:sz w:val="24"/>
          <w:szCs w:val="24"/>
        </w:rPr>
        <w:t xml:space="preserve"> This isn’t a temporary trend—seven of the top seven positions are now held by Asian companies. Samsung’s 12% growth, Toyota’s 19% surge, and Hyundai’s 21% jump represent sustained investments that have compounded over decades. American companies aren’t just being outspent; they’re being out-systematized in converting R&amp;D into defensible intellectual property.</w:t>
      </w:r>
    </w:p>
    <w:p w14:paraId="22B87F64" w14:textId="77777777" w:rsidR="000D026E" w:rsidRDefault="00000000">
      <w:pPr>
        <w:pStyle w:val="ListParagraph"/>
        <w:numPr>
          <w:ilvl w:val="0"/>
          <w:numId w:val="2"/>
        </w:numPr>
        <w:spacing w:after="360" w:line="360" w:lineRule="auto"/>
        <w:contextualSpacing/>
        <w:rPr>
          <w:rFonts w:ascii="Garamond" w:hAnsi="Garamond"/>
          <w:sz w:val="24"/>
          <w:szCs w:val="24"/>
        </w:rPr>
      </w:pPr>
      <w:r>
        <w:rPr>
          <w:rFonts w:ascii="Garamond" w:hAnsi="Garamond"/>
          <w:b/>
          <w:bCs/>
          <w:sz w:val="24"/>
          <w:szCs w:val="24"/>
        </w:rPr>
        <w:t>Patents signal strategic intent, not just legal protection.</w:t>
      </w:r>
      <w:r>
        <w:rPr>
          <w:rFonts w:ascii="Garamond" w:hAnsi="Garamond"/>
          <w:sz w:val="24"/>
          <w:szCs w:val="24"/>
        </w:rPr>
        <w:t xml:space="preserve"> When Dell Technologies jumps 38% in one year or LG Energy Solution surges 50%, these aren’t random fluctuations. These are deliberate decisions to dominate specific technological domains. Dell’s patent acceleration in infrastructure and edge computing, LG’s explosion in battery technology—these companies are declaring their strategic territories through IP investments before the market fully recognizes the opportunity.</w:t>
      </w:r>
    </w:p>
    <w:p w14:paraId="1AFBE8FC" w14:textId="77777777" w:rsidR="000D026E" w:rsidRDefault="00000000">
      <w:pPr>
        <w:pStyle w:val="ListParagraph"/>
        <w:numPr>
          <w:ilvl w:val="0"/>
          <w:numId w:val="2"/>
        </w:numPr>
        <w:spacing w:after="360" w:line="360" w:lineRule="auto"/>
        <w:contextualSpacing/>
        <w:rPr>
          <w:rFonts w:ascii="Garamond" w:hAnsi="Garamond"/>
          <w:sz w:val="24"/>
          <w:szCs w:val="24"/>
        </w:rPr>
      </w:pPr>
      <w:r>
        <w:rPr>
          <w:rFonts w:ascii="Garamond" w:hAnsi="Garamond"/>
          <w:b/>
          <w:bCs/>
          <w:sz w:val="24"/>
          <w:szCs w:val="24"/>
        </w:rPr>
        <w:t>The absence of platform companies reveals a fundamental strategic divide.</w:t>
      </w:r>
      <w:r>
        <w:rPr>
          <w:rFonts w:ascii="Garamond" w:hAnsi="Garamond"/>
          <w:sz w:val="24"/>
          <w:szCs w:val="24"/>
        </w:rPr>
        <w:t xml:space="preserve"> Tesla, Netflix, Uber, OpenAI, and SpaceX compete in fundamentally different arenas. Their absence from the Patent 300 doesn’t indicate weakness—it reflects a calculated bet that network effects, speed to market, and trade secrets provide stronger competitive moats than patent portfolios. For employees at these firms, this means your competitive advantage comes from execution velocity, not IP protection. For employees at traditional manufacturers, this means your patents are your primary defense against platform disruptors who move faster but can’t easily replicate your protected innovations.</w:t>
      </w:r>
    </w:p>
    <w:p w14:paraId="4D25D43A" w14:textId="77777777" w:rsidR="000D026E" w:rsidRDefault="00000000">
      <w:pPr>
        <w:pStyle w:val="ListParagraph"/>
        <w:numPr>
          <w:ilvl w:val="0"/>
          <w:numId w:val="2"/>
        </w:numPr>
        <w:spacing w:after="360" w:line="360" w:lineRule="auto"/>
        <w:contextualSpacing/>
        <w:rPr>
          <w:rFonts w:ascii="Garamond" w:hAnsi="Garamond"/>
          <w:sz w:val="24"/>
          <w:szCs w:val="24"/>
        </w:rPr>
      </w:pPr>
      <w:r>
        <w:rPr>
          <w:rFonts w:ascii="Garamond" w:hAnsi="Garamond"/>
          <w:b/>
          <w:bCs/>
          <w:sz w:val="24"/>
          <w:szCs w:val="24"/>
        </w:rPr>
        <w:t>Hardware and infrastructure companies are winning the long game.</w:t>
      </w:r>
      <w:r>
        <w:rPr>
          <w:rFonts w:ascii="Garamond" w:hAnsi="Garamond"/>
          <w:sz w:val="24"/>
          <w:szCs w:val="24"/>
        </w:rPr>
        <w:t xml:space="preserve"> While software companies capture headlines, the Patent 300 reveals where sustained competitive advantages actually accrue. Semiconductor equipment makers like Lam Research (+39%), Tokyo Electron (+25%), and ASML (+22%) are building decades-long moats. Battery technology leaders like LG Energy Solution and Contemporary Amperex are positioning themselves as gatekeepers to the electric vehicle revolution. Display technology from Samsung Display and BOE enables entire device ecosystems. These aren’t flashy businesses, but they control the essential enabling technologies that everyone else depends on.</w:t>
      </w:r>
    </w:p>
    <w:p w14:paraId="3F4B9641" w14:textId="77777777" w:rsidR="000D026E" w:rsidRDefault="00000000">
      <w:pPr>
        <w:pStyle w:val="ListParagraph"/>
        <w:numPr>
          <w:ilvl w:val="0"/>
          <w:numId w:val="2"/>
        </w:numPr>
        <w:spacing w:after="360" w:line="360" w:lineRule="auto"/>
        <w:contextualSpacing/>
        <w:rPr>
          <w:rFonts w:ascii="Garamond" w:hAnsi="Garamond"/>
          <w:sz w:val="24"/>
          <w:szCs w:val="24"/>
        </w:rPr>
      </w:pPr>
      <w:r>
        <w:rPr>
          <w:rFonts w:ascii="Garamond" w:hAnsi="Garamond"/>
          <w:b/>
          <w:bCs/>
          <w:sz w:val="24"/>
          <w:szCs w:val="24"/>
        </w:rPr>
        <w:t>Declining patent activity can signal strategic repositioning—or impending trouble.</w:t>
      </w:r>
      <w:r>
        <w:rPr>
          <w:rFonts w:ascii="Garamond" w:hAnsi="Garamond"/>
          <w:sz w:val="24"/>
          <w:szCs w:val="24"/>
        </w:rPr>
        <w:t xml:space="preserve"> When Apple drops 8%, IBM falls 11%, and Alphabet decreases 13%, this deserves scrutiny. Are they shifting to trade se</w:t>
      </w:r>
      <w:r>
        <w:rPr>
          <w:rFonts w:ascii="Garamond" w:hAnsi="Garamond"/>
          <w:sz w:val="24"/>
          <w:szCs w:val="24"/>
        </w:rPr>
        <w:lastRenderedPageBreak/>
        <w:t>crets? Focusing on fewer but higher-quality patents? Or has their innovation engine actually slowed? Similarly, financial services firms like Wells Fargo (-22%) and PayPal (-34%) dropping patent filings suggests they’ve concluded that regulatory barriers and network effects provide better protection than patents. The question for employees: does your leadership team have an explicit rationale for patent strategy, or are you drifting without realizing the competitive implications?</w:t>
      </w:r>
    </w:p>
    <w:p w14:paraId="51D005A4" w14:textId="77777777" w:rsidR="000D026E" w:rsidRPr="00D93F53" w:rsidRDefault="00000000">
      <w:pPr>
        <w:pStyle w:val="Heading1"/>
        <w:rPr>
          <w:rFonts w:ascii="Garamond" w:hAnsi="Garamond"/>
          <w:color w:val="EE8429"/>
        </w:rPr>
      </w:pPr>
      <w:r w:rsidRPr="00D93F53">
        <w:rPr>
          <w:rFonts w:ascii="Garamond" w:hAnsi="Garamond"/>
          <w:color w:val="EE8429"/>
        </w:rPr>
        <w:t>Practical Actions for Every Employee</w:t>
      </w:r>
    </w:p>
    <w:p w14:paraId="3475501A" w14:textId="77777777" w:rsidR="000D026E" w:rsidRDefault="00000000">
      <w:pPr>
        <w:pStyle w:val="ListParagraph"/>
        <w:numPr>
          <w:ilvl w:val="0"/>
          <w:numId w:val="3"/>
        </w:numPr>
        <w:spacing w:after="360" w:line="360" w:lineRule="auto"/>
        <w:contextualSpacing/>
        <w:rPr>
          <w:rFonts w:ascii="Garamond" w:hAnsi="Garamond"/>
          <w:sz w:val="24"/>
          <w:szCs w:val="24"/>
        </w:rPr>
      </w:pPr>
      <w:r>
        <w:rPr>
          <w:rFonts w:ascii="Garamond" w:hAnsi="Garamond"/>
          <w:b/>
          <w:bCs/>
          <w:sz w:val="24"/>
          <w:szCs w:val="24"/>
        </w:rPr>
        <w:t>If you’re an engineer or scientist:</w:t>
      </w:r>
      <w:r>
        <w:rPr>
          <w:rFonts w:ascii="Garamond" w:hAnsi="Garamond"/>
          <w:sz w:val="24"/>
          <w:szCs w:val="24"/>
        </w:rPr>
        <w:t xml:space="preserve"> Document your innovations systematically. Companies that jumped 30-50% in patents didn’t suddenly become more innovative—they became more systematic about capturing innovations that were always happening. Create an invention disclosure habit. When you solve a technical problem in a novel way, write it down within 48 hours. Companies with accelerating patent portfolios have made this process frictionless for their technical staff.</w:t>
      </w:r>
    </w:p>
    <w:p w14:paraId="138EC206" w14:textId="77777777" w:rsidR="000D026E" w:rsidRDefault="00000000">
      <w:pPr>
        <w:pStyle w:val="ListParagraph"/>
        <w:numPr>
          <w:ilvl w:val="0"/>
          <w:numId w:val="3"/>
        </w:numPr>
        <w:spacing w:after="360" w:line="360" w:lineRule="auto"/>
        <w:contextualSpacing/>
        <w:rPr>
          <w:rFonts w:ascii="Garamond" w:hAnsi="Garamond"/>
          <w:sz w:val="24"/>
          <w:szCs w:val="24"/>
        </w:rPr>
      </w:pPr>
      <w:r>
        <w:rPr>
          <w:rFonts w:ascii="Garamond" w:hAnsi="Garamond"/>
          <w:b/>
          <w:bCs/>
          <w:sz w:val="24"/>
          <w:szCs w:val="24"/>
        </w:rPr>
        <w:t>If you’re in product management or strategy:</w:t>
      </w:r>
      <w:r>
        <w:rPr>
          <w:rFonts w:ascii="Garamond" w:hAnsi="Garamond"/>
          <w:sz w:val="24"/>
          <w:szCs w:val="24"/>
        </w:rPr>
        <w:t xml:space="preserve"> Use patent data as a competitive intelligence system. Set up quarterly reviews tracking your top 5 competitors’ patent filings by technology domain. When a competitor suddenly surges in a specific area, that’s your 12-18 month early warning system. They’re filing patents today for products they’ll launch tomorrow. Ask yourself: What are we missing? Why are they investing there? How should we respond?</w:t>
      </w:r>
    </w:p>
    <w:p w14:paraId="66B62C14" w14:textId="77777777" w:rsidR="000D026E" w:rsidRDefault="00000000">
      <w:pPr>
        <w:pStyle w:val="ListParagraph"/>
        <w:numPr>
          <w:ilvl w:val="0"/>
          <w:numId w:val="3"/>
        </w:numPr>
        <w:spacing w:after="360" w:line="360" w:lineRule="auto"/>
        <w:contextualSpacing/>
        <w:rPr>
          <w:rFonts w:ascii="Garamond" w:hAnsi="Garamond"/>
          <w:sz w:val="24"/>
          <w:szCs w:val="24"/>
        </w:rPr>
      </w:pPr>
      <w:r>
        <w:rPr>
          <w:rFonts w:ascii="Garamond" w:hAnsi="Garamond"/>
          <w:b/>
          <w:bCs/>
          <w:sz w:val="24"/>
          <w:szCs w:val="24"/>
        </w:rPr>
        <w:t>If you’re in business development or M&amp;A:</w:t>
      </w:r>
      <w:r>
        <w:rPr>
          <w:rFonts w:ascii="Garamond" w:hAnsi="Garamond"/>
          <w:sz w:val="24"/>
          <w:szCs w:val="24"/>
        </w:rPr>
        <w:t xml:space="preserve"> Patent portfolios reveal acquisition targets and partnership opportunities. A company with explosive patent growth in your adjacent space (like Dell’s 38% jump or Honor Device’s 136% surge) is either becoming a competitive threat or a potential partner. The Patent 300 essentially provides a ranked list of companies making major strategic bets—some of whom may be acquisition candidates or collaboration partners.</w:t>
      </w:r>
    </w:p>
    <w:p w14:paraId="75C5FB8A" w14:textId="77777777" w:rsidR="000D026E" w:rsidRDefault="00000000">
      <w:pPr>
        <w:pStyle w:val="ListParagraph"/>
        <w:numPr>
          <w:ilvl w:val="0"/>
          <w:numId w:val="3"/>
        </w:numPr>
        <w:spacing w:after="360" w:line="360" w:lineRule="auto"/>
        <w:contextualSpacing/>
        <w:rPr>
          <w:rFonts w:ascii="Garamond" w:hAnsi="Garamond"/>
          <w:sz w:val="24"/>
          <w:szCs w:val="24"/>
        </w:rPr>
      </w:pPr>
      <w:r>
        <w:rPr>
          <w:rFonts w:ascii="Garamond" w:hAnsi="Garamond"/>
          <w:b/>
          <w:bCs/>
          <w:sz w:val="24"/>
          <w:szCs w:val="24"/>
        </w:rPr>
        <w:t>If you’re in legal or IP management:</w:t>
      </w:r>
      <w:r>
        <w:rPr>
          <w:rFonts w:ascii="Garamond" w:hAnsi="Garamond"/>
          <w:sz w:val="24"/>
          <w:szCs w:val="24"/>
        </w:rPr>
        <w:t xml:space="preserve"> Benchmark your patent-to-R&amp;D efficiency against sector leaders. If your company spends $500M on R&amp;D but generates 50 patents annually while competitors with similar budgets generate 500 patents, you have a process problem, not an innovation problem. The gap between patent leaders and everyone else isn’t about how much they spend—it’s about how systematically they convert technical work into protected intellectual property.</w:t>
      </w:r>
    </w:p>
    <w:p w14:paraId="474FDC23" w14:textId="77777777" w:rsidR="000D026E" w:rsidRDefault="00000000">
      <w:pPr>
        <w:pStyle w:val="ListParagraph"/>
        <w:numPr>
          <w:ilvl w:val="0"/>
          <w:numId w:val="3"/>
        </w:numPr>
        <w:spacing w:after="360" w:line="360" w:lineRule="auto"/>
        <w:contextualSpacing/>
        <w:rPr>
          <w:rFonts w:ascii="Garamond" w:hAnsi="Garamond"/>
          <w:sz w:val="24"/>
          <w:szCs w:val="24"/>
        </w:rPr>
      </w:pPr>
      <w:r>
        <w:rPr>
          <w:rFonts w:ascii="Garamond" w:hAnsi="Garamond"/>
          <w:b/>
          <w:bCs/>
          <w:sz w:val="24"/>
          <w:szCs w:val="24"/>
        </w:rPr>
        <w:t>If you’re in executive leadership:</w:t>
      </w:r>
      <w:r>
        <w:rPr>
          <w:rFonts w:ascii="Garamond" w:hAnsi="Garamond"/>
          <w:sz w:val="24"/>
          <w:szCs w:val="24"/>
        </w:rPr>
        <w:t xml:space="preserve"> Demand an explicit patent strategy that aligns with your business model. Platform companies can legitimately choose minimal patenting if they compete on speed and network effects. Manufacturing companies cannot. Know which game you’re playing. If you’re in manufacturing, automotive, healthcare, or semiconductor businesses and your patent filings are declining while sector leaders grow 20-50% annually, you’re ceding strategic territory. Either accelerate deliberately or acknowledge you’re accepting long-term competitive risk.</w:t>
      </w:r>
    </w:p>
    <w:p w14:paraId="5DBD000F" w14:textId="77777777" w:rsidR="000D026E" w:rsidRPr="00D93F53" w:rsidRDefault="00000000">
      <w:pPr>
        <w:pStyle w:val="Heading1"/>
        <w:rPr>
          <w:rFonts w:ascii="Garamond" w:hAnsi="Garamond"/>
          <w:color w:val="EE8429"/>
        </w:rPr>
      </w:pPr>
      <w:r w:rsidRPr="00D93F53">
        <w:rPr>
          <w:rFonts w:ascii="Garamond" w:hAnsi="Garamond"/>
          <w:color w:val="EE8429"/>
        </w:rPr>
        <w:lastRenderedPageBreak/>
        <w:t xml:space="preserve">The Bottom Line </w:t>
      </w:r>
    </w:p>
    <w:p w14:paraId="36B81505" w14:textId="77777777" w:rsidR="000D026E" w:rsidRDefault="00000000">
      <w:pPr>
        <w:spacing w:after="360" w:line="360" w:lineRule="auto"/>
        <w:rPr>
          <w:rFonts w:ascii="Garamond" w:hAnsi="Garamond"/>
          <w:sz w:val="24"/>
          <w:szCs w:val="24"/>
        </w:rPr>
      </w:pPr>
      <w:r>
        <w:rPr>
          <w:rFonts w:ascii="Garamond" w:hAnsi="Garamond"/>
          <w:sz w:val="24"/>
          <w:szCs w:val="24"/>
        </w:rPr>
        <w:t>The 2026 Patent 300 reveals more than a list of who filed the most patents—it exposes which companies are making long-term strategic commitments to technological leadership and which are retreating. For every employee, the implications are immediate and personal.</w:t>
      </w:r>
    </w:p>
    <w:p w14:paraId="4F0B24ED" w14:textId="77777777" w:rsidR="000D026E" w:rsidRDefault="00000000">
      <w:pPr>
        <w:spacing w:after="360" w:line="360" w:lineRule="auto"/>
        <w:rPr>
          <w:rFonts w:ascii="Garamond" w:hAnsi="Garamond"/>
          <w:sz w:val="24"/>
          <w:szCs w:val="24"/>
        </w:rPr>
      </w:pPr>
      <w:r>
        <w:rPr>
          <w:rFonts w:ascii="Garamond" w:hAnsi="Garamond"/>
          <w:sz w:val="24"/>
          <w:szCs w:val="24"/>
        </w:rPr>
        <w:t>If you work for a company whose patent activity is accelerating 20-50% annually, you’re working for an organization that believes in building long-term competitive moats through protected innovation. Your inventions matter. Your documentation discipline matters. Your company is playing the long game.</w:t>
      </w:r>
    </w:p>
    <w:p w14:paraId="79947634" w14:textId="77777777" w:rsidR="000D026E" w:rsidRDefault="00000000">
      <w:pPr>
        <w:spacing w:after="360" w:line="360" w:lineRule="auto"/>
        <w:rPr>
          <w:rFonts w:ascii="Garamond" w:hAnsi="Garamond"/>
          <w:sz w:val="24"/>
          <w:szCs w:val="24"/>
        </w:rPr>
      </w:pPr>
      <w:r>
        <w:rPr>
          <w:rFonts w:ascii="Garamond" w:hAnsi="Garamond"/>
          <w:sz w:val="24"/>
          <w:szCs w:val="24"/>
        </w:rPr>
        <w:t>If you work for a company whose patent filings are declining while sector competitors surge, you should ask explicit questions: Is this a deliberate strategic choice? Are we shifting to trade secrets? Are we competing on speed instead of protection? Or are we drifting? The answer matters because it determines your competitive sustainability.</w:t>
      </w:r>
    </w:p>
    <w:p w14:paraId="4F87AE7D" w14:textId="77777777" w:rsidR="000D026E" w:rsidRDefault="00000000">
      <w:pPr>
        <w:spacing w:after="360" w:line="360" w:lineRule="auto"/>
        <w:rPr>
          <w:rFonts w:ascii="Garamond" w:hAnsi="Garamond"/>
          <w:sz w:val="24"/>
          <w:szCs w:val="24"/>
        </w:rPr>
      </w:pPr>
      <w:r>
        <w:rPr>
          <w:rFonts w:ascii="Garamond" w:hAnsi="Garamond"/>
          <w:sz w:val="24"/>
          <w:szCs w:val="24"/>
        </w:rPr>
        <w:t>If you work for a platform company that doesn’t appear on the Patent 300, understand this isn’t a weakness. Tesla, Netflix, SpaceX, OpenAI, and Uber compete through different mechanisms. Your speed to market, your network effects, your ability to iterate faster than competitors can copy—these are your strategic weapons. Patents would actually slow you down.</w:t>
      </w:r>
    </w:p>
    <w:p w14:paraId="233DC628" w14:textId="77777777" w:rsidR="000D026E" w:rsidRDefault="00000000">
      <w:pPr>
        <w:spacing w:after="360" w:line="360" w:lineRule="auto"/>
        <w:rPr>
          <w:rFonts w:ascii="Garamond" w:hAnsi="Garamond"/>
          <w:sz w:val="24"/>
          <w:szCs w:val="24"/>
        </w:rPr>
      </w:pPr>
      <w:r>
        <w:rPr>
          <w:rFonts w:ascii="Garamond" w:hAnsi="Garamond"/>
          <w:sz w:val="24"/>
          <w:szCs w:val="24"/>
        </w:rPr>
        <w:t>The gap between patent leaders and everyone else is widening, not stabilizing. Asian manufacturing giants are accelerating. Enabling technology companies in semiconductors, batteries, and displays are building fortress positions. Traditional tech companies are retreating. The middle ground is vanishing.</w:t>
      </w:r>
    </w:p>
    <w:p w14:paraId="13E7B0B8" w14:textId="77777777" w:rsidR="000D026E" w:rsidRDefault="00000000">
      <w:pPr>
        <w:spacing w:after="360" w:line="360" w:lineRule="auto"/>
        <w:rPr>
          <w:rFonts w:ascii="Garamond" w:hAnsi="Garamond"/>
          <w:sz w:val="24"/>
          <w:szCs w:val="24"/>
        </w:rPr>
      </w:pPr>
      <w:r>
        <w:rPr>
          <w:rFonts w:ascii="Garamond" w:hAnsi="Garamond"/>
          <w:b/>
          <w:bCs/>
          <w:sz w:val="24"/>
          <w:szCs w:val="24"/>
        </w:rPr>
        <w:t>For every employee reading this: Know which game your company is playing. Know whether your leadership has an explicit patent strategy or is drifting by default. Know whether your innovations are being systematically captured or lost. And if you see a competitor making a sudden move—a 30%, 40%, 50% jump in patent filings in your domain—sound the alarm. That’s not noise. That’s a competitor declaring their strategic intent 12-18 months before the market notices.</w:t>
      </w:r>
    </w:p>
    <w:p w14:paraId="3A73418F" w14:textId="77777777" w:rsidR="000D026E" w:rsidRDefault="00000000">
      <w:pPr>
        <w:spacing w:after="360" w:line="360" w:lineRule="auto"/>
        <w:rPr>
          <w:rFonts w:ascii="Garamond" w:hAnsi="Garamond"/>
          <w:sz w:val="24"/>
          <w:szCs w:val="24"/>
        </w:rPr>
      </w:pPr>
      <w:r>
        <w:rPr>
          <w:rFonts w:ascii="Garamond" w:hAnsi="Garamond"/>
          <w:sz w:val="24"/>
          <w:szCs w:val="24"/>
        </w:rPr>
        <w:t>The Patent 300 isn’t just a list. It’s a strategic map showing who’s investing in tomorrow’s competitive advantages today. Read it that way, and you’ll see things others miss.</w:t>
      </w:r>
    </w:p>
    <w:p w14:paraId="6297F588" w14:textId="77777777" w:rsidR="00D93F53" w:rsidRDefault="00D93F53">
      <w:pPr>
        <w:spacing w:after="360" w:line="360" w:lineRule="auto"/>
        <w:rPr>
          <w:rFonts w:ascii="Garamond" w:hAnsi="Garamond"/>
          <w:sz w:val="24"/>
          <w:szCs w:val="24"/>
        </w:rPr>
      </w:pPr>
    </w:p>
    <w:p w14:paraId="4E08F5C9" w14:textId="77777777" w:rsidR="00D93F53" w:rsidRDefault="00D93F53">
      <w:pPr>
        <w:spacing w:after="360" w:line="360" w:lineRule="auto"/>
        <w:rPr>
          <w:rFonts w:ascii="Garamond" w:hAnsi="Garamond"/>
          <w:sz w:val="24"/>
          <w:szCs w:val="24"/>
        </w:rPr>
      </w:pPr>
    </w:p>
    <w:p w14:paraId="72A6E60F" w14:textId="77777777" w:rsidR="000D026E" w:rsidRPr="00D93F53" w:rsidRDefault="00000000">
      <w:pPr>
        <w:pStyle w:val="Heading2"/>
        <w:rPr>
          <w:rFonts w:ascii="Garamond" w:hAnsi="Garamond"/>
          <w:color w:val="EE8429"/>
          <w:sz w:val="40"/>
          <w:szCs w:val="40"/>
        </w:rPr>
      </w:pPr>
      <w:r w:rsidRPr="00D93F53">
        <w:rPr>
          <w:rFonts w:ascii="Garamond" w:hAnsi="Garamond"/>
          <w:color w:val="EE8429"/>
          <w:sz w:val="40"/>
          <w:szCs w:val="40"/>
        </w:rPr>
        <w:lastRenderedPageBreak/>
        <w:t>About the Author</w:t>
      </w:r>
    </w:p>
    <w:p w14:paraId="07D4C8DC" w14:textId="77777777" w:rsidR="000D026E" w:rsidRDefault="00000000">
      <w:pPr>
        <w:spacing w:after="180"/>
        <w:rPr>
          <w:rFonts w:ascii="Garamond" w:hAnsi="Garamond"/>
          <w:sz w:val="24"/>
          <w:szCs w:val="24"/>
        </w:rPr>
      </w:pPr>
      <w:r>
        <w:rPr>
          <w:rFonts w:ascii="Garamond" w:hAnsi="Garamond"/>
          <w:sz w:val="24"/>
          <w:szCs w:val="24"/>
        </w:rPr>
        <w:t>Joe Batista is a strategic advisor focused on helping executives reframe growth challenges and identify breakthrough opportunities. With decades of experience creating value for Fortune 500 companies and emerging ventures, Joe specializes in connecting strategic dots others miss.</w:t>
      </w:r>
    </w:p>
    <w:p w14:paraId="092A59B2" w14:textId="77777777" w:rsidR="000D026E" w:rsidRDefault="00000000">
      <w:pPr>
        <w:spacing w:after="180"/>
        <w:rPr>
          <w:rFonts w:ascii="Garamond" w:hAnsi="Garamond"/>
          <w:sz w:val="24"/>
          <w:szCs w:val="24"/>
        </w:rPr>
      </w:pPr>
      <w:r>
        <w:rPr>
          <w:rFonts w:ascii="Garamond" w:hAnsi="Garamond"/>
          <w:sz w:val="24"/>
          <w:szCs w:val="24"/>
        </w:rPr>
        <w:t>His approach combines rigorous analysis with pattern recognition across industries, enabling clients to see familiar problems through entirely new frameworks.</w:t>
      </w:r>
    </w:p>
    <w:p w14:paraId="38BFB6DD" w14:textId="77777777" w:rsidR="000D026E" w:rsidRDefault="000D026E">
      <w:pPr>
        <w:spacing w:after="180"/>
        <w:rPr>
          <w:rFonts w:ascii="Garamond" w:hAnsi="Garamond"/>
        </w:rPr>
      </w:pPr>
    </w:p>
    <w:tbl>
      <w:tblPr>
        <w:tblW w:w="4900" w:type="pct"/>
        <w:tblLayout w:type="fixed"/>
        <w:tblCellMar>
          <w:top w:w="180" w:type="dxa"/>
          <w:left w:w="180" w:type="dxa"/>
          <w:bottom w:w="180" w:type="dxa"/>
          <w:right w:w="180" w:type="dxa"/>
        </w:tblCellMar>
        <w:tblLook w:val="04A0" w:firstRow="1" w:lastRow="0" w:firstColumn="1" w:lastColumn="0" w:noHBand="0" w:noVBand="1"/>
      </w:tblPr>
      <w:tblGrid>
        <w:gridCol w:w="10937"/>
      </w:tblGrid>
      <w:tr w:rsidR="000D026E" w14:paraId="73851A2E" w14:textId="77777777">
        <w:trPr>
          <w:trHeight w:val="1246"/>
        </w:trPr>
        <w:tc>
          <w:tcPr>
            <w:tcW w:w="10584" w:type="dxa"/>
            <w:tcBorders>
              <w:top w:val="single" w:sz="4" w:space="0" w:color="000000"/>
              <w:left w:val="single" w:sz="4" w:space="0" w:color="000000"/>
              <w:bottom w:val="single" w:sz="4" w:space="0" w:color="000000"/>
              <w:right w:val="single" w:sz="4" w:space="0" w:color="000000"/>
            </w:tcBorders>
            <w:shd w:val="clear" w:color="auto" w:fill="E8F4F8"/>
          </w:tcPr>
          <w:p w14:paraId="2DD714C7" w14:textId="77777777" w:rsidR="000D026E" w:rsidRDefault="00000000">
            <w:pPr>
              <w:pStyle w:val="Callout"/>
              <w:rPr>
                <w:rFonts w:ascii="Garamond" w:hAnsi="Garamond"/>
                <w:b/>
                <w:bCs/>
                <w:sz w:val="36"/>
                <w:szCs w:val="36"/>
              </w:rPr>
            </w:pPr>
            <w:r>
              <w:rPr>
                <w:rFonts w:ascii="Garamond" w:hAnsi="Garamond"/>
                <w:b/>
                <w:bCs/>
                <w:sz w:val="36"/>
                <w:szCs w:val="36"/>
              </w:rPr>
              <w:t>What if the biggest obstacle to your growth isn’t the competition—but the way you think?</w:t>
            </w:r>
          </w:p>
          <w:p w14:paraId="2F44DDA0" w14:textId="77777777" w:rsidR="000D026E" w:rsidRDefault="00000000">
            <w:pPr>
              <w:pStyle w:val="Callout"/>
              <w:spacing w:before="0" w:after="0"/>
              <w:rPr>
                <w:rFonts w:ascii="Garamond" w:hAnsi="Garamond"/>
                <w:i w:val="0"/>
                <w:iCs w:val="0"/>
                <w:sz w:val="36"/>
                <w:szCs w:val="36"/>
              </w:rPr>
            </w:pPr>
            <w:r>
              <w:rPr>
                <w:rFonts w:ascii="Garamond" w:hAnsi="Garamond"/>
                <w:color w:val="000000" w:themeColor="text1"/>
                <w:sz w:val="36"/>
                <w:szCs w:val="36"/>
              </w:rPr>
              <w:t xml:space="preserve">Connect with Joe at </w:t>
            </w:r>
            <w:hyperlink r:id="rId12">
              <w:r w:rsidR="000D026E">
                <w:rPr>
                  <w:rFonts w:ascii="Garamond" w:hAnsi="Garamond"/>
                  <w:color w:val="0066CC"/>
                  <w:sz w:val="36"/>
                  <w:szCs w:val="36"/>
                  <w:u w:val="single"/>
                </w:rPr>
                <w:t>www.m37-advisory.com</w:t>
              </w:r>
            </w:hyperlink>
            <w:r>
              <w:rPr>
                <w:rFonts w:ascii="Garamond" w:hAnsi="Garamond"/>
                <w:i w:val="0"/>
                <w:iCs w:val="0"/>
                <w:sz w:val="36"/>
                <w:szCs w:val="36"/>
              </w:rPr>
              <w:t xml:space="preserve"> </w:t>
            </w:r>
          </w:p>
          <w:p w14:paraId="7FF719F7" w14:textId="77777777" w:rsidR="000D026E" w:rsidRDefault="00000000">
            <w:pPr>
              <w:pStyle w:val="Callout"/>
              <w:spacing w:before="0" w:after="0"/>
              <w:rPr>
                <w:rFonts w:ascii="Garamond" w:hAnsi="Garamond"/>
                <w:sz w:val="36"/>
                <w:szCs w:val="36"/>
              </w:rPr>
            </w:pPr>
            <w:r>
              <w:rPr>
                <w:rFonts w:ascii="Garamond" w:hAnsi="Garamond"/>
                <w:sz w:val="36"/>
                <w:szCs w:val="36"/>
              </w:rPr>
              <w:t>What opportunities are you missing because you're not asking the right questions?</w:t>
            </w:r>
          </w:p>
          <w:p w14:paraId="45AC0693" w14:textId="77777777" w:rsidR="000D026E" w:rsidRDefault="000D026E">
            <w:pPr>
              <w:rPr>
                <w:rFonts w:ascii="Garamond" w:hAnsi="Garamond"/>
              </w:rPr>
            </w:pPr>
          </w:p>
        </w:tc>
      </w:tr>
    </w:tbl>
    <w:p w14:paraId="544A3C50" w14:textId="77777777" w:rsidR="000D026E" w:rsidRDefault="000D026E">
      <w:pPr>
        <w:rPr>
          <w:rFonts w:ascii="Garamond" w:hAnsi="Garamond"/>
        </w:rPr>
      </w:pPr>
    </w:p>
    <w:p w14:paraId="3EF8AE97" w14:textId="77777777" w:rsidR="000D026E" w:rsidRDefault="000D026E"/>
    <w:sectPr w:rsidR="000D026E">
      <w:footerReference w:type="even" r:id="rId13"/>
      <w:footerReference w:type="default" r:id="rId14"/>
      <w:footerReference w:type="first" r:id="rId15"/>
      <w:pgSz w:w="12240" w:h="15840"/>
      <w:pgMar w:top="720" w:right="720" w:bottom="765" w:left="720"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AAAA8" w14:textId="77777777" w:rsidR="005C3F90" w:rsidRDefault="005C3F90">
      <w:r>
        <w:separator/>
      </w:r>
    </w:p>
  </w:endnote>
  <w:endnote w:type="continuationSeparator" w:id="0">
    <w:p w14:paraId="5CF62D38" w14:textId="77777777" w:rsidR="005C3F90" w:rsidRDefault="005C3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6E2FC" w14:textId="77777777" w:rsidR="000D026E" w:rsidRDefault="00000000">
    <w:pPr>
      <w:pStyle w:val="Footer"/>
      <w:ind w:right="360"/>
    </w:pPr>
    <w:r>
      <w:rPr>
        <w:noProof/>
      </w:rPr>
      <mc:AlternateContent>
        <mc:Choice Requires="wps">
          <w:drawing>
            <wp:anchor distT="0" distB="0" distL="0" distR="0" simplePos="0" relativeHeight="251658752" behindDoc="0" locked="0" layoutInCell="1" allowOverlap="1" wp14:anchorId="4835F249" wp14:editId="589CAA9E">
              <wp:simplePos x="0" y="0"/>
              <wp:positionH relativeFrom="margin">
                <wp:align>right</wp:align>
              </wp:positionH>
              <wp:positionV relativeFrom="paragraph">
                <wp:posOffset>635</wp:posOffset>
              </wp:positionV>
              <wp:extent cx="14605" cy="14605"/>
              <wp:effectExtent l="0" t="0" r="0" b="0"/>
              <wp:wrapNone/>
              <wp:docPr id="2"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sdt>
                          <w:sdtPr>
                            <w:id w:val="-1130393961"/>
                            <w:docPartObj>
                              <w:docPartGallery w:val="Page Numbers (Bottom of Page)"/>
                              <w:docPartUnique/>
                            </w:docPartObj>
                          </w:sdtPr>
                          <w:sdtContent>
                            <w:p w14:paraId="297C8457" w14:textId="77777777" w:rsidR="000D026E" w:rsidRDefault="00000000">
                              <w:pPr>
                                <w:pStyle w:val="Footer"/>
                              </w:pPr>
                              <w:r>
                                <w:fldChar w:fldCharType="begin"/>
                              </w:r>
                              <w:r>
                                <w:instrText xml:space="preserve"> PAGE </w:instrText>
                              </w:r>
                              <w:r>
                                <w:fldChar w:fldCharType="separate"/>
                              </w:r>
                              <w:r>
                                <w:t>0</w:t>
                              </w:r>
                              <w:r>
                                <w:fldChar w:fldCharType="end"/>
                              </w:r>
                            </w:p>
                          </w:sdtContent>
                        </w:sdt>
                      </w:txbxContent>
                    </wps:txbx>
                    <wps:bodyPr lIns="0" tIns="0" rIns="0" bIns="0" anchor="t">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sdt>
                    <w:sdtPr>
                      <w:docPartObj>
                        <w:docPartGallery w:val="Page Numbers (Bottom of Page)"/>
                        <w:docPartUnique w:val="true"/>
                      </w:docPartObj>
                      <w:id w:val="-1130393961"/>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v:textbox>
              <w10:wrap type="non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26103" w14:textId="77777777" w:rsidR="000D026E" w:rsidRDefault="00000000">
    <w:pPr>
      <w:spacing w:before="240"/>
      <w:ind w:right="360"/>
    </w:pPr>
    <w:sdt>
      <w:sdtPr>
        <w:alias w:val="Title"/>
        <w:id w:val="367805816"/>
        <w:placeholder>
          <w:docPart w:val="1272832570F35345A12070A1D54BCADD"/>
        </w:placeholder>
        <w:dataBinding w:prefixMappings="xmlns:ns0='http://purl.org/dc/elements/1.1/' xmlns:ns1='http://schemas.openxmlformats.org/package/2006/metadata/core-properties' " w:xpath="/ns1:coreProperties[1]/ns0:title[1]" w:storeItemID="{6C3C8BC8-F283-45AE-878A-BAB7291924A1}"/>
        <w15:appearance w15:val="hidden"/>
        <w:text/>
      </w:sdtPr>
      <w:sdtContent>
        <w:r>
          <w:rPr>
            <w:color w:val="666666"/>
            <w:sz w:val="18"/>
            <w:szCs w:val="18"/>
          </w:rPr>
          <w:t>© 2026 M37 Advisory Research &amp; insights</w:t>
        </w:r>
      </w:sdtContent>
    </w:sdt>
    <w:r>
      <w:rPr>
        <w:noProof/>
      </w:rPr>
      <mc:AlternateContent>
        <mc:Choice Requires="wps">
          <w:drawing>
            <wp:anchor distT="0" distB="0" distL="0" distR="0" simplePos="0" relativeHeight="251656704" behindDoc="0" locked="0" layoutInCell="0" allowOverlap="1" wp14:anchorId="0D4A4FE9" wp14:editId="76E84F52">
              <wp:simplePos x="0" y="0"/>
              <wp:positionH relativeFrom="margin">
                <wp:align>right</wp:align>
              </wp:positionH>
              <wp:positionV relativeFrom="paragraph">
                <wp:posOffset>635</wp:posOffset>
              </wp:positionV>
              <wp:extent cx="156210" cy="160655"/>
              <wp:effectExtent l="0" t="0" r="0" b="0"/>
              <wp:wrapNone/>
              <wp:docPr id="3" name="Frame2"/>
              <wp:cNvGraphicFramePr/>
              <a:graphic xmlns:a="http://schemas.openxmlformats.org/drawingml/2006/main">
                <a:graphicData uri="http://schemas.microsoft.com/office/word/2010/wordprocessingShape">
                  <wps:wsp>
                    <wps:cNvSpPr txBox="1"/>
                    <wps:spPr>
                      <a:xfrm>
                        <a:off x="0" y="0"/>
                        <a:ext cx="156210" cy="160655"/>
                      </a:xfrm>
                      <a:prstGeom prst="rect">
                        <a:avLst/>
                      </a:prstGeom>
                      <a:solidFill>
                        <a:srgbClr val="FFFFFF">
                          <a:alpha val="0"/>
                        </a:srgbClr>
                      </a:solidFill>
                    </wps:spPr>
                    <wps:txbx>
                      <w:txbxContent>
                        <w:sdt>
                          <w:sdtPr>
                            <w:id w:val="-891576200"/>
                            <w:docPartObj>
                              <w:docPartGallery w:val="Page Numbers (Bottom of Page)"/>
                              <w:docPartUnique/>
                            </w:docPartObj>
                          </w:sdtPr>
                          <w:sdtContent>
                            <w:p w14:paraId="467D9873" w14:textId="77777777" w:rsidR="000D026E" w:rsidRDefault="00000000">
                              <w:pPr>
                                <w:pStyle w:val="Footer"/>
                              </w:pPr>
                              <w:r>
                                <w:fldChar w:fldCharType="begin"/>
                              </w:r>
                              <w:r>
                                <w:instrText xml:space="preserve"> PAGE </w:instrText>
                              </w:r>
                              <w:r>
                                <w:fldChar w:fldCharType="separate"/>
                              </w:r>
                              <w:r>
                                <w:t>10</w:t>
                              </w:r>
                              <w:r>
                                <w:fldChar w:fldCharType="end"/>
                              </w:r>
                            </w:p>
                          </w:sdtContent>
                        </w:sdt>
                      </w:txbxContent>
                    </wps:txbx>
                    <wps:bodyPr lIns="0" tIns="0" rIns="0" bIns="0" anchor="t">
                      <a:spAutoFit/>
                    </wps:bodyPr>
                  </wps:wsp>
                </a:graphicData>
              </a:graphic>
            </wp:anchor>
          </w:drawing>
        </mc:Choice>
        <mc:Fallback>
          <w:pict>
            <v:rect fillcolor="#FFFFFF" style="position:absolute;rotation:-0;width:12.3pt;height:12.65pt;mso-wrap-distance-left:0pt;mso-wrap-distance-right:0pt;mso-wrap-distance-top:0pt;mso-wrap-distance-bottom:0pt;margin-top:0.05pt;mso-position-vertical-relative:text;margin-left:527.7pt;mso-position-horizontal:right;mso-position-horizontal-relative:margin">
              <v:fill opacity="0f"/>
              <v:textbox inset="0in,0in,0in,0in">
                <w:txbxContent>
                  <w:sdt>
                    <w:sdtPr>
                      <w:docPartObj>
                        <w:docPartGallery w:val="Page Numbers (Bottom of Page)"/>
                        <w:docPartUnique w:val="true"/>
                      </w:docPartObj>
                      <w:id w:val="-891576200"/>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sdtContent>
                  </w:sdt>
                </w:txbxContent>
              </v:textbox>
              <w10:wrap type="no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AB96E" w14:textId="77777777" w:rsidR="000D026E" w:rsidRDefault="00000000">
    <w:pPr>
      <w:spacing w:before="240"/>
      <w:ind w:right="360"/>
    </w:pPr>
    <w:sdt>
      <w:sdtPr>
        <w:alias w:val="Title"/>
        <w:id w:val="1435255588"/>
        <w:placeholder>
          <w:docPart w:val="1272832570F35345A12070A1D54BCADD"/>
        </w:placeholder>
        <w:dataBinding w:prefixMappings="xmlns:ns0='http://purl.org/dc/elements/1.1/' xmlns:ns1='http://schemas.openxmlformats.org/package/2006/metadata/core-properties' " w:xpath="/ns1:coreProperties[1]/ns0:title[1]" w:storeItemID="{6C3C8BC8-F283-45AE-878A-BAB7291924A1}"/>
        <w15:appearance w15:val="hidden"/>
        <w:text/>
      </w:sdtPr>
      <w:sdtContent>
        <w:r>
          <w:rPr>
            <w:color w:val="666666"/>
            <w:sz w:val="18"/>
            <w:szCs w:val="18"/>
          </w:rPr>
          <w:t>© 2026 M37 Advisory Research &amp; insights</w:t>
        </w:r>
      </w:sdtContent>
    </w:sdt>
    <w:r>
      <w:rPr>
        <w:noProof/>
      </w:rPr>
      <mc:AlternateContent>
        <mc:Choice Requires="wps">
          <w:drawing>
            <wp:anchor distT="0" distB="0" distL="0" distR="0" simplePos="0" relativeHeight="251657728" behindDoc="0" locked="0" layoutInCell="0" allowOverlap="1" wp14:anchorId="4937E70A" wp14:editId="00A733D8">
              <wp:simplePos x="0" y="0"/>
              <wp:positionH relativeFrom="margin">
                <wp:align>right</wp:align>
              </wp:positionH>
              <wp:positionV relativeFrom="paragraph">
                <wp:posOffset>635</wp:posOffset>
              </wp:positionV>
              <wp:extent cx="156210" cy="160655"/>
              <wp:effectExtent l="0" t="0" r="0" b="0"/>
              <wp:wrapNone/>
              <wp:docPr id="4" name="Frame2"/>
              <wp:cNvGraphicFramePr/>
              <a:graphic xmlns:a="http://schemas.openxmlformats.org/drawingml/2006/main">
                <a:graphicData uri="http://schemas.microsoft.com/office/word/2010/wordprocessingShape">
                  <wps:wsp>
                    <wps:cNvSpPr txBox="1"/>
                    <wps:spPr>
                      <a:xfrm>
                        <a:off x="0" y="0"/>
                        <a:ext cx="156210" cy="160655"/>
                      </a:xfrm>
                      <a:prstGeom prst="rect">
                        <a:avLst/>
                      </a:prstGeom>
                      <a:solidFill>
                        <a:srgbClr val="FFFFFF">
                          <a:alpha val="0"/>
                        </a:srgbClr>
                      </a:solidFill>
                    </wps:spPr>
                    <wps:txbx>
                      <w:txbxContent>
                        <w:sdt>
                          <w:sdtPr>
                            <w:id w:val="447978640"/>
                            <w:docPartObj>
                              <w:docPartGallery w:val="Page Numbers (Bottom of Page)"/>
                              <w:docPartUnique/>
                            </w:docPartObj>
                          </w:sdtPr>
                          <w:sdtContent>
                            <w:p w14:paraId="6847AE0C" w14:textId="77777777" w:rsidR="000D026E" w:rsidRDefault="00000000">
                              <w:pPr>
                                <w:pStyle w:val="Footer"/>
                              </w:pPr>
                              <w:r>
                                <w:fldChar w:fldCharType="begin"/>
                              </w:r>
                              <w:r>
                                <w:instrText xml:space="preserve"> PAGE </w:instrText>
                              </w:r>
                              <w:r>
                                <w:fldChar w:fldCharType="separate"/>
                              </w:r>
                              <w:r>
                                <w:t>10</w:t>
                              </w:r>
                              <w:r>
                                <w:fldChar w:fldCharType="end"/>
                              </w:r>
                            </w:p>
                          </w:sdtContent>
                        </w:sdt>
                      </w:txbxContent>
                    </wps:txbx>
                    <wps:bodyPr lIns="0" tIns="0" rIns="0" bIns="0" anchor="t">
                      <a:spAutoFit/>
                    </wps:bodyPr>
                  </wps:wsp>
                </a:graphicData>
              </a:graphic>
            </wp:anchor>
          </w:drawing>
        </mc:Choice>
        <mc:Fallback>
          <w:pict>
            <v:rect fillcolor="#FFFFFF" style="position:absolute;rotation:-0;width:12.3pt;height:12.65pt;mso-wrap-distance-left:0pt;mso-wrap-distance-right:0pt;mso-wrap-distance-top:0pt;mso-wrap-distance-bottom:0pt;margin-top:0.05pt;mso-position-vertical-relative:text;margin-left:527.7pt;mso-position-horizontal:right;mso-position-horizontal-relative:margin">
              <v:fill opacity="0f"/>
              <v:textbox inset="0in,0in,0in,0in">
                <w:txbxContent>
                  <w:sdt>
                    <w:sdtPr>
                      <w:docPartObj>
                        <w:docPartGallery w:val="Page Numbers (Bottom of Page)"/>
                        <w:docPartUnique w:val="true"/>
                      </w:docPartObj>
                      <w:id w:val="-891576200"/>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sdtContent>
                  </w:sdt>
                </w:txbxContent>
              </v:textbox>
              <w10:wrap type="no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B6444" w14:textId="77777777" w:rsidR="005C3F90" w:rsidRDefault="005C3F90">
      <w:r>
        <w:separator/>
      </w:r>
    </w:p>
  </w:footnote>
  <w:footnote w:type="continuationSeparator" w:id="0">
    <w:p w14:paraId="4FE4A1A3" w14:textId="77777777" w:rsidR="005C3F90" w:rsidRDefault="005C3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23554"/>
    <w:multiLevelType w:val="multilevel"/>
    <w:tmpl w:val="100C1B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7050"/>
    <w:multiLevelType w:val="multilevel"/>
    <w:tmpl w:val="DB3ACF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E2978E4"/>
    <w:multiLevelType w:val="multilevel"/>
    <w:tmpl w:val="37504374"/>
    <w:lvl w:ilvl="0">
      <w:start w:val="1"/>
      <w:numFmt w:val="bullet"/>
      <w:lvlText w:val=""/>
      <w:lvlJc w:val="left"/>
      <w:pPr>
        <w:tabs>
          <w:tab w:val="num" w:pos="0"/>
        </w:tabs>
        <w:ind w:left="72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51502A49"/>
    <w:multiLevelType w:val="multilevel"/>
    <w:tmpl w:val="DBBC4E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765535419">
    <w:abstractNumId w:val="2"/>
  </w:num>
  <w:num w:numId="2" w16cid:durableId="679234497">
    <w:abstractNumId w:val="1"/>
  </w:num>
  <w:num w:numId="3" w16cid:durableId="1746105798">
    <w:abstractNumId w:val="3"/>
  </w:num>
  <w:num w:numId="4" w16cid:durableId="1824934087">
    <w:abstractNumId w:val="0"/>
  </w:num>
  <w:num w:numId="5" w16cid:durableId="19912391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E"/>
    <w:rsid w:val="00053427"/>
    <w:rsid w:val="000D026E"/>
    <w:rsid w:val="005C3F90"/>
    <w:rsid w:val="005E571E"/>
    <w:rsid w:val="00717094"/>
    <w:rsid w:val="00890AC5"/>
    <w:rsid w:val="00905F15"/>
    <w:rsid w:val="00AD63A6"/>
    <w:rsid w:val="00B71066"/>
    <w:rsid w:val="00D05AF3"/>
    <w:rsid w:val="00D93F5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BED9C"/>
  <w15:docId w15:val="{16C329ED-AB20-FC45-81D4-56EA81447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color w:val="000000"/>
      <w:sz w:val="36"/>
      <w:szCs w:val="36"/>
    </w:rPr>
  </w:style>
  <w:style w:type="paragraph" w:styleId="Heading2">
    <w:name w:val="heading 2"/>
    <w:uiPriority w:val="9"/>
    <w:unhideWhenUsed/>
    <w:qFormat/>
    <w:pPr>
      <w:spacing w:before="180" w:after="180"/>
      <w:outlineLvl w:val="1"/>
    </w:pPr>
    <w:rPr>
      <w:b/>
      <w:bCs/>
      <w:color w:val="3E5C76"/>
      <w:sz w:val="28"/>
      <w:szCs w:val="28"/>
    </w:rPr>
  </w:style>
  <w:style w:type="paragraph" w:styleId="Heading3">
    <w:name w:val="heading 3"/>
    <w:uiPriority w:val="9"/>
    <w:unhideWhenUsed/>
    <w:qFormat/>
    <w:pPr>
      <w:spacing w:before="140" w:after="140"/>
      <w:outlineLvl w:val="2"/>
    </w:pPr>
    <w:rPr>
      <w:b/>
      <w:bCs/>
      <w:color w:val="3E5C76"/>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Callout">
    <w:name w:val="Callout"/>
    <w:rsid w:val="00836655"/>
    <w:pPr>
      <w:spacing w:before="240" w:after="240"/>
      <w:ind w:left="720" w:right="720"/>
      <w:jc w:val="center"/>
    </w:pPr>
    <w:rPr>
      <w:i/>
      <w:iCs/>
      <w:color w:val="E67E22"/>
      <w:sz w:val="28"/>
      <w:szCs w:val="28"/>
    </w:rPr>
  </w:style>
  <w:style w:type="paragraph" w:customStyle="1" w:styleId="Metadata">
    <w:name w:val="Metadata"/>
    <w:rsid w:val="006D7A03"/>
    <w:pPr>
      <w:spacing w:after="240"/>
      <w:jc w:val="center"/>
    </w:pPr>
    <w:rPr>
      <w:color w:val="666666"/>
      <w:sz w:val="20"/>
      <w:szCs w:val="20"/>
    </w:rPr>
  </w:style>
  <w:style w:type="character" w:styleId="Strong">
    <w:name w:val="Strong"/>
    <w:basedOn w:val="DefaultParagraphFont"/>
    <w:uiPriority w:val="22"/>
    <w:qFormat/>
    <w:rsid w:val="004923AB"/>
    <w:rPr>
      <w:b/>
      <w:bCs/>
    </w:rPr>
  </w:style>
  <w:style w:type="character" w:customStyle="1" w:styleId="apple-converted-space">
    <w:name w:val="apple-converted-space"/>
    <w:basedOn w:val="DefaultParagraphFont"/>
    <w:rsid w:val="004923AB"/>
  </w:style>
  <w:style w:type="paragraph" w:styleId="Header">
    <w:name w:val="header"/>
    <w:basedOn w:val="Normal"/>
    <w:link w:val="HeaderChar"/>
    <w:uiPriority w:val="99"/>
    <w:unhideWhenUsed/>
    <w:rsid w:val="006A459B"/>
    <w:pPr>
      <w:tabs>
        <w:tab w:val="center" w:pos="4680"/>
        <w:tab w:val="right" w:pos="9360"/>
      </w:tabs>
    </w:pPr>
  </w:style>
  <w:style w:type="character" w:customStyle="1" w:styleId="HeaderChar">
    <w:name w:val="Header Char"/>
    <w:basedOn w:val="DefaultParagraphFont"/>
    <w:link w:val="Header"/>
    <w:uiPriority w:val="99"/>
    <w:rsid w:val="006A459B"/>
  </w:style>
  <w:style w:type="paragraph" w:styleId="Footer">
    <w:name w:val="footer"/>
    <w:basedOn w:val="Normal"/>
    <w:link w:val="FooterChar"/>
    <w:uiPriority w:val="99"/>
    <w:unhideWhenUsed/>
    <w:rsid w:val="006A459B"/>
    <w:pPr>
      <w:tabs>
        <w:tab w:val="center" w:pos="4680"/>
        <w:tab w:val="right" w:pos="9360"/>
      </w:tabs>
    </w:pPr>
  </w:style>
  <w:style w:type="character" w:customStyle="1" w:styleId="FooterChar">
    <w:name w:val="Footer Char"/>
    <w:basedOn w:val="DefaultParagraphFont"/>
    <w:link w:val="Footer"/>
    <w:uiPriority w:val="99"/>
    <w:rsid w:val="006A4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37-advisory.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37-advisory.com/"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m37advisory"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twitter.com/m37advisory" TargetMode="External"/><Relationship Id="rId4" Type="http://schemas.openxmlformats.org/officeDocument/2006/relationships/webSettings" Target="webSettings.xml"/><Relationship Id="rId9" Type="http://schemas.openxmlformats.org/officeDocument/2006/relationships/hyperlink" Target="https://www.linkedin.com/company/m37-advisory"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72832570F35345A12070A1D54BCADD"/>
        <w:category>
          <w:name w:val="General"/>
          <w:gallery w:val="placeholder"/>
        </w:category>
        <w:types>
          <w:type w:val="bbPlcHdr"/>
        </w:types>
        <w:behaviors>
          <w:behavior w:val="content"/>
        </w:behaviors>
        <w:guid w:val="{5BB3877B-CBD0-154A-AA10-DEC51805A439}"/>
      </w:docPartPr>
      <w:docPartBody>
        <w:p w:rsidR="00153158" w:rsidRDefault="00847292" w:rsidP="00847292">
          <w:pPr>
            <w:pStyle w:val="1272832570F35345A12070A1D54BCADD"/>
          </w:pPr>
          <w:r>
            <w:rPr>
              <w:rFonts w:asciiTheme="majorHAnsi" w:hAnsiTheme="majorHAnsi"/>
              <w:color w:val="E8E8E8" w:themeColor="background2"/>
              <w:sz w:val="78"/>
              <w:szCs w:val="7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292"/>
    <w:rsid w:val="00061BAB"/>
    <w:rsid w:val="00153158"/>
    <w:rsid w:val="002132A9"/>
    <w:rsid w:val="00712799"/>
    <w:rsid w:val="00717094"/>
    <w:rsid w:val="00847292"/>
    <w:rsid w:val="00890AC5"/>
    <w:rsid w:val="009A0135"/>
    <w:rsid w:val="00C77818"/>
    <w:rsid w:val="00CF6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72832570F35345A12070A1D54BCADD">
    <w:name w:val="1272832570F35345A12070A1D54BCADD"/>
    <w:rsid w:val="008472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8</Pages>
  <Words>2556</Words>
  <Characters>15185</Characters>
  <Application>Microsoft Office Word</Application>
  <DocSecurity>0</DocSecurity>
  <Lines>223</Lines>
  <Paragraphs>103</Paragraphs>
  <ScaleCrop>false</ScaleCrop>
  <Company/>
  <LinksUpToDate>false</LinksUpToDate>
  <CharactersWithSpaces>17638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2026 M37 Advisory Research &amp; insights</dc:title>
  <dc:subject/>
  <dc:creator>Joe Batista</dc:creator>
  <dc:description/>
  <cp:lastModifiedBy>Joe Batista</cp:lastModifiedBy>
  <cp:revision>6</cp:revision>
  <dcterms:created xsi:type="dcterms:W3CDTF">2026-01-29T11:47:00Z</dcterms:created>
  <dcterms:modified xsi:type="dcterms:W3CDTF">2026-02-03T11:24:00Z</dcterms:modified>
  <dc:language>en-US</dc:language>
</cp:coreProperties>
</file>