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2840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Algemene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Voorwaarden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van de DINO-CARS en TRAMPOLINE Online Shop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Consumenten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br/>
        <w:t xml:space="preserve">(Stand: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2024)</w:t>
      </w:r>
    </w:p>
    <w:p w14:paraId="73B5E348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Toepassingsgebied</w:t>
      </w:r>
      <w:proofErr w:type="spellEnd"/>
    </w:p>
    <w:p w14:paraId="23DD3EAA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algemene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voorwaarden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hierna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"AV")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toepassing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alle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tussen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(DINO-CARS Evers GmbH,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Dorfstrasse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63, 26899 Rhede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Brual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)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online shop worden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gesloten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Naast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bepalingen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AV,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wettelijke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bepalingen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toepassing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79B9BCD2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Afwijkende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tegenstrijdige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aanvullende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voorwaarden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maken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slechts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deel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zover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uitdrukkelijk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hebben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aanvaard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474AC7C9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658DC5EA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Sluiting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Taal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Opslag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contracttekst</w:t>
      </w:r>
      <w:proofErr w:type="spellEnd"/>
    </w:p>
    <w:p w14:paraId="0AEE8524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presentatie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promotie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online shop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vormt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bindend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aanbod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sluiten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koopovereenkomst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7B767577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In de </w:t>
      </w:r>
      <w:proofErr w:type="gramStart"/>
      <w:r w:rsidRPr="002424A3">
        <w:rPr>
          <w:rFonts w:ascii="Times New Roman" w:hAnsi="Times New Roman" w:cs="Times New Roman"/>
          <w:sz w:val="24"/>
          <w:szCs w:val="24"/>
        </w:rPr>
        <w:t>online shop</w:t>
      </w:r>
      <w:proofErr w:type="gram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wordt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verzonden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klikken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knop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verplicht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bestellen"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andere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duidelijk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gemarkeerde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knop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vormt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juridisch bindend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aanbod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kalenderdagen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gebonden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Eventueel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bestaande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herroepingsrechten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volgens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§ 3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blijven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hierbij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onverlet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0A8549B3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(3) Na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ontvangst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bevestigen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ontvangst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bestelbevestiging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vormt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acceptatie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contractaanbod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tenzij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acceptatie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tegelijkertijd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wordt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verklaard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3669080F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tussen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komt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tot stand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acceptatieverklaring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7666EB7B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contractsluiting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uitsluitend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Duitse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taal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beschikbaar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6564CB30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indienen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bindende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gramStart"/>
      <w:r w:rsidRPr="002424A3">
        <w:rPr>
          <w:rFonts w:ascii="Times New Roman" w:hAnsi="Times New Roman" w:cs="Times New Roman"/>
          <w:sz w:val="24"/>
          <w:szCs w:val="24"/>
        </w:rPr>
        <w:t>online shop</w:t>
      </w:r>
      <w:proofErr w:type="gram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mogelijk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contracttekst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slaan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slaan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contracttekst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van het met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gesloten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contract op.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Bovendien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ontvangt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contractvoorwaarden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met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gegevens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bestelde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inclusief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AV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herroepingsinstructies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per e-mail.</w:t>
      </w:r>
    </w:p>
    <w:p w14:paraId="00B15251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D3D3DE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§ 3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  <w:lang w:val="en-US"/>
        </w:rPr>
        <w:t>Herroepingsrecht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  <w:lang w:val="en-US"/>
        </w:rPr>
        <w:t>Uitsluiting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van het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  <w:lang w:val="en-US"/>
        </w:rPr>
        <w:t>herroepingsrecht</w:t>
      </w:r>
      <w:proofErr w:type="spellEnd"/>
    </w:p>
    <w:p w14:paraId="6773C6E9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Indien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koopovereenkomst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sluit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doeleinden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hoofdzakelijk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commerciële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zelfstandige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professionele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activiteit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toegeschreven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consument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"),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herroepingsrecht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FA2BBA0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Herroepingsinstructies</w:t>
      </w:r>
      <w:proofErr w:type="spellEnd"/>
    </w:p>
    <w:p w14:paraId="0104C0F2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Herroepingsrecht</w:t>
      </w:r>
      <w:proofErr w:type="spellEnd"/>
    </w:p>
    <w:p w14:paraId="2E6AB2E5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recht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binnen 14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zonder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opgave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redenen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herroepingsperiode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bedraagt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vanaf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aangewezen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vervoerder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bezit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genomen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genomen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Om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lastRenderedPageBreak/>
        <w:t>uw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herroepingsrecht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oefenen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moet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informeren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middel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ondubbelzinnige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verklaring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bijvoorbeeld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verzonden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uw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beslissing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:</w:t>
      </w:r>
    </w:p>
    <w:p w14:paraId="4E5DD0C3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>DINO-CARS Evers GmbH</w:t>
      </w:r>
      <w:r w:rsidRPr="002424A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Dorfstrasse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63</w:t>
      </w:r>
      <w:r w:rsidRPr="002424A3">
        <w:rPr>
          <w:rFonts w:ascii="Times New Roman" w:hAnsi="Times New Roman" w:cs="Times New Roman"/>
          <w:sz w:val="24"/>
          <w:szCs w:val="24"/>
        </w:rPr>
        <w:br/>
        <w:t xml:space="preserve">26899 Rhede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Brual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Telefoon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: +49 (0) 4964 - 60 49 00</w:t>
      </w:r>
      <w:r w:rsidRPr="002424A3">
        <w:rPr>
          <w:rFonts w:ascii="Times New Roman" w:hAnsi="Times New Roman" w:cs="Times New Roman"/>
          <w:sz w:val="24"/>
          <w:szCs w:val="24"/>
        </w:rPr>
        <w:br/>
        <w:t>Fax: +49 (0) 4964 - 91 43 20</w:t>
      </w:r>
      <w:r w:rsidRPr="002424A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: info@dinocars.de</w:t>
      </w:r>
    </w:p>
    <w:p w14:paraId="001E9875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kunt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bijgevoegde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modelformulier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gebruiken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maar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verplicht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30CB6093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naleven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herroepingsperiode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voldoende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als u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mededeling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uitoefening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herroepingsrecht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verstuurt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voordat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herroepingsperiode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verstreken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440A831F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0544B75B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Gevolgen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herroeping</w:t>
      </w:r>
      <w:proofErr w:type="spellEnd"/>
    </w:p>
    <w:p w14:paraId="383AD8A7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Als u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moeten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alle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betalingen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hebben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ontvangen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inclusief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4A3">
        <w:rPr>
          <w:rFonts w:ascii="Times New Roman" w:hAnsi="Times New Roman" w:cs="Times New Roman"/>
          <w:sz w:val="24"/>
          <w:szCs w:val="24"/>
        </w:rPr>
        <w:t>de kosten</w:t>
      </w:r>
      <w:proofErr w:type="gram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behalve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extra kosten die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voortvloeien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feit dat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andere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aangeboden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goedkoopste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standaardlevering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hebt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gekozen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uiterlijk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binnen 14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na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kennisgeving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uw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hebben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ontvangen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terugbetalen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terugbetaling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gebruiken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hetzelfde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betaalmiddel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dat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oorspronkelijke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transactie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hebt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gebruikt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tenzij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uitdrukkelijk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iets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anders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overeengekomen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worden er kosten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gebracht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terugbetaling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kunnen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terugbetaling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weigeren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totdat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hebben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ontvangen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totdat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bewijs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hebt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geleverd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dat u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geretourneerd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afhankelijk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welk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eerst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plaatsvindt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44965A28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U dient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ieder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uiterlijk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binnen 14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na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hoogte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hebt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gesteld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retourneren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dragen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termijn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acht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genomen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als u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verstrijken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termijn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14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verzendt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570D820D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draagt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kosten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retourneren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726AC59A" w14:textId="052BA1DB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hoeft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alleen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vergoeden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als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verminderd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behandeling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nodig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eigenschappen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werking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controleren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75F76A99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Uitsluiting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herroepingsrecht</w:t>
      </w:r>
      <w:proofErr w:type="spellEnd"/>
    </w:p>
    <w:p w14:paraId="2FC160F3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Het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herroepingsrecht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bestaat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overeenkomsten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vooraf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vervaardigd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waarvan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productie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individuele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keuze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specificatie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consument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vereist,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duidelijk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persoonlijke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behoeften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consument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afgestemd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5EF3C937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14D96146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1CE0FC26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28B11D60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4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Verzendkosten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Levertermijn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Beschikbaarheid</w:t>
      </w:r>
      <w:proofErr w:type="spellEnd"/>
    </w:p>
    <w:p w14:paraId="2DC0B036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worden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principe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kosten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uitgevoerd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tenzij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anders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overeengekomen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herroeping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draagt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kosten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retourzending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5434D445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binnen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Duitsland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berekenen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verzendkosten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volgens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onderstaande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tarief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:</w:t>
      </w:r>
    </w:p>
    <w:p w14:paraId="09C02DF1" w14:textId="77777777" w:rsidR="002424A3" w:rsidRPr="002424A3" w:rsidRDefault="002424A3" w:rsidP="002424A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Bestelwaarde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≤ 300,00 EUR: 8,50 EUR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verzendkosten</w:t>
      </w:r>
      <w:proofErr w:type="spellEnd"/>
    </w:p>
    <w:p w14:paraId="2CAF25FB" w14:textId="77777777" w:rsidR="002424A3" w:rsidRPr="002424A3" w:rsidRDefault="002424A3" w:rsidP="002424A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Bestelwaarde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&gt; 300,00 EUR: gratis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verzending</w:t>
      </w:r>
      <w:proofErr w:type="spellEnd"/>
    </w:p>
    <w:p w14:paraId="5650E733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rembours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worden er extra kosten van 20,00 EUR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gebracht, die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bezorger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plaatse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brengt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Er worden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andere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belastingen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kosten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gebracht.</w:t>
      </w:r>
    </w:p>
    <w:p w14:paraId="78C26145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(4)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levertijd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bedraagt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werkdagen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tenzij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online shop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levertijd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aangegeven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overeengekomen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levertijd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begint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sluiten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van het contract.</w:t>
      </w:r>
    </w:p>
    <w:p w14:paraId="541A9AC9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Deelleveringen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toegestaan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mits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dit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koper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redelijk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de extra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verzendkosten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rekening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verkoper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2424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B101A4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(6) Als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beschikbaar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informeren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Als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leverbaar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nemen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contractaanbod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zodat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tot stand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komt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Als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tijdelijk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beschikbaar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informeren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hierover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7098A447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(7)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verkoper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gerechtigd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annuleren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als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ondanks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sluiten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overeenkomst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zorgvuldigheid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leveringsgoederen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onverschuldigd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ontvangt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verkoper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koper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informeren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tijdige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beschikbaarheid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leveringsgoederen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indien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plan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zich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trekken,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recht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trekken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zonder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vertraging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uitoefenen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koper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recht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zich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trekken na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informatie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verkoper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annulering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verkoper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terugbetalen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koper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7625AC72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2AE31E5F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Prijzen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betalingsvoorwaarden</w:t>
      </w:r>
      <w:proofErr w:type="spellEnd"/>
    </w:p>
    <w:p w14:paraId="6610EF9C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aankoopprijzen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online shop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prijzen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inclusief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wettelijk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vereiste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btw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plus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verschuldigde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verzendkosten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De totale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prijs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inclusief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btw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verzendkosten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wordt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getoond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besteloverzichtspagina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vóór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plaatsen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32C5305B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aankoopprijs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verschuldigd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sluiten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koopcontract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51DCD020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(3)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kiezen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volgende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betalingsmogelijkheden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vooruitbetaling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creditcard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automatische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incasso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PayPal.</w:t>
      </w:r>
    </w:p>
    <w:p w14:paraId="1F2936E4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(4)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aankoopprijs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verzendkosten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moeten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binnen 10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ontvangst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factuur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worden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betaald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53C02C25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0B2B8573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6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Eigendomsvoorbehoud</w:t>
      </w:r>
      <w:proofErr w:type="spellEnd"/>
    </w:p>
    <w:p w14:paraId="1FAB3E3B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geleverde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blijven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eigendom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totdat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volledige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aankoopprijs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betaald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231CED94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077F32C8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>§ 7 Garantie</w:t>
      </w:r>
    </w:p>
    <w:p w14:paraId="35CBD1DD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gebreken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geleverde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voorbehoud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regeling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§ 8,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onderworpen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geldende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wettelijke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bepalingen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§§ 434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volgende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Burgerlijk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Wetboek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(BGB).</w:t>
      </w:r>
    </w:p>
    <w:p w14:paraId="673ECF65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Afwijkend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daarvan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geldt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dat de rechten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gebreken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tweedehands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verjaren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één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Andere rechten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consument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worden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hierdoor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aangetast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6788A3A5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6FA733CC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Aansprakelijkheid</w:t>
      </w:r>
      <w:proofErr w:type="spellEnd"/>
    </w:p>
    <w:p w14:paraId="7C7B1EB4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aansprakelijk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tegenover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volgens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wettelijke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bepalingen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schadevergoeding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vergoedingen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kosten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opzet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grove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nalatigheid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schade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leven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lichaam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gezondheid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bedrieglijk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verzwijgen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gebrek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gegeven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evenals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volgens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Productaansprakelijkheid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1A55DA80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aansprakelijk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licht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nalaten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essentiële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contractuele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verplichting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Essentiële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contractuele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verplichtingen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verplichtingen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waarvan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naleving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juiste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uitvoering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überhaupt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mogelijk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maakt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waarop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regelmatig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vertrouwt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mag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vertrouwen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In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geval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aansprakelijkheid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echter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beperkt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tot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vervangende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betaling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voorzienbare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contracttypische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schade.</w:t>
      </w:r>
    </w:p>
    <w:p w14:paraId="6AAC24C2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(3) Verder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aansprakelijkheid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schadevergoeding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vergoeding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kosten –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ongeacht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rechtsgrond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uitgesloten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690B1285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(4)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bovenstaande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bepalingen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gelden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gunste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wettelijke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vertegenwoordigers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hulppersonen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indien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vorderingen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worden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ingesteld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56F9A185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68D275AB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Transportbeschadigingen</w:t>
      </w:r>
      <w:proofErr w:type="spellEnd"/>
    </w:p>
    <w:p w14:paraId="6CF91CE6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Indien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goederen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zichtbare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transportschade worden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geleverd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verzoeken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schade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onmiddellijk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bezorger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melden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snel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nemen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via 0049 (0) 4964 – 60 49 00.</w:t>
      </w:r>
    </w:p>
    <w:p w14:paraId="2BD6A675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Het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uitblijven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invloed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uw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wettelijke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rechten. Het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helpt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echter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onze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eigen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vorderingen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tegen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vervoerder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transportverzekering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kunnen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indienen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0B06047F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40E96265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7FC16BBA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64BC9691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10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Toepasselijk</w:t>
      </w:r>
      <w:proofErr w:type="spellEnd"/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 recht</w:t>
      </w:r>
    </w:p>
    <w:p w14:paraId="31E91E21" w14:textId="77777777" w:rsid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Het recht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Bondsrepubliek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Duitsland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toepassing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uitsluiting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VN-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Aankoopperdrag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Als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klant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als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consument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gedaan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bestelling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gebruikelijke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verblijfplaats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ander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blijft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toepassing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dwingende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rechtsvoorschriften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dat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onverminderd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van kracht.</w:t>
      </w:r>
    </w:p>
    <w:p w14:paraId="78E86FE2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</w:p>
    <w:p w14:paraId="5735AF94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b/>
          <w:bCs/>
          <w:sz w:val="24"/>
          <w:szCs w:val="24"/>
        </w:rPr>
        <w:t xml:space="preserve">§ 11 </w:t>
      </w:r>
      <w:proofErr w:type="spellStart"/>
      <w:r w:rsidRPr="002424A3">
        <w:rPr>
          <w:rFonts w:ascii="Times New Roman" w:hAnsi="Times New Roman" w:cs="Times New Roman"/>
          <w:b/>
          <w:bCs/>
          <w:sz w:val="24"/>
          <w:szCs w:val="24"/>
        </w:rPr>
        <w:t>Geschillenbeslechting</w:t>
      </w:r>
      <w:proofErr w:type="spellEnd"/>
    </w:p>
    <w:p w14:paraId="419DA791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(1) De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Europese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Commissie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biedt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geschillenbeslechting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. Dit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vinden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new" w:history="1">
        <w:r w:rsidRPr="002424A3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https://ec.europa.eu/consumers/odr/</w:t>
        </w:r>
      </w:hyperlink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5832479B" w14:textId="77777777" w:rsidR="002424A3" w:rsidRPr="002424A3" w:rsidRDefault="002424A3" w:rsidP="002424A3">
      <w:pPr>
        <w:rPr>
          <w:rFonts w:ascii="Times New Roman" w:hAnsi="Times New Roman" w:cs="Times New Roman"/>
          <w:sz w:val="24"/>
          <w:szCs w:val="24"/>
        </w:rPr>
      </w:pPr>
      <w:r w:rsidRPr="002424A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Wij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bereid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noch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verplicht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deel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nemen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4A3">
        <w:rPr>
          <w:rFonts w:ascii="Times New Roman" w:hAnsi="Times New Roman" w:cs="Times New Roman"/>
          <w:sz w:val="24"/>
          <w:szCs w:val="24"/>
        </w:rPr>
        <w:t>geschillenbeslechtingsprocedure</w:t>
      </w:r>
      <w:proofErr w:type="spellEnd"/>
      <w:r w:rsidRPr="002424A3">
        <w:rPr>
          <w:rFonts w:ascii="Times New Roman" w:hAnsi="Times New Roman" w:cs="Times New Roman"/>
          <w:sz w:val="24"/>
          <w:szCs w:val="24"/>
        </w:rPr>
        <w:t>.</w:t>
      </w:r>
    </w:p>
    <w:p w14:paraId="365C89A9" w14:textId="77777777" w:rsidR="00913C0A" w:rsidRPr="002424A3" w:rsidRDefault="00913C0A" w:rsidP="002424A3">
      <w:pPr>
        <w:rPr>
          <w:rFonts w:ascii="Times New Roman" w:hAnsi="Times New Roman" w:cs="Times New Roman"/>
          <w:sz w:val="24"/>
          <w:szCs w:val="24"/>
        </w:rPr>
      </w:pPr>
    </w:p>
    <w:sectPr w:rsidR="00913C0A" w:rsidRPr="00242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4D86"/>
    <w:multiLevelType w:val="multilevel"/>
    <w:tmpl w:val="BA5A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306"/>
    <w:multiLevelType w:val="multilevel"/>
    <w:tmpl w:val="DEE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C5BF4"/>
    <w:multiLevelType w:val="multilevel"/>
    <w:tmpl w:val="D1F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B6C45"/>
    <w:multiLevelType w:val="multilevel"/>
    <w:tmpl w:val="DD7A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35820"/>
    <w:multiLevelType w:val="multilevel"/>
    <w:tmpl w:val="37CA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696127">
    <w:abstractNumId w:val="3"/>
  </w:num>
  <w:num w:numId="2" w16cid:durableId="1894846726">
    <w:abstractNumId w:val="1"/>
  </w:num>
  <w:num w:numId="3" w16cid:durableId="198399841">
    <w:abstractNumId w:val="0"/>
  </w:num>
  <w:num w:numId="4" w16cid:durableId="635838913">
    <w:abstractNumId w:val="2"/>
  </w:num>
  <w:num w:numId="5" w16cid:durableId="1485929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57"/>
    <w:rsid w:val="00022F66"/>
    <w:rsid w:val="002424A3"/>
    <w:rsid w:val="00307D24"/>
    <w:rsid w:val="00913C0A"/>
    <w:rsid w:val="009521C8"/>
    <w:rsid w:val="00D41F14"/>
    <w:rsid w:val="00DD7B57"/>
    <w:rsid w:val="00D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51E8"/>
  <w15:chartTrackingRefBased/>
  <w15:docId w15:val="{4072DD98-B929-4F8E-BDD5-A6EF8EB5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7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7B5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7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7B5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7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7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7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7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B5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7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7B5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7B57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7B57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7B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7B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7B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7B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7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7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7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7B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7B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7B57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7B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7B57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7B5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D7B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consumers/od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 DINO-CARS Evers GmbH</dc:creator>
  <cp:keywords/>
  <dc:description/>
  <cp:lastModifiedBy>Verwaltung DINO-CARS Evers GmbH</cp:lastModifiedBy>
  <cp:revision>2</cp:revision>
  <dcterms:created xsi:type="dcterms:W3CDTF">2025-02-18T12:51:00Z</dcterms:created>
  <dcterms:modified xsi:type="dcterms:W3CDTF">2025-02-18T12:51:00Z</dcterms:modified>
</cp:coreProperties>
</file>