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u w:val="single"/>
        </w:rPr>
      </w:pPr>
      <w:r w:rsidDel="00000000" w:rsidR="00000000" w:rsidRPr="00000000">
        <w:rPr>
          <w:u w:val="single"/>
          <w:rtl w:val="0"/>
        </w:rPr>
        <w:t xml:space="preserve">Robert Morrison: Pioneer Protestant Missionary to China</w:t>
      </w:r>
    </w:p>
    <w:p w:rsidR="00000000" w:rsidDel="00000000" w:rsidP="00000000" w:rsidRDefault="00000000" w:rsidRPr="00000000" w14:paraId="00000002">
      <w:pPr>
        <w:pStyle w:val="Heading1"/>
        <w:rPr/>
      </w:pPr>
      <w:bookmarkStart w:colFirst="0" w:colLast="0" w:name="_rgish4j7m77i" w:id="0"/>
      <w:bookmarkEnd w:id="0"/>
      <w:r w:rsidDel="00000000" w:rsidR="00000000" w:rsidRPr="00000000">
        <w:rPr>
          <w:rtl w:val="0"/>
        </w:rPr>
        <w:t xml:space="preserve">Introduction</w:t>
      </w:r>
    </w:p>
    <w:p w:rsidR="00000000" w:rsidDel="00000000" w:rsidP="00000000" w:rsidRDefault="00000000" w:rsidRPr="00000000" w14:paraId="00000003">
      <w:pPr>
        <w:numPr>
          <w:ilvl w:val="0"/>
          <w:numId w:val="7"/>
        </w:numPr>
        <w:ind w:left="720" w:hanging="360"/>
        <w:rPr>
          <w:u w:val="none"/>
        </w:rPr>
      </w:pPr>
      <w:r w:rsidDel="00000000" w:rsidR="00000000" w:rsidRPr="00000000">
        <w:rPr>
          <w:rtl w:val="0"/>
        </w:rPr>
        <w:t xml:space="preserve">[Intro] The history of the church in China is a gripping story filled with unexpected turns no one could foresee. Christianity in China has grown faster than in many parts of the world, and today China has gone from receiving pioneering missionaries to sending pioneering missionaries.</w:t>
      </w:r>
    </w:p>
    <w:p w:rsidR="00000000" w:rsidDel="00000000" w:rsidP="00000000" w:rsidRDefault="00000000" w:rsidRPr="00000000" w14:paraId="00000004">
      <w:pPr>
        <w:numPr>
          <w:ilvl w:val="0"/>
          <w:numId w:val="7"/>
        </w:numPr>
        <w:ind w:left="720" w:hanging="360"/>
        <w:rPr>
          <w:u w:val="none"/>
        </w:rPr>
      </w:pPr>
      <w:r w:rsidDel="00000000" w:rsidR="00000000" w:rsidRPr="00000000">
        <w:rPr>
          <w:rtl w:val="0"/>
        </w:rPr>
        <w:t xml:space="preserve">[Dilemma] Estimates about the number of Christians in China today vary wildly. Even if there are 50 million Christians in China—a conservative estimate—we must wonder how did Christianty come to China? While there are many parts to answering this question, Robert Morrison is one major factor in the growth of Christianity in China.</w:t>
      </w:r>
    </w:p>
    <w:p w:rsidR="00000000" w:rsidDel="00000000" w:rsidP="00000000" w:rsidRDefault="00000000" w:rsidRPr="00000000" w14:paraId="00000005">
      <w:pPr>
        <w:numPr>
          <w:ilvl w:val="0"/>
          <w:numId w:val="7"/>
        </w:numPr>
        <w:ind w:left="720" w:hanging="360"/>
        <w:rPr>
          <w:u w:val="none"/>
        </w:rPr>
      </w:pPr>
      <w:r w:rsidDel="00000000" w:rsidR="00000000" w:rsidRPr="00000000">
        <w:rPr>
          <w:rtl w:val="0"/>
        </w:rPr>
        <w:t xml:space="preserve">[Goals Today] Today we hope to study the life of Robert Morrison, understand his pioneering gospel work in China, and learn from his example.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45mzh7s79zu8" w:id="1"/>
      <w:bookmarkEnd w:id="1"/>
      <w:r w:rsidDel="00000000" w:rsidR="00000000" w:rsidRPr="00000000">
        <w:rPr>
          <w:rtl w:val="0"/>
        </w:rPr>
        <w:t xml:space="preserve">Background: Status of Christianity in China in 1800</w:t>
      </w:r>
    </w:p>
    <w:p w:rsidR="00000000" w:rsidDel="00000000" w:rsidP="00000000" w:rsidRDefault="00000000" w:rsidRPr="00000000" w14:paraId="00000008">
      <w:pPr>
        <w:numPr>
          <w:ilvl w:val="0"/>
          <w:numId w:val="4"/>
        </w:numPr>
        <w:ind w:left="720" w:hanging="360"/>
        <w:rPr>
          <w:u w:val="none"/>
        </w:rPr>
      </w:pPr>
      <w:r w:rsidDel="00000000" w:rsidR="00000000" w:rsidRPr="00000000">
        <w:rPr>
          <w:rtl w:val="0"/>
        </w:rPr>
        <w:t xml:space="preserve">[Background Up to 1700] </w:t>
      </w:r>
      <w:r w:rsidDel="00000000" w:rsidR="00000000" w:rsidRPr="00000000">
        <w:rPr>
          <w:rtl w:val="0"/>
        </w:rPr>
        <w:t xml:space="preserve">Christians</w:t>
      </w:r>
      <w:r w:rsidDel="00000000" w:rsidR="00000000" w:rsidRPr="00000000">
        <w:rPr>
          <w:rtl w:val="0"/>
        </w:rPr>
        <w:t xml:space="preserve"> first brought Christianity to China starting in the 600s, but these efforts had not made substantial inroads. Roman Catholics had arrived periodically for the next one thousand years. Roman Catholics made much more progress in the spread of Christianity and in the translation of Christian literature. However, they brought all the false teachings of Rome and failed to produce a widely available Bible.</w:t>
      </w:r>
    </w:p>
    <w:p w:rsidR="00000000" w:rsidDel="00000000" w:rsidP="00000000" w:rsidRDefault="00000000" w:rsidRPr="00000000" w14:paraId="00000009">
      <w:pPr>
        <w:numPr>
          <w:ilvl w:val="0"/>
          <w:numId w:val="4"/>
        </w:numPr>
        <w:ind w:left="720" w:hanging="360"/>
      </w:pPr>
      <w:r w:rsidDel="00000000" w:rsidR="00000000" w:rsidRPr="00000000">
        <w:rPr>
          <w:rtl w:val="0"/>
        </w:rPr>
        <w:t xml:space="preserve">[Status of Christianity in China] By the 1700s, Roman Catholic missions had subsided. In 1724, the </w:t>
      </w:r>
      <w:r w:rsidDel="00000000" w:rsidR="00000000" w:rsidRPr="00000000">
        <w:rPr>
          <w:rtl w:val="0"/>
        </w:rPr>
        <w:t xml:space="preserve">emperor</w:t>
      </w:r>
      <w:r w:rsidDel="00000000" w:rsidR="00000000" w:rsidRPr="00000000">
        <w:rPr>
          <w:rtl w:val="0"/>
        </w:rPr>
        <w:t xml:space="preserve"> of China outlawed Christianity as an evil cult.</w:t>
      </w:r>
      <w:r w:rsidDel="00000000" w:rsidR="00000000" w:rsidRPr="00000000">
        <w:rPr>
          <w:vertAlign w:val="superscript"/>
        </w:rPr>
        <w:footnoteReference w:customMarkFollows="0" w:id="0"/>
      </w:r>
      <w:r w:rsidDel="00000000" w:rsidR="00000000" w:rsidRPr="00000000">
        <w:rPr>
          <w:rtl w:val="0"/>
        </w:rPr>
        <w:t xml:space="preserve"> In 1793, the Chinese Emperor outlawed Christian missions.</w:t>
      </w:r>
      <w:r w:rsidDel="00000000" w:rsidR="00000000" w:rsidRPr="00000000">
        <w:rPr>
          <w:vertAlign w:val="superscript"/>
        </w:rPr>
        <w:footnoteReference w:customMarkFollows="0" w:id="1"/>
      </w:r>
      <w:r w:rsidDel="00000000" w:rsidR="00000000" w:rsidRPr="00000000">
        <w:rPr>
          <w:rtl w:val="0"/>
        </w:rPr>
        <w:t xml:space="preserve"> The Chinese government forbade outsiders from visiting most of the country and punished foreigners who proselytized inside the country with strangulation.</w:t>
      </w:r>
      <w:r w:rsidDel="00000000" w:rsidR="00000000" w:rsidRPr="00000000">
        <w:rPr>
          <w:vertAlign w:val="superscript"/>
        </w:rPr>
        <w:footnoteReference w:customMarkFollows="0" w:id="2"/>
      </w:r>
      <w:r w:rsidDel="00000000" w:rsidR="00000000" w:rsidRPr="00000000">
        <w:rPr>
          <w:rtl w:val="0"/>
        </w:rPr>
        <w:t xml:space="preserve"> Estimates about the number of Chinese Christians at this time vary wildly, but the number is likely around 200,000.</w:t>
      </w:r>
      <w:r w:rsidDel="00000000" w:rsidR="00000000" w:rsidRPr="00000000">
        <w:rPr>
          <w:vertAlign w:val="superscript"/>
        </w:rPr>
        <w:footnoteReference w:customMarkFollows="0" w:id="3"/>
      </w:r>
      <w:r w:rsidDel="00000000" w:rsidR="00000000" w:rsidRPr="00000000">
        <w:rPr>
          <w:rtl w:val="0"/>
        </w:rPr>
        <w:t xml:space="preserve"> A majority of these were in the Jiangnan region.</w:t>
      </w:r>
      <w:r w:rsidDel="00000000" w:rsidR="00000000" w:rsidRPr="00000000">
        <w:rPr>
          <w:vertAlign w:val="superscript"/>
        </w:rPr>
        <w:footnoteReference w:customMarkFollows="0" w:id="4"/>
      </w:r>
      <w:r w:rsidDel="00000000" w:rsidR="00000000" w:rsidRPr="00000000">
        <w:rPr>
          <w:rtl w:val="0"/>
        </w:rPr>
        <w:t xml:space="preserve"> These were all Roman Catholics who had accumulated from various Roman Catholic missionary efforts over the centuries. By the early 1800s, the Qing dynasty had ruled China for 150 years.</w:t>
      </w:r>
      <w:r w:rsidDel="00000000" w:rsidR="00000000" w:rsidRPr="00000000">
        <w:rPr>
          <w:vertAlign w:val="superscript"/>
        </w:rPr>
        <w:footnoteReference w:customMarkFollows="0" w:id="5"/>
      </w:r>
      <w:r w:rsidDel="00000000" w:rsidR="00000000" w:rsidRPr="00000000">
        <w:rPr>
          <w:rtl w:val="0"/>
        </w:rPr>
        <w:t xml:space="preserve"> During this time, China had effectively been closed to foreigners and especially to missionaries.</w:t>
      </w:r>
      <w:r w:rsidDel="00000000" w:rsidR="00000000" w:rsidRPr="00000000">
        <w:rPr>
          <w:vertAlign w:val="superscript"/>
        </w:rPr>
        <w:footnoteReference w:customMarkFollows="0" w:id="6"/>
      </w:r>
      <w:r w:rsidDel="00000000" w:rsidR="00000000" w:rsidRPr="00000000">
        <w:rPr>
          <w:rtl w:val="0"/>
        </w:rPr>
      </w:r>
    </w:p>
    <w:p w:rsidR="00000000" w:rsidDel="00000000" w:rsidP="00000000" w:rsidRDefault="00000000" w:rsidRPr="00000000" w14:paraId="0000000A">
      <w:pPr>
        <w:numPr>
          <w:ilvl w:val="0"/>
          <w:numId w:val="4"/>
        </w:numPr>
        <w:ind w:left="720" w:hanging="360"/>
        <w:rPr>
          <w:u w:val="none"/>
        </w:rPr>
      </w:pPr>
      <w:r w:rsidDel="00000000" w:rsidR="00000000" w:rsidRPr="00000000">
        <w:rPr>
          <w:rtl w:val="0"/>
        </w:rPr>
        <w:t xml:space="preserve">[Lack of Protestants] Despite this bleak background for missionary work, the conspicuous lack of a single Protestant in a country of 300 million people began stirring some Western Protestant Christians to consider moving to China for the spread of the gospel.</w:t>
      </w:r>
    </w:p>
    <w:p w:rsidR="00000000" w:rsidDel="00000000" w:rsidP="00000000" w:rsidRDefault="00000000" w:rsidRPr="00000000" w14:paraId="0000000B">
      <w:pPr>
        <w:ind w:left="0" w:firstLine="0"/>
        <w:rPr/>
      </w:pPr>
      <w:r w:rsidDel="00000000" w:rsidR="00000000" w:rsidRPr="00000000">
        <w:rPr>
          <w:rtl w:val="0"/>
        </w:rPr>
      </w:r>
    </w:p>
    <w:p w:rsidR="00000000" w:rsidDel="00000000" w:rsidP="00000000" w:rsidRDefault="00000000" w:rsidRPr="00000000" w14:paraId="0000000C">
      <w:pPr>
        <w:pStyle w:val="Heading1"/>
        <w:rPr/>
      </w:pPr>
      <w:bookmarkStart w:colFirst="0" w:colLast="0" w:name="_fhs2148dov41" w:id="2"/>
      <w:bookmarkEnd w:id="2"/>
      <w:r w:rsidDel="00000000" w:rsidR="00000000" w:rsidRPr="00000000">
        <w:rPr>
          <w:rtl w:val="0"/>
        </w:rPr>
        <w:t xml:space="preserve">Childhood</w:t>
      </w:r>
    </w:p>
    <w:p w:rsidR="00000000" w:rsidDel="00000000" w:rsidP="00000000" w:rsidRDefault="00000000" w:rsidRPr="00000000" w14:paraId="0000000D">
      <w:pPr>
        <w:numPr>
          <w:ilvl w:val="0"/>
          <w:numId w:val="2"/>
        </w:numPr>
        <w:ind w:left="720" w:hanging="360"/>
      </w:pPr>
      <w:r w:rsidDel="00000000" w:rsidR="00000000" w:rsidRPr="00000000">
        <w:rPr>
          <w:rtl w:val="0"/>
        </w:rPr>
        <w:t xml:space="preserve">[Birth] Robert Morrision was born on January 5, 1782 in Morpeth, Northumberland, England. He was the youngest son in a family of 8.</w:t>
      </w:r>
      <w:r w:rsidDel="00000000" w:rsidR="00000000" w:rsidRPr="00000000">
        <w:rPr>
          <w:vertAlign w:val="superscript"/>
        </w:rPr>
        <w:footnoteReference w:customMarkFollows="0" w:id="7"/>
      </w:r>
      <w:r w:rsidDel="00000000" w:rsidR="00000000" w:rsidRPr="00000000">
        <w:rPr>
          <w:rtl w:val="0"/>
        </w:rPr>
        <w:t xml:space="preserve"> He grew up in a small poorly lit house with mud walls, a single window, box bed, stone floor, thatched roof, and space for the family cow.</w:t>
      </w:r>
      <w:r w:rsidDel="00000000" w:rsidR="00000000" w:rsidRPr="00000000">
        <w:rPr>
          <w:vertAlign w:val="superscript"/>
        </w:rPr>
        <w:footnoteReference w:customMarkFollows="0" w:id="8"/>
      </w:r>
      <w:r w:rsidDel="00000000" w:rsidR="00000000" w:rsidRPr="00000000">
        <w:rPr>
          <w:rtl w:val="0"/>
        </w:rPr>
      </w:r>
    </w:p>
    <w:p w:rsidR="00000000" w:rsidDel="00000000" w:rsidP="00000000" w:rsidRDefault="00000000" w:rsidRPr="00000000" w14:paraId="0000000E">
      <w:pPr>
        <w:numPr>
          <w:ilvl w:val="0"/>
          <w:numId w:val="2"/>
        </w:numPr>
        <w:ind w:left="720" w:hanging="360"/>
      </w:pPr>
      <w:r w:rsidDel="00000000" w:rsidR="00000000" w:rsidRPr="00000000">
        <w:rPr>
          <w:rtl w:val="0"/>
        </w:rPr>
        <w:t xml:space="preserve">[Robert’s Father] In Robert’s own recollection, his father was “‘a truly pious man’” who “‘trained up his family in the fear of God; maintaining family worship, and instructing his children in the duty of strict observance of the Sabbath day.’”</w:t>
      </w:r>
      <w:r w:rsidDel="00000000" w:rsidR="00000000" w:rsidRPr="00000000">
        <w:rPr>
          <w:vertAlign w:val="superscript"/>
        </w:rPr>
        <w:footnoteReference w:customMarkFollows="0" w:id="9"/>
      </w:r>
      <w:r w:rsidDel="00000000" w:rsidR="00000000" w:rsidRPr="00000000">
        <w:rPr>
          <w:rtl w:val="0"/>
        </w:rPr>
      </w:r>
    </w:p>
    <w:p w:rsidR="00000000" w:rsidDel="00000000" w:rsidP="00000000" w:rsidRDefault="00000000" w:rsidRPr="00000000" w14:paraId="0000000F">
      <w:pPr>
        <w:numPr>
          <w:ilvl w:val="0"/>
          <w:numId w:val="2"/>
        </w:numPr>
        <w:ind w:left="720" w:hanging="360"/>
      </w:pPr>
      <w:r w:rsidDel="00000000" w:rsidR="00000000" w:rsidRPr="00000000">
        <w:rPr>
          <w:rtl w:val="0"/>
        </w:rPr>
        <w:t xml:space="preserve">[Conversion] Robert was converted somewhere around 1797 or 1798 at roughly age 16.</w:t>
      </w:r>
      <w:r w:rsidDel="00000000" w:rsidR="00000000" w:rsidRPr="00000000">
        <w:rPr>
          <w:vertAlign w:val="superscript"/>
        </w:rPr>
        <w:footnoteReference w:customMarkFollows="0" w:id="10"/>
      </w:r>
      <w:r w:rsidDel="00000000" w:rsidR="00000000" w:rsidRPr="00000000">
        <w:rPr>
          <w:rtl w:val="0"/>
        </w:rPr>
        <w:t xml:space="preserve"> In early 1800, he moved his bed into his father’s workshop where “'he would often pursue his studies until one or two o'clock in the morning.'”</w:t>
      </w:r>
      <w:r w:rsidDel="00000000" w:rsidR="00000000" w:rsidRPr="00000000">
        <w:rPr>
          <w:vertAlign w:val="superscript"/>
        </w:rPr>
        <w:footnoteReference w:customMarkFollows="0" w:id="11"/>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1"/>
        <w:rPr/>
      </w:pPr>
      <w:bookmarkStart w:colFirst="0" w:colLast="0" w:name="_7fy0fue15x5s" w:id="3"/>
      <w:bookmarkEnd w:id="3"/>
      <w:r w:rsidDel="00000000" w:rsidR="00000000" w:rsidRPr="00000000">
        <w:rPr>
          <w:rtl w:val="0"/>
        </w:rPr>
        <w:t xml:space="preserve">Missionary Preparation</w:t>
      </w:r>
    </w:p>
    <w:p w:rsidR="00000000" w:rsidDel="00000000" w:rsidP="00000000" w:rsidRDefault="00000000" w:rsidRPr="00000000" w14:paraId="00000012">
      <w:pPr>
        <w:numPr>
          <w:ilvl w:val="0"/>
          <w:numId w:val="8"/>
        </w:numPr>
        <w:ind w:left="720" w:hanging="360"/>
      </w:pPr>
      <w:r w:rsidDel="00000000" w:rsidR="00000000" w:rsidRPr="00000000">
        <w:rPr>
          <w:rtl w:val="0"/>
        </w:rPr>
        <w:t xml:space="preserve">[Desire to God to China] In 1801 when he began speaking of the desire to go to China, his parents opposed his desire.</w:t>
      </w:r>
      <w:r w:rsidDel="00000000" w:rsidR="00000000" w:rsidRPr="00000000">
        <w:rPr>
          <w:vertAlign w:val="superscript"/>
        </w:rPr>
        <w:footnoteReference w:customMarkFollows="0" w:id="12"/>
      </w:r>
      <w:r w:rsidDel="00000000" w:rsidR="00000000" w:rsidRPr="00000000">
        <w:rPr>
          <w:rtl w:val="0"/>
        </w:rPr>
      </w:r>
    </w:p>
    <w:p w:rsidR="00000000" w:rsidDel="00000000" w:rsidP="00000000" w:rsidRDefault="00000000" w:rsidRPr="00000000" w14:paraId="00000013">
      <w:pPr>
        <w:numPr>
          <w:ilvl w:val="0"/>
          <w:numId w:val="8"/>
        </w:numPr>
        <w:ind w:left="720" w:hanging="360"/>
      </w:pPr>
      <w:r w:rsidDel="00000000" w:rsidR="00000000" w:rsidRPr="00000000">
        <w:rPr>
          <w:rtl w:val="0"/>
        </w:rPr>
        <w:t xml:space="preserve">[Hoxton Academy] In January 1803, Morrison arrived in London via boat to study at Hoxton Academy in order to better prepare for ministry.</w:t>
      </w:r>
      <w:r w:rsidDel="00000000" w:rsidR="00000000" w:rsidRPr="00000000">
        <w:rPr>
          <w:vertAlign w:val="superscript"/>
        </w:rPr>
        <w:footnoteReference w:customMarkFollows="0" w:id="13"/>
      </w:r>
      <w:r w:rsidDel="00000000" w:rsidR="00000000" w:rsidRPr="00000000">
        <w:rPr>
          <w:rtl w:val="0"/>
        </w:rPr>
        <w:t xml:space="preserve"> While at Hoxton, </w:t>
      </w:r>
      <w:r w:rsidDel="00000000" w:rsidR="00000000" w:rsidRPr="00000000">
        <w:rPr>
          <w:rtl w:val="0"/>
        </w:rPr>
        <w:t xml:space="preserve">Morrison’s</w:t>
      </w:r>
      <w:r w:rsidDel="00000000" w:rsidR="00000000" w:rsidRPr="00000000">
        <w:rPr>
          <w:rtl w:val="0"/>
        </w:rPr>
        <w:t xml:space="preserve"> family pressured him not to be ordained and not to become a missionary. His family emphasized that his father had health problems and could no longer work, so money was tight. Further, he should have been his father’s successor in business. Despite all this, Morrison persevered in missions.</w:t>
      </w:r>
      <w:r w:rsidDel="00000000" w:rsidR="00000000" w:rsidRPr="00000000">
        <w:rPr>
          <w:vertAlign w:val="superscript"/>
        </w:rPr>
        <w:footnoteReference w:customMarkFollows="0" w:id="14"/>
      </w:r>
      <w:r w:rsidDel="00000000" w:rsidR="00000000" w:rsidRPr="00000000">
        <w:rPr>
          <w:rtl w:val="0"/>
        </w:rPr>
        <w:t xml:space="preserve"> In his journals from this time, he recounts rising at 5am to pray, read scripture, and study. This appeared to be his normal pattern.</w:t>
      </w:r>
      <w:r w:rsidDel="00000000" w:rsidR="00000000" w:rsidRPr="00000000">
        <w:rPr>
          <w:vertAlign w:val="superscript"/>
        </w:rPr>
        <w:footnoteReference w:customMarkFollows="0" w:id="15"/>
      </w:r>
      <w:r w:rsidDel="00000000" w:rsidR="00000000" w:rsidRPr="00000000">
        <w:rPr>
          <w:rtl w:val="0"/>
        </w:rPr>
      </w:r>
    </w:p>
    <w:p w:rsidR="00000000" w:rsidDel="00000000" w:rsidP="00000000" w:rsidRDefault="00000000" w:rsidRPr="00000000" w14:paraId="00000014">
      <w:pPr>
        <w:numPr>
          <w:ilvl w:val="0"/>
          <w:numId w:val="8"/>
        </w:numPr>
        <w:ind w:left="720" w:hanging="360"/>
      </w:pPr>
      <w:r w:rsidDel="00000000" w:rsidR="00000000" w:rsidRPr="00000000">
        <w:rPr>
          <w:rtl w:val="0"/>
        </w:rPr>
        <w:t xml:space="preserve">[Gosport Academy] In May of 1804, the day after applying to be a missionary with the London Missionary Society, he met with the directors of the society. These men approved his application to be a missionary and sent him to the society’s missionary academy at Gosport.</w:t>
      </w:r>
      <w:r w:rsidDel="00000000" w:rsidR="00000000" w:rsidRPr="00000000">
        <w:rPr>
          <w:vertAlign w:val="superscript"/>
        </w:rPr>
        <w:footnoteReference w:customMarkFollows="0" w:id="16"/>
      </w:r>
      <w:r w:rsidDel="00000000" w:rsidR="00000000" w:rsidRPr="00000000">
        <w:rPr>
          <w:rtl w:val="0"/>
        </w:rPr>
        <w:t xml:space="preserve"> Morrison stayed at the Academy for about two and a half years to receive training.</w:t>
      </w:r>
      <w:r w:rsidDel="00000000" w:rsidR="00000000" w:rsidRPr="00000000">
        <w:rPr>
          <w:vertAlign w:val="superscript"/>
        </w:rPr>
        <w:footnoteReference w:customMarkFollows="0" w:id="17"/>
      </w:r>
      <w:r w:rsidDel="00000000" w:rsidR="00000000" w:rsidRPr="00000000">
        <w:rPr>
          <w:rtl w:val="0"/>
        </w:rPr>
        <w:t xml:space="preserve"> Morrison was an evangelical Presbyterian</w:t>
      </w:r>
      <w:r w:rsidDel="00000000" w:rsidR="00000000" w:rsidRPr="00000000">
        <w:rPr>
          <w:vertAlign w:val="superscript"/>
        </w:rPr>
        <w:footnoteReference w:customMarkFollows="0" w:id="18"/>
      </w:r>
      <w:r w:rsidDel="00000000" w:rsidR="00000000" w:rsidRPr="00000000">
        <w:rPr>
          <w:rtl w:val="0"/>
        </w:rPr>
        <w:t xml:space="preserve"> and a strong Calvinist.</w:t>
      </w:r>
      <w:r w:rsidDel="00000000" w:rsidR="00000000" w:rsidRPr="00000000">
        <w:rPr>
          <w:vertAlign w:val="superscript"/>
        </w:rPr>
        <w:footnoteReference w:customMarkFollows="0" w:id="19"/>
      </w:r>
      <w:r w:rsidDel="00000000" w:rsidR="00000000" w:rsidRPr="00000000">
        <w:rPr>
          <w:rtl w:val="0"/>
        </w:rPr>
      </w:r>
    </w:p>
    <w:p w:rsidR="00000000" w:rsidDel="00000000" w:rsidP="00000000" w:rsidRDefault="00000000" w:rsidRPr="00000000" w14:paraId="00000015">
      <w:pPr>
        <w:numPr>
          <w:ilvl w:val="0"/>
          <w:numId w:val="8"/>
        </w:numPr>
        <w:ind w:left="720" w:hanging="360"/>
        <w:rPr/>
      </w:pPr>
      <w:r w:rsidDel="00000000" w:rsidR="00000000" w:rsidRPr="00000000">
        <w:rPr>
          <w:rtl w:val="0"/>
        </w:rPr>
        <w:t xml:space="preserve">[Morrison Recognizing the Cost of Going to China] During this time at Gosport, Morrison increasingly desired to go to China. He was aware of the sufferings this would entail. In 1804, he wrote to a friend trying to persuade this friend to serve with him in China. Morrison wrote: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sz w:val="26"/>
          <w:szCs w:val="26"/>
        </w:rPr>
      </w:pPr>
      <w:r w:rsidDel="00000000" w:rsidR="00000000" w:rsidRPr="00000000">
        <w:rPr>
          <w:rtl w:val="0"/>
        </w:rPr>
        <w:t xml:space="preserve">Take into account the three hundred and fifty millions of souls in China, who have not the means of knowing Jesus Christ our Saviour. Think seriously of your obligation to Jesus ... The undertaking is arduous, my brother; and I seriously entreat you to count the cost. Many amongst the Chinese are highly refined, and well-informed; they will not be beneath us, but superior. The Romish missionaries will be our bitterest foes, if the Lord do </w:t>
      </w:r>
      <w:r w:rsidDel="00000000" w:rsidR="00000000" w:rsidRPr="00000000">
        <w:rPr>
          <w:rtl w:val="0"/>
        </w:rPr>
        <w:t xml:space="preserve">no</w:t>
      </w:r>
      <w:r w:rsidDel="00000000" w:rsidR="00000000" w:rsidRPr="00000000">
        <w:rPr>
          <w:rtl w:val="0"/>
        </w:rPr>
        <w:t xml:space="preserve">t, in a particular manner, work upon their hearts; ... If we go, my brother, we must have the sentence of death in ourselves; not to trust in ourselves, but in the living God. (</w:t>
      </w:r>
      <w:r w:rsidDel="00000000" w:rsidR="00000000" w:rsidRPr="00000000">
        <w:rPr>
          <w:i w:val="1"/>
          <w:rtl w:val="0"/>
        </w:rPr>
        <w:t xml:space="preserve">M</w:t>
      </w:r>
      <w:r w:rsidDel="00000000" w:rsidR="00000000" w:rsidRPr="00000000">
        <w:rPr>
          <w:rtl w:val="0"/>
        </w:rPr>
        <w:t xml:space="preserve"> 1.69, 70)</w:t>
      </w:r>
      <w:r w:rsidDel="00000000" w:rsidR="00000000" w:rsidRPr="00000000">
        <w:rPr>
          <w:vertAlign w:val="superscript"/>
        </w:rPr>
        <w:footnoteReference w:customMarkFollows="0" w:id="20"/>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3"/>
        </w:numPr>
        <w:ind w:left="720" w:hanging="360"/>
      </w:pPr>
      <w:r w:rsidDel="00000000" w:rsidR="00000000" w:rsidRPr="00000000">
        <w:rPr>
          <w:rtl w:val="0"/>
        </w:rPr>
        <w:t xml:space="preserve">[Seeds of Chinese Learning] While in London, Morrison faced a serious problem. How would he learn Chinese? He knew none, and foresaw no path to learn it in England. Learning it in China was illegal since locals could not legally teach foreigners. However, providentially, in the fall of 1805, Morrison came into contact and began studying with a Chinese native from Canton named </w:t>
      </w:r>
      <w:r w:rsidDel="00000000" w:rsidR="00000000" w:rsidRPr="00000000">
        <w:rPr>
          <w:rtl w:val="0"/>
        </w:rPr>
        <w:t xml:space="preserve">Sam</w:t>
      </w:r>
      <w:r w:rsidDel="00000000" w:rsidR="00000000" w:rsidRPr="00000000">
        <w:rPr>
          <w:rtl w:val="0"/>
        </w:rPr>
        <w:t xml:space="preserve"> Tack.</w:t>
      </w:r>
      <w:r w:rsidDel="00000000" w:rsidR="00000000" w:rsidRPr="00000000">
        <w:rPr>
          <w:vertAlign w:val="superscript"/>
        </w:rPr>
        <w:footnoteReference w:customMarkFollows="0" w:id="21"/>
      </w:r>
      <w:r w:rsidDel="00000000" w:rsidR="00000000" w:rsidRPr="00000000">
        <w:rPr>
          <w:rtl w:val="0"/>
        </w:rPr>
        <w:t xml:space="preserve"> Through this relationship, Morrison was able to make a start on learning Chinese while still in England.</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1"/>
        <w:rPr/>
      </w:pPr>
      <w:bookmarkStart w:colFirst="0" w:colLast="0" w:name="_jfui5rkddcr9" w:id="4"/>
      <w:bookmarkEnd w:id="4"/>
      <w:r w:rsidDel="00000000" w:rsidR="00000000" w:rsidRPr="00000000">
        <w:rPr>
          <w:rtl w:val="0"/>
        </w:rPr>
        <w:t xml:space="preserve">Journey to China</w:t>
      </w:r>
    </w:p>
    <w:p w:rsidR="00000000" w:rsidDel="00000000" w:rsidP="00000000" w:rsidRDefault="00000000" w:rsidRPr="00000000" w14:paraId="0000001C">
      <w:pPr>
        <w:numPr>
          <w:ilvl w:val="0"/>
          <w:numId w:val="17"/>
        </w:numPr>
        <w:ind w:left="720" w:hanging="360"/>
      </w:pPr>
      <w:r w:rsidDel="00000000" w:rsidR="00000000" w:rsidRPr="00000000">
        <w:rPr>
          <w:rtl w:val="0"/>
        </w:rPr>
        <w:t xml:space="preserve">[Challenges of Getting to China - A Boat] While making progress in learning Chinese, Morrison faced another challenge — how to get to China? During the early 1800s, the most common means of long-range travel was on trade ships. However, many traders did not like missionaries as missionaries had different goals and different views about how to treat locals. Morrison wrote: “‘strong prejudices existed in England, and in all parts of India where the British influence extended, against missionary exertions.'”</w:t>
      </w:r>
      <w:r w:rsidDel="00000000" w:rsidR="00000000" w:rsidRPr="00000000">
        <w:rPr>
          <w:vertAlign w:val="superscript"/>
        </w:rPr>
        <w:footnoteReference w:customMarkFollows="0" w:id="22"/>
      </w:r>
      <w:r w:rsidDel="00000000" w:rsidR="00000000" w:rsidRPr="00000000">
        <w:rPr>
          <w:rtl w:val="0"/>
        </w:rPr>
        <w:t xml:space="preserve"> The British East India Company denied Morrison his request to have passage to China on one of its ships.</w:t>
      </w:r>
      <w:r w:rsidDel="00000000" w:rsidR="00000000" w:rsidRPr="00000000">
        <w:rPr>
          <w:vertAlign w:val="superscript"/>
        </w:rPr>
        <w:footnoteReference w:customMarkFollows="0" w:id="23"/>
      </w:r>
      <w:r w:rsidDel="00000000" w:rsidR="00000000" w:rsidRPr="00000000">
        <w:rPr>
          <w:rtl w:val="0"/>
        </w:rPr>
        <w:t xml:space="preserve"> Morrison was finally able to procure passage to New York via the ship </w:t>
      </w:r>
      <w:r w:rsidDel="00000000" w:rsidR="00000000" w:rsidRPr="00000000">
        <w:rPr>
          <w:i w:val="1"/>
          <w:rtl w:val="0"/>
        </w:rPr>
        <w:t xml:space="preserve">Remittance</w:t>
      </w:r>
      <w:r w:rsidDel="00000000" w:rsidR="00000000" w:rsidRPr="00000000">
        <w:rPr>
          <w:rtl w:val="0"/>
        </w:rPr>
        <w:t xml:space="preserve"> with the hope of sailing from New York to Canton.</w:t>
      </w:r>
      <w:r w:rsidDel="00000000" w:rsidR="00000000" w:rsidRPr="00000000">
        <w:rPr>
          <w:vertAlign w:val="superscript"/>
        </w:rPr>
        <w:footnoteReference w:customMarkFollows="0" w:id="24"/>
      </w:r>
      <w:r w:rsidDel="00000000" w:rsidR="00000000" w:rsidRPr="00000000">
        <w:rPr>
          <w:rtl w:val="0"/>
        </w:rPr>
        <w:t xml:space="preserve"> We should remember that sailing from England to New York represented a multi-month detour for Morrison, and there was no guarantee that he would be able to procure travel from New York to Canton.</w:t>
      </w:r>
    </w:p>
    <w:p w:rsidR="00000000" w:rsidDel="00000000" w:rsidP="00000000" w:rsidRDefault="00000000" w:rsidRPr="00000000" w14:paraId="0000001D">
      <w:pPr>
        <w:numPr>
          <w:ilvl w:val="0"/>
          <w:numId w:val="17"/>
        </w:numPr>
        <w:ind w:left="720" w:hanging="360"/>
      </w:pPr>
      <w:r w:rsidDel="00000000" w:rsidR="00000000" w:rsidRPr="00000000">
        <w:rPr>
          <w:rtl w:val="0"/>
        </w:rPr>
        <w:t xml:space="preserve">[Traveling Along] As if the uncertainty of procuring a route to China was not enough of a challenge, Morrison was going to China alone. He had no teammates, spouse, or people waiting for him. In other words, under even the best circumstances, Morrison would spend most of 1807 in cramped quarters on ships with minimal food in an attempt to reach China. In late January 1807 as he prepared to depart for China via New York, Morrison discussed this loneliness: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I am alone; to go alone; -- O that I may not be alone; but that the good hand of my God may be upon me, and the angel of his presence go before me. What is my object in leaving friends and country? My object was at first, and I trust still is, the glory of God in the salvation of poor sinners. O, for faith in God! O, for strong confidence in the great and precious promises! I commit to thee, O my God, my aged father, my brother, and my sisters. (M I.103, 104)</w:t>
      </w:r>
      <w:r w:rsidDel="00000000" w:rsidR="00000000" w:rsidRPr="00000000">
        <w:rPr>
          <w:vertAlign w:val="superscript"/>
        </w:rPr>
        <w:footnoteReference w:customMarkFollows="0" w:id="25"/>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numPr>
          <w:ilvl w:val="0"/>
          <w:numId w:val="1"/>
        </w:numPr>
        <w:ind w:left="720" w:hanging="360"/>
      </w:pPr>
      <w:r w:rsidDel="00000000" w:rsidR="00000000" w:rsidRPr="00000000">
        <w:rPr>
          <w:rtl w:val="0"/>
        </w:rPr>
        <w:t xml:space="preserve">[Risks of Ocean Travel] While Morrison had a ticket to New York, there was no guarantee he would arrive there — let alone in Canton. Ocean travel was risky. Storms, sickness, and pirates are just a few of the many challenges ship travel faced in the early 1800s. On January 31, 1807, Morrison left England for New </w:t>
      </w:r>
      <w:r w:rsidDel="00000000" w:rsidR="00000000" w:rsidRPr="00000000">
        <w:rPr>
          <w:rtl w:val="0"/>
        </w:rPr>
        <w:t xml:space="preserve">York</w:t>
      </w:r>
      <w:r w:rsidDel="00000000" w:rsidR="00000000" w:rsidRPr="00000000">
        <w:rPr>
          <w:rtl w:val="0"/>
        </w:rPr>
        <w:t xml:space="preserve">.</w:t>
      </w:r>
      <w:r w:rsidDel="00000000" w:rsidR="00000000" w:rsidRPr="00000000">
        <w:rPr>
          <w:vertAlign w:val="superscript"/>
        </w:rPr>
        <w:footnoteReference w:customMarkFollows="0" w:id="26"/>
      </w:r>
      <w:r w:rsidDel="00000000" w:rsidR="00000000" w:rsidRPr="00000000">
        <w:rPr>
          <w:rtl w:val="0"/>
        </w:rPr>
        <w:t xml:space="preserve">/</w:t>
      </w:r>
      <w:r w:rsidDel="00000000" w:rsidR="00000000" w:rsidRPr="00000000">
        <w:rPr>
          <w:vertAlign w:val="superscript"/>
        </w:rPr>
        <w:footnoteReference w:customMarkFollows="0" w:id="27"/>
      </w:r>
      <w:r w:rsidDel="00000000" w:rsidR="00000000" w:rsidRPr="00000000">
        <w:rPr>
          <w:rtl w:val="0"/>
        </w:rPr>
        <w:t xml:space="preserve">  On April 20, he arrived in New York.</w:t>
      </w:r>
      <w:r w:rsidDel="00000000" w:rsidR="00000000" w:rsidRPr="00000000">
        <w:rPr>
          <w:vertAlign w:val="superscript"/>
        </w:rPr>
        <w:footnoteReference w:customMarkFollows="0" w:id="28"/>
      </w:r>
      <w:r w:rsidDel="00000000" w:rsidR="00000000" w:rsidRPr="00000000">
        <w:rPr>
          <w:rtl w:val="0"/>
        </w:rPr>
        <w:t xml:space="preserve"> During his journey to New York, some ships near his vessel were lost and parts of his ship were lost as well.</w:t>
      </w:r>
      <w:r w:rsidDel="00000000" w:rsidR="00000000" w:rsidRPr="00000000">
        <w:rPr>
          <w:vertAlign w:val="superscript"/>
        </w:rPr>
        <w:footnoteReference w:customMarkFollows="0" w:id="29"/>
      </w:r>
      <w:r w:rsidDel="00000000" w:rsidR="00000000" w:rsidRPr="00000000">
        <w:rPr>
          <w:rtl w:val="0"/>
        </w:rPr>
        <w:t xml:space="preserve"> Morrison also experienced the sight of a man drowning, a fire on board, an immobilizing headwind, and more.</w:t>
      </w:r>
      <w:r w:rsidDel="00000000" w:rsidR="00000000" w:rsidRPr="00000000">
        <w:rPr>
          <w:vertAlign w:val="superscript"/>
        </w:rPr>
        <w:footnoteReference w:customMarkFollows="0" w:id="30"/>
      </w:r>
      <w:r w:rsidDel="00000000" w:rsidR="00000000" w:rsidRPr="00000000">
        <w:rPr>
          <w:rtl w:val="0"/>
        </w:rPr>
        <w:t xml:space="preserve"> </w:t>
      </w:r>
    </w:p>
    <w:p w:rsidR="00000000" w:rsidDel="00000000" w:rsidP="00000000" w:rsidRDefault="00000000" w:rsidRPr="00000000" w14:paraId="00000022">
      <w:pPr>
        <w:numPr>
          <w:ilvl w:val="0"/>
          <w:numId w:val="1"/>
        </w:numPr>
        <w:ind w:left="720" w:hanging="360"/>
      </w:pPr>
      <w:r w:rsidDel="00000000" w:rsidR="00000000" w:rsidRPr="00000000">
        <w:rPr>
          <w:rtl w:val="0"/>
        </w:rPr>
        <w:t xml:space="preserve">[New York to Canton] On May 12, 1807, Morrison set sail for China from New York.</w:t>
      </w:r>
      <w:r w:rsidDel="00000000" w:rsidR="00000000" w:rsidRPr="00000000">
        <w:rPr>
          <w:vertAlign w:val="superscript"/>
        </w:rPr>
        <w:footnoteReference w:customMarkFollows="0" w:id="31"/>
      </w:r>
      <w:r w:rsidDel="00000000" w:rsidR="00000000" w:rsidRPr="00000000">
        <w:rPr>
          <w:rtl w:val="0"/>
        </w:rPr>
        <w:t xml:space="preserve"> This ship journey would take about 115 days.</w:t>
      </w:r>
      <w:r w:rsidDel="00000000" w:rsidR="00000000" w:rsidRPr="00000000">
        <w:rPr>
          <w:vertAlign w:val="superscript"/>
        </w:rPr>
        <w:footnoteReference w:customMarkFollows="0" w:id="32"/>
      </w:r>
      <w:r w:rsidDel="00000000" w:rsidR="00000000" w:rsidRPr="00000000">
        <w:rPr>
          <w:rtl w:val="0"/>
        </w:rPr>
        <w:t xml:space="preserve"> On September 4, 1807, Robert Morrison arrived at Macau on the American ship </w:t>
      </w:r>
      <w:r w:rsidDel="00000000" w:rsidR="00000000" w:rsidRPr="00000000">
        <w:rPr>
          <w:i w:val="1"/>
          <w:rtl w:val="0"/>
        </w:rPr>
        <w:t xml:space="preserve">Trident</w:t>
      </w:r>
      <w:r w:rsidDel="00000000" w:rsidR="00000000" w:rsidRPr="00000000">
        <w:rPr>
          <w:rtl w:val="0"/>
        </w:rPr>
        <w:t xml:space="preserve">.</w:t>
      </w:r>
      <w:r w:rsidDel="00000000" w:rsidR="00000000" w:rsidRPr="00000000">
        <w:rPr>
          <w:vertAlign w:val="superscript"/>
        </w:rPr>
        <w:footnoteReference w:customMarkFollows="0" w:id="33"/>
      </w:r>
      <w:r w:rsidDel="00000000" w:rsidR="00000000" w:rsidRPr="00000000">
        <w:rPr>
          <w:rtl w:val="0"/>
        </w:rPr>
        <w:t xml:space="preserve">/</w:t>
      </w:r>
      <w:r w:rsidDel="00000000" w:rsidR="00000000" w:rsidRPr="00000000">
        <w:rPr>
          <w:vertAlign w:val="superscript"/>
        </w:rPr>
        <w:footnoteReference w:customMarkFollows="0" w:id="34"/>
      </w:r>
      <w:r w:rsidDel="00000000" w:rsidR="00000000" w:rsidRPr="00000000">
        <w:rPr>
          <w:rtl w:val="0"/>
        </w:rPr>
        <w:t xml:space="preserve"> Around 8pm on Sunday September 7, Morrison arrived in Canton after a pilot ship had helped the </w:t>
      </w:r>
      <w:r w:rsidDel="00000000" w:rsidR="00000000" w:rsidRPr="00000000">
        <w:rPr>
          <w:i w:val="1"/>
          <w:rtl w:val="0"/>
        </w:rPr>
        <w:t xml:space="preserve">Trident</w:t>
      </w:r>
      <w:r w:rsidDel="00000000" w:rsidR="00000000" w:rsidRPr="00000000">
        <w:rPr>
          <w:rtl w:val="0"/>
        </w:rPr>
        <w:t xml:space="preserve"> navigate up the Pearl River Delta</w:t>
      </w:r>
      <w:r w:rsidDel="00000000" w:rsidR="00000000" w:rsidRPr="00000000">
        <w:rPr>
          <w:rtl w:val="0"/>
        </w:rPr>
        <w:t xml:space="preserve">.</w:t>
      </w:r>
      <w:r w:rsidDel="00000000" w:rsidR="00000000" w:rsidRPr="00000000">
        <w:rPr>
          <w:vertAlign w:val="superscript"/>
        </w:rPr>
        <w:footnoteReference w:customMarkFollows="0" w:id="35"/>
      </w: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pStyle w:val="Heading1"/>
        <w:rPr/>
      </w:pPr>
      <w:bookmarkStart w:colFirst="0" w:colLast="0" w:name="_bg7krmdjigo4" w:id="5"/>
      <w:bookmarkEnd w:id="5"/>
      <w:r w:rsidDel="00000000" w:rsidR="00000000" w:rsidRPr="00000000">
        <w:rPr>
          <w:rtl w:val="0"/>
        </w:rPr>
        <w:t xml:space="preserve">Labors in China</w:t>
      </w:r>
    </w:p>
    <w:p w:rsidR="00000000" w:rsidDel="00000000" w:rsidP="00000000" w:rsidRDefault="00000000" w:rsidRPr="00000000" w14:paraId="00000025">
      <w:pPr>
        <w:pStyle w:val="Heading2"/>
        <w:rPr/>
      </w:pPr>
      <w:bookmarkStart w:colFirst="0" w:colLast="0" w:name="_bii8kwr0iqe8" w:id="6"/>
      <w:bookmarkEnd w:id="6"/>
      <w:r w:rsidDel="00000000" w:rsidR="00000000" w:rsidRPr="00000000">
        <w:rPr>
          <w:rtl w:val="0"/>
        </w:rPr>
        <w:t xml:space="preserve">Early Labors</w:t>
      </w:r>
    </w:p>
    <w:p w:rsidR="00000000" w:rsidDel="00000000" w:rsidP="00000000" w:rsidRDefault="00000000" w:rsidRPr="00000000" w14:paraId="00000026">
      <w:pPr>
        <w:numPr>
          <w:ilvl w:val="0"/>
          <w:numId w:val="5"/>
        </w:numPr>
        <w:ind w:left="720" w:hanging="360"/>
      </w:pPr>
      <w:r w:rsidDel="00000000" w:rsidR="00000000" w:rsidRPr="00000000">
        <w:rPr>
          <w:rtl w:val="0"/>
        </w:rPr>
        <w:t xml:space="preserve">[Restrictions in Canton] Upon arrival, like all foreigners, Morrison was unable to reside permanently in any part of China except Portuguese-run Macau.</w:t>
      </w:r>
      <w:r w:rsidDel="00000000" w:rsidR="00000000" w:rsidRPr="00000000">
        <w:rPr>
          <w:vertAlign w:val="superscript"/>
        </w:rPr>
        <w:footnoteReference w:customMarkFollows="0" w:id="36"/>
      </w:r>
      <w:r w:rsidDel="00000000" w:rsidR="00000000" w:rsidRPr="00000000">
        <w:rPr>
          <w:rtl w:val="0"/>
        </w:rPr>
        <w:t xml:space="preserve"> Canton was extremely regulated socially for foreigners. For example, no foreign women were allowed, no firearms, and movement was heavily controlled.</w:t>
      </w:r>
      <w:r w:rsidDel="00000000" w:rsidR="00000000" w:rsidRPr="00000000">
        <w:rPr>
          <w:vertAlign w:val="superscript"/>
        </w:rPr>
        <w:footnoteReference w:customMarkFollows="0" w:id="37"/>
      </w:r>
      <w:r w:rsidDel="00000000" w:rsidR="00000000" w:rsidRPr="00000000">
        <w:rPr>
          <w:rtl w:val="0"/>
        </w:rPr>
        <w:t xml:space="preserve"> In essence, Morrison had to stay within a trading post.</w:t>
      </w:r>
    </w:p>
    <w:p w:rsidR="00000000" w:rsidDel="00000000" w:rsidP="00000000" w:rsidRDefault="00000000" w:rsidRPr="00000000" w14:paraId="00000027">
      <w:pPr>
        <w:numPr>
          <w:ilvl w:val="0"/>
          <w:numId w:val="5"/>
        </w:numPr>
        <w:ind w:left="720" w:hanging="360"/>
      </w:pPr>
      <w:r w:rsidDel="00000000" w:rsidR="00000000" w:rsidRPr="00000000">
        <w:rPr>
          <w:rtl w:val="0"/>
        </w:rPr>
        <w:t xml:space="preserve">[Life in Factory] During his initial months, he lived in a small factory cellar room where he slept and studied.</w:t>
      </w:r>
      <w:r w:rsidDel="00000000" w:rsidR="00000000" w:rsidRPr="00000000">
        <w:rPr>
          <w:vertAlign w:val="superscript"/>
        </w:rPr>
        <w:footnoteReference w:customMarkFollows="0" w:id="38"/>
      </w:r>
      <w:r w:rsidDel="00000000" w:rsidR="00000000" w:rsidRPr="00000000">
        <w:rPr>
          <w:rtl w:val="0"/>
        </w:rPr>
        <w:t xml:space="preserve"> Life was also expensive, and Morrison was underfunded by the London Missionary Society.</w:t>
      </w:r>
      <w:r w:rsidDel="00000000" w:rsidR="00000000" w:rsidRPr="00000000">
        <w:rPr>
          <w:vertAlign w:val="superscript"/>
        </w:rPr>
        <w:footnoteReference w:customMarkFollows="0" w:id="39"/>
      </w:r>
      <w:r w:rsidDel="00000000" w:rsidR="00000000" w:rsidRPr="00000000">
        <w:rPr>
          <w:rtl w:val="0"/>
        </w:rPr>
      </w:r>
    </w:p>
    <w:p w:rsidR="00000000" w:rsidDel="00000000" w:rsidP="00000000" w:rsidRDefault="00000000" w:rsidRPr="00000000" w14:paraId="00000028">
      <w:pPr>
        <w:numPr>
          <w:ilvl w:val="0"/>
          <w:numId w:val="5"/>
        </w:numPr>
        <w:ind w:left="720" w:hanging="360"/>
      </w:pPr>
      <w:r w:rsidDel="00000000" w:rsidR="00000000" w:rsidRPr="00000000">
        <w:rPr>
          <w:rtl w:val="0"/>
        </w:rPr>
        <w:t xml:space="preserve">[A Major Decision] Shortly after his arrival, Morrison faced a hugely significant decision: should he evangelize or translate the Bible? Because of the restrictions in both Canton and Macau, Morrison realized that his situation as a full-fledged traditional missionary was, in his own words, “‘almost impractical.’”</w:t>
      </w:r>
      <w:r w:rsidDel="00000000" w:rsidR="00000000" w:rsidRPr="00000000">
        <w:rPr>
          <w:vertAlign w:val="superscript"/>
        </w:rPr>
        <w:footnoteReference w:customMarkFollows="0" w:id="40"/>
      </w:r>
      <w:r w:rsidDel="00000000" w:rsidR="00000000" w:rsidRPr="00000000">
        <w:rPr>
          <w:rtl w:val="0"/>
        </w:rPr>
        <w:t xml:space="preserve"> Further, he reasoned that evangelism would result in his deportation speedily and the Chinese needed the continuing witness of Scripture.</w:t>
      </w:r>
      <w:r w:rsidDel="00000000" w:rsidR="00000000" w:rsidRPr="00000000">
        <w:rPr>
          <w:vertAlign w:val="superscript"/>
        </w:rPr>
        <w:footnoteReference w:customMarkFollows="0" w:id="41"/>
      </w:r>
      <w:r w:rsidDel="00000000" w:rsidR="00000000" w:rsidRPr="00000000">
        <w:rPr>
          <w:rtl w:val="0"/>
        </w:rPr>
        <w:t xml:space="preserve"> Within a few months of arriving in China, Morrison began translating the Bible into Chinese.</w:t>
      </w:r>
      <w:r w:rsidDel="00000000" w:rsidR="00000000" w:rsidRPr="00000000">
        <w:rPr>
          <w:vertAlign w:val="superscript"/>
        </w:rPr>
        <w:footnoteReference w:customMarkFollows="0" w:id="42"/>
      </w:r>
      <w:r w:rsidDel="00000000" w:rsidR="00000000" w:rsidRPr="00000000">
        <w:rPr>
          <w:rtl w:val="0"/>
        </w:rPr>
      </w:r>
    </w:p>
    <w:p w:rsidR="00000000" w:rsidDel="00000000" w:rsidP="00000000" w:rsidRDefault="00000000" w:rsidRPr="00000000" w14:paraId="00000029">
      <w:pPr>
        <w:numPr>
          <w:ilvl w:val="0"/>
          <w:numId w:val="5"/>
        </w:numPr>
        <w:ind w:left="720" w:hanging="360"/>
      </w:pPr>
      <w:r w:rsidDel="00000000" w:rsidR="00000000" w:rsidRPr="00000000">
        <w:rPr>
          <w:rtl w:val="0"/>
        </w:rPr>
        <w:t xml:space="preserve">[Help Learning Language]</w:t>
      </w:r>
    </w:p>
    <w:p w:rsidR="00000000" w:rsidDel="00000000" w:rsidP="00000000" w:rsidRDefault="00000000" w:rsidRPr="00000000" w14:paraId="0000002A">
      <w:pPr>
        <w:numPr>
          <w:ilvl w:val="1"/>
          <w:numId w:val="5"/>
        </w:numPr>
        <w:ind w:left="1440" w:hanging="360"/>
      </w:pPr>
      <w:r w:rsidDel="00000000" w:rsidR="00000000" w:rsidRPr="00000000">
        <w:rPr>
          <w:rtl w:val="0"/>
        </w:rPr>
        <w:t xml:space="preserve">A few weeks after Morrison arrived, Yong Sam Tak (the man he met in London who taught him some Chinese) arrived back in Canton and began helping Morrison. Sam helped Morrison find better housing, manage logistics, and provide language help.</w:t>
      </w:r>
      <w:r w:rsidDel="00000000" w:rsidR="00000000" w:rsidRPr="00000000">
        <w:rPr>
          <w:vertAlign w:val="superscript"/>
        </w:rPr>
        <w:footnoteReference w:customMarkFollows="0" w:id="43"/>
      </w:r>
      <w:r w:rsidDel="00000000" w:rsidR="00000000" w:rsidRPr="00000000">
        <w:rPr>
          <w:rtl w:val="0"/>
        </w:rPr>
      </w:r>
    </w:p>
    <w:p w:rsidR="00000000" w:rsidDel="00000000" w:rsidP="00000000" w:rsidRDefault="00000000" w:rsidRPr="00000000" w14:paraId="0000002B">
      <w:pPr>
        <w:numPr>
          <w:ilvl w:val="1"/>
          <w:numId w:val="5"/>
        </w:numPr>
        <w:ind w:left="1440" w:hanging="360"/>
      </w:pPr>
      <w:r w:rsidDel="00000000" w:rsidR="00000000" w:rsidRPr="00000000">
        <w:rPr>
          <w:rtl w:val="0"/>
        </w:rPr>
        <w:t xml:space="preserve">In addition, </w:t>
      </w:r>
      <w:r w:rsidDel="00000000" w:rsidR="00000000" w:rsidRPr="00000000">
        <w:rPr>
          <w:rtl w:val="0"/>
        </w:rPr>
        <w:t xml:space="preserve">Morrison</w:t>
      </w:r>
      <w:r w:rsidDel="00000000" w:rsidR="00000000" w:rsidRPr="00000000">
        <w:rPr>
          <w:rtl w:val="0"/>
        </w:rPr>
        <w:t xml:space="preserve"> brought some New Testament manuscripts that had been translated into Chinese from London to Canton.</w:t>
      </w:r>
      <w:r w:rsidDel="00000000" w:rsidR="00000000" w:rsidRPr="00000000">
        <w:rPr>
          <w:vertAlign w:val="superscript"/>
        </w:rPr>
        <w:footnoteReference w:customMarkFollows="0" w:id="44"/>
      </w:r>
      <w:r w:rsidDel="00000000" w:rsidR="00000000" w:rsidRPr="00000000">
        <w:rPr>
          <w:rtl w:val="0"/>
        </w:rPr>
        <w:t xml:space="preserve"> These fragments from Roman Catholic translation work proved a very helpful foundation.</w:t>
      </w:r>
    </w:p>
    <w:p w:rsidR="00000000" w:rsidDel="00000000" w:rsidP="00000000" w:rsidRDefault="00000000" w:rsidRPr="00000000" w14:paraId="0000002C">
      <w:pPr>
        <w:numPr>
          <w:ilvl w:val="1"/>
          <w:numId w:val="5"/>
        </w:numPr>
        <w:ind w:left="1440" w:hanging="360"/>
      </w:pPr>
      <w:r w:rsidDel="00000000" w:rsidR="00000000" w:rsidRPr="00000000">
        <w:rPr>
          <w:rtl w:val="0"/>
        </w:rPr>
        <w:t xml:space="preserve">Further, in November 1807, Morrison was introduced to two local Roman Catholics who were willing to assist him in learning Chinese.</w:t>
      </w:r>
      <w:r w:rsidDel="00000000" w:rsidR="00000000" w:rsidRPr="00000000">
        <w:rPr>
          <w:vertAlign w:val="superscript"/>
        </w:rPr>
        <w:footnoteReference w:customMarkFollows="0" w:id="45"/>
      </w:r>
      <w:r w:rsidDel="00000000" w:rsidR="00000000" w:rsidRPr="00000000">
        <w:rPr>
          <w:rtl w:val="0"/>
        </w:rPr>
      </w:r>
    </w:p>
    <w:p w:rsidR="00000000" w:rsidDel="00000000" w:rsidP="00000000" w:rsidRDefault="00000000" w:rsidRPr="00000000" w14:paraId="0000002D">
      <w:pPr>
        <w:numPr>
          <w:ilvl w:val="1"/>
          <w:numId w:val="5"/>
        </w:numPr>
        <w:ind w:left="1440" w:hanging="360"/>
      </w:pPr>
      <w:r w:rsidDel="00000000" w:rsidR="00000000" w:rsidRPr="00000000">
        <w:rPr>
          <w:rtl w:val="0"/>
        </w:rPr>
        <w:t xml:space="preserve">In December 1807, Morrison was eagerly trying to learn the local language. He bought about 500 manuscripts on many different topics.</w:t>
      </w:r>
      <w:r w:rsidDel="00000000" w:rsidR="00000000" w:rsidRPr="00000000">
        <w:rPr>
          <w:vertAlign w:val="superscript"/>
        </w:rPr>
        <w:footnoteReference w:customMarkFollows="0" w:id="46"/>
      </w:r>
      <w:r w:rsidDel="00000000" w:rsidR="00000000" w:rsidRPr="00000000">
        <w:rPr>
          <w:rtl w:val="0"/>
        </w:rPr>
      </w:r>
    </w:p>
    <w:p w:rsidR="00000000" w:rsidDel="00000000" w:rsidP="00000000" w:rsidRDefault="00000000" w:rsidRPr="00000000" w14:paraId="0000002E">
      <w:pPr>
        <w:numPr>
          <w:ilvl w:val="1"/>
          <w:numId w:val="5"/>
        </w:numPr>
        <w:ind w:left="1440" w:hanging="360"/>
      </w:pPr>
      <w:r w:rsidDel="00000000" w:rsidR="00000000" w:rsidRPr="00000000">
        <w:rPr>
          <w:rtl w:val="0"/>
        </w:rPr>
        <w:t xml:space="preserve">After having procured better housing and having more local Chinese helpers to assist him learning the language, Morrison reflected on the importance of learning the local language for missionary work: “'Until the language be acquired, I can do nothing that respects the spiritual part of the work' (M l.220, 221). This was his 'chief' duty (M I.218), occupying him 'from morning to night' (M 1.219). ... 'I am in a very large house. I have persons in the family who teach me; and, as I said above, morning, noon, and night, I labour at the language' (M I.221).”</w:t>
      </w:r>
      <w:r w:rsidDel="00000000" w:rsidR="00000000" w:rsidRPr="00000000">
        <w:rPr>
          <w:vertAlign w:val="superscript"/>
        </w:rPr>
        <w:footnoteReference w:customMarkFollows="0" w:id="47"/>
      </w:r>
      <w:r w:rsidDel="00000000" w:rsidR="00000000" w:rsidRPr="00000000">
        <w:rPr>
          <w:rtl w:val="0"/>
        </w:rPr>
      </w:r>
    </w:p>
    <w:p w:rsidR="00000000" w:rsidDel="00000000" w:rsidP="00000000" w:rsidRDefault="00000000" w:rsidRPr="00000000" w14:paraId="0000002F">
      <w:pPr>
        <w:numPr>
          <w:ilvl w:val="0"/>
          <w:numId w:val="5"/>
        </w:numPr>
        <w:ind w:left="720" w:hanging="360"/>
      </w:pPr>
      <w:r w:rsidDel="00000000" w:rsidR="00000000" w:rsidRPr="00000000">
        <w:rPr>
          <w:rtl w:val="0"/>
        </w:rPr>
        <w:t xml:space="preserve">[Clarity About Mission] After a stay in Macau in the summer of 1808 to recuperate his health, Morrison arrived back in Canton in September 1808 to continue language learning. By this point Morrison was clear about his mission. He recognized the possibility of evangelism was low due to the rules and the lack of a Bible to sustain believers. In a 14 October 1808 journal entry, he stated: 'I now give up all hope of entering the Empire; the utmost that can be done is to remain on its confines, learn the language, and print books' (M I.234 ).</w:t>
      </w:r>
      <w:r w:rsidDel="00000000" w:rsidR="00000000" w:rsidRPr="00000000">
        <w:rPr>
          <w:vertAlign w:val="superscript"/>
        </w:rPr>
        <w:footnoteReference w:customMarkFollows="0" w:id="48"/>
      </w:r>
      <w:r w:rsidDel="00000000" w:rsidR="00000000" w:rsidRPr="00000000">
        <w:rPr>
          <w:rtl w:val="0"/>
        </w:rPr>
      </w:r>
    </w:p>
    <w:p w:rsidR="00000000" w:rsidDel="00000000" w:rsidP="00000000" w:rsidRDefault="00000000" w:rsidRPr="00000000" w14:paraId="00000030">
      <w:pPr>
        <w:rPr>
          <w:sz w:val="22"/>
          <w:szCs w:val="22"/>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2"/>
        <w:rPr/>
      </w:pPr>
      <w:bookmarkStart w:colFirst="0" w:colLast="0" w:name="_dgq2yws9utkc" w:id="7"/>
      <w:bookmarkEnd w:id="7"/>
      <w:r w:rsidDel="00000000" w:rsidR="00000000" w:rsidRPr="00000000">
        <w:rPr>
          <w:rtl w:val="0"/>
        </w:rPr>
        <w:t xml:space="preserve">Life in China Alone</w:t>
      </w:r>
    </w:p>
    <w:p w:rsidR="00000000" w:rsidDel="00000000" w:rsidP="00000000" w:rsidRDefault="00000000" w:rsidRPr="00000000" w14:paraId="00000033">
      <w:pPr>
        <w:numPr>
          <w:ilvl w:val="0"/>
          <w:numId w:val="14"/>
        </w:numPr>
        <w:ind w:left="720" w:hanging="360"/>
      </w:pPr>
      <w:r w:rsidDel="00000000" w:rsidR="00000000" w:rsidRPr="00000000">
        <w:rPr>
          <w:rtl w:val="0"/>
        </w:rPr>
        <w:t xml:space="preserve">[Translator for EIC] On the same day of his wedding, February 20, 1809, another major development happened in Morrison’s life. He was appointed “‘Chinese translator to the English Factory at Canton.'”</w:t>
      </w:r>
      <w:r w:rsidDel="00000000" w:rsidR="00000000" w:rsidRPr="00000000">
        <w:rPr>
          <w:vertAlign w:val="superscript"/>
        </w:rPr>
        <w:footnoteReference w:customMarkFollows="0" w:id="49"/>
      </w:r>
      <w:r w:rsidDel="00000000" w:rsidR="00000000" w:rsidRPr="00000000">
        <w:rPr>
          <w:rtl w:val="0"/>
        </w:rPr>
        <w:t xml:space="preserve"> Despite the initial hesitancy of the business community toward Morrison, his skills in language made him an extremely attractive asset and so they were willing to pay him to assist in translation work. His appointment as the official Interpreter for the East India Company (EIC) in Canton marked an incredible turnaround from when the East India Company refused to even grant him passage to Canton.</w:t>
      </w:r>
      <w:r w:rsidDel="00000000" w:rsidR="00000000" w:rsidRPr="00000000">
        <w:rPr>
          <w:vertAlign w:val="superscript"/>
        </w:rPr>
        <w:footnoteReference w:customMarkFollows="0" w:id="50"/>
      </w:r>
      <w:r w:rsidDel="00000000" w:rsidR="00000000" w:rsidRPr="00000000">
        <w:rPr>
          <w:rtl w:val="0"/>
        </w:rPr>
        <w:t xml:space="preserve"> However, it also marked the beginning of a merging —even if not an intentional or explicit merging—of missionary efforts and business dealings. This would be a very bad trend for the future of Christian missions in China.</w:t>
      </w:r>
    </w:p>
    <w:p w:rsidR="00000000" w:rsidDel="00000000" w:rsidP="00000000" w:rsidRDefault="00000000" w:rsidRPr="00000000" w14:paraId="00000034">
      <w:pPr>
        <w:numPr>
          <w:ilvl w:val="0"/>
          <w:numId w:val="14"/>
        </w:numPr>
        <w:ind w:left="720" w:hanging="360"/>
      </w:pPr>
      <w:r w:rsidDel="00000000" w:rsidR="00000000" w:rsidRPr="00000000">
        <w:rPr>
          <w:rtl w:val="0"/>
        </w:rPr>
        <w:t xml:space="preserve">[Beginning Printing] Within a few more years, Morrison began to see the labors of his intense language study. In January 1811, Morrison wrote about the printing of his first tract in Chinese. “</w:t>
      </w:r>
      <w:r w:rsidDel="00000000" w:rsidR="00000000" w:rsidRPr="00000000">
        <w:rPr>
          <w:i w:val="1"/>
          <w:rtl w:val="0"/>
        </w:rPr>
        <w:t xml:space="preserve">Shendao fun shu jiu shi zong shuo zhen ben</w:t>
      </w:r>
      <w:r w:rsidDel="00000000" w:rsidR="00000000" w:rsidRPr="00000000">
        <w:rPr>
          <w:rtl w:val="0"/>
        </w:rPr>
        <w:t xml:space="preserve"> (Canton, 1811, 6 leaves; lit, 'A True and Summary Statement of the Divine Doctrine, concerning the Redemption of the World'; see M l.298).” He had 1000 of these tracts printed as well as a short catechism.</w:t>
      </w:r>
      <w:r w:rsidDel="00000000" w:rsidR="00000000" w:rsidRPr="00000000">
        <w:rPr>
          <w:vertAlign w:val="superscript"/>
        </w:rPr>
        <w:footnoteReference w:customMarkFollows="0" w:id="51"/>
      </w:r>
      <w:r w:rsidDel="00000000" w:rsidR="00000000" w:rsidRPr="00000000">
        <w:rPr>
          <w:rtl w:val="0"/>
        </w:rPr>
        <w:t xml:space="preserve"> By the end of 1813, the New Testament had been entirely translated and was mostly done being printed.</w:t>
      </w:r>
      <w:r w:rsidDel="00000000" w:rsidR="00000000" w:rsidRPr="00000000">
        <w:rPr>
          <w:vertAlign w:val="superscript"/>
        </w:rPr>
        <w:footnoteReference w:customMarkFollows="0" w:id="52"/>
      </w:r>
      <w:r w:rsidDel="00000000" w:rsidR="00000000" w:rsidRPr="00000000">
        <w:rPr>
          <w:rtl w:val="0"/>
        </w:rPr>
        <w:t xml:space="preserve"> By 1819, Morrison had finished the Old Testament.</w:t>
      </w:r>
      <w:r w:rsidDel="00000000" w:rsidR="00000000" w:rsidRPr="00000000">
        <w:rPr>
          <w:vertAlign w:val="superscript"/>
        </w:rPr>
        <w:footnoteReference w:customMarkFollows="0" w:id="53"/>
      </w:r>
      <w:r w:rsidDel="00000000" w:rsidR="00000000" w:rsidRPr="00000000">
        <w:rPr>
          <w:rtl w:val="0"/>
        </w:rPr>
        <w:t xml:space="preserve"> In all these, Morrison, by his own admission, depended in part on previous translations by Roman Catholics.</w:t>
      </w:r>
      <w:r w:rsidDel="00000000" w:rsidR="00000000" w:rsidRPr="00000000">
        <w:rPr>
          <w:vertAlign w:val="superscript"/>
        </w:rPr>
        <w:footnoteReference w:customMarkFollows="0" w:id="54"/>
      </w:r>
      <w:r w:rsidDel="00000000" w:rsidR="00000000" w:rsidRPr="00000000">
        <w:rPr>
          <w:rtl w:val="0"/>
        </w:rPr>
      </w:r>
    </w:p>
    <w:p w:rsidR="00000000" w:rsidDel="00000000" w:rsidP="00000000" w:rsidRDefault="00000000" w:rsidRPr="00000000" w14:paraId="00000035">
      <w:pPr>
        <w:numPr>
          <w:ilvl w:val="0"/>
          <w:numId w:val="14"/>
        </w:numPr>
        <w:ind w:left="720" w:hanging="360"/>
      </w:pPr>
      <w:r w:rsidDel="00000000" w:rsidR="00000000" w:rsidRPr="00000000">
        <w:rPr>
          <w:rtl w:val="0"/>
        </w:rPr>
        <w:t xml:space="preserve">[Morrison’s First Convert] One of Morrison’s assistants, Tsae A-ko, began to be quite interested in Christianity. Morrison was slow to baptize him, wanting to make sure he understood Christianity and the cost of following Christ. This is an important lesson for us today when many individuals encourage a rapid multiplication that ignores concerns for whether the people we baptize are actually Christians. Concerning Tsae A-ko, while historians disagree about the exact date of his baptism, Tsae A-ko was baptized by Morrison sometime around the summer 1814.</w:t>
      </w:r>
      <w:r w:rsidDel="00000000" w:rsidR="00000000" w:rsidRPr="00000000">
        <w:rPr>
          <w:vertAlign w:val="superscript"/>
        </w:rPr>
        <w:footnoteReference w:customMarkFollows="0" w:id="55"/>
      </w:r>
      <w:r w:rsidDel="00000000" w:rsidR="00000000" w:rsidRPr="00000000">
        <w:rPr>
          <w:rtl w:val="0"/>
        </w:rPr>
        <w:t xml:space="preserve"> This meant that Morrison labored tirelessly in China for seven years before he saw his first conversion. Morrison often labored 14 hours a day, mostly on language learning and translation.</w:t>
      </w:r>
      <w:r w:rsidDel="00000000" w:rsidR="00000000" w:rsidRPr="00000000">
        <w:rPr>
          <w:vertAlign w:val="superscript"/>
        </w:rPr>
        <w:footnoteReference w:customMarkFollows="0" w:id="56"/>
      </w:r>
      <w:r w:rsidDel="00000000" w:rsidR="00000000" w:rsidRPr="00000000">
        <w:rPr>
          <w:rtl w:val="0"/>
        </w:rPr>
        <w:t xml:space="preserve"> His ministry focused on slow foundational work. A few years later, on November 3, 1816, Lian Fa (Leang A-fa), a helper of Morrison, was baptized.</w:t>
      </w:r>
      <w:r w:rsidDel="00000000" w:rsidR="00000000" w:rsidRPr="00000000">
        <w:rPr>
          <w:vertAlign w:val="superscript"/>
        </w:rPr>
        <w:footnoteReference w:customMarkFollows="0" w:id="57"/>
      </w:r>
      <w:r w:rsidDel="00000000" w:rsidR="00000000" w:rsidRPr="00000000">
        <w:rPr>
          <w:rtl w:val="0"/>
        </w:rPr>
      </w:r>
    </w:p>
    <w:p w:rsidR="00000000" w:rsidDel="00000000" w:rsidP="00000000" w:rsidRDefault="00000000" w:rsidRPr="00000000" w14:paraId="00000036">
      <w:pPr>
        <w:numPr>
          <w:ilvl w:val="0"/>
          <w:numId w:val="14"/>
        </w:numPr>
        <w:ind w:left="720" w:hanging="360"/>
      </w:pPr>
      <w:r w:rsidDel="00000000" w:rsidR="00000000" w:rsidRPr="00000000">
        <w:rPr>
          <w:rtl w:val="0"/>
        </w:rPr>
        <w:t xml:space="preserve">[Protection] In February 1817, Morrison was reported to the authorities by a local language helper for illegally printing in Canton. This could have easily been the end of his mission work. However, he had built up such a reputation as an invaluable linguist, especially after his Amherst Embassy mission inland where he accompanied the English on important negotiations well inland in China, that the new head of the East India Company intervened and protected Morrison.</w:t>
      </w:r>
      <w:r w:rsidDel="00000000" w:rsidR="00000000" w:rsidRPr="00000000">
        <w:rPr>
          <w:vertAlign w:val="superscript"/>
        </w:rPr>
        <w:footnoteReference w:customMarkFollows="0" w:id="58"/>
      </w:r>
      <w:r w:rsidDel="00000000" w:rsidR="00000000" w:rsidRPr="00000000">
        <w:rPr>
          <w:rtl w:val="0"/>
        </w:rPr>
      </w:r>
    </w:p>
    <w:p w:rsidR="00000000" w:rsidDel="00000000" w:rsidP="00000000" w:rsidRDefault="00000000" w:rsidRPr="00000000" w14:paraId="00000037">
      <w:pPr>
        <w:numPr>
          <w:ilvl w:val="0"/>
          <w:numId w:val="14"/>
        </w:numPr>
        <w:ind w:left="720" w:hanging="360"/>
      </w:pPr>
      <w:r w:rsidDel="00000000" w:rsidR="00000000" w:rsidRPr="00000000">
        <w:rPr>
          <w:rtl w:val="0"/>
        </w:rPr>
        <w:t xml:space="preserve">[Entire Bible] In late 1819, Morrison reached another major milestone. He finished translating the entire Bible into Chinese.</w:t>
      </w:r>
      <w:r w:rsidDel="00000000" w:rsidR="00000000" w:rsidRPr="00000000">
        <w:rPr>
          <w:vertAlign w:val="superscript"/>
        </w:rPr>
        <w:footnoteReference w:customMarkFollows="0" w:id="59"/>
      </w:r>
      <w:r w:rsidDel="00000000" w:rsidR="00000000" w:rsidRPr="00000000">
        <w:rPr>
          <w:rtl w:val="0"/>
        </w:rPr>
        <w:t xml:space="preserve">/</w:t>
      </w:r>
      <w:r w:rsidDel="00000000" w:rsidR="00000000" w:rsidRPr="00000000">
        <w:rPr>
          <w:vertAlign w:val="superscript"/>
        </w:rPr>
        <w:footnoteReference w:customMarkFollows="0" w:id="60"/>
      </w:r>
      <w:r w:rsidDel="00000000" w:rsidR="00000000" w:rsidRPr="00000000">
        <w:rPr>
          <w:rtl w:val="0"/>
        </w:rPr>
        <w:t xml:space="preserve"> We should stop and reflect that this labor, despite substantial help from locals and preexisting fragments of translations, took 12 years of near constant work. While today’s Chinese Bible is a much better translation, the path of the Bible coming into Chinese was paved through enormous dedication and sacrifice.</w:t>
      </w:r>
    </w:p>
    <w:p w:rsidR="00000000" w:rsidDel="00000000" w:rsidP="00000000" w:rsidRDefault="00000000" w:rsidRPr="00000000" w14:paraId="00000038">
      <w:pPr>
        <w:numPr>
          <w:ilvl w:val="0"/>
          <w:numId w:val="14"/>
        </w:numPr>
        <w:ind w:left="720" w:hanging="360"/>
      </w:pPr>
      <w:r w:rsidDel="00000000" w:rsidR="00000000" w:rsidRPr="00000000">
        <w:rPr>
          <w:rtl w:val="0"/>
        </w:rPr>
        <w:t xml:space="preserve">[Local Ordained] In 1823, Morrison experienced another major milestone. After 16 years of full-time labor, he ordained the first Chinese Protestant minister of the gospel, Lian Afa (1789-1855).</w:t>
      </w:r>
      <w:r w:rsidDel="00000000" w:rsidR="00000000" w:rsidRPr="00000000">
        <w:rPr>
          <w:vertAlign w:val="superscript"/>
        </w:rPr>
        <w:footnoteReference w:customMarkFollows="0" w:id="61"/>
      </w:r>
      <w:r w:rsidDel="00000000" w:rsidR="00000000" w:rsidRPr="00000000">
        <w:rPr>
          <w:rtl w:val="0"/>
        </w:rPr>
        <w:t xml:space="preserve"> Also in 1823, Morrison baptized Lian Afa’s wife and their son Leang Tsin Tih [Liang Jinde].</w:t>
      </w:r>
      <w:r w:rsidDel="00000000" w:rsidR="00000000" w:rsidRPr="00000000">
        <w:rPr>
          <w:vertAlign w:val="superscript"/>
        </w:rPr>
        <w:footnoteReference w:customMarkFollows="0" w:id="62"/>
      </w:r>
      <w:r w:rsidDel="00000000" w:rsidR="00000000" w:rsidRPr="00000000">
        <w:rPr>
          <w:rtl w:val="0"/>
        </w:rPr>
      </w:r>
    </w:p>
    <w:p w:rsidR="00000000" w:rsidDel="00000000" w:rsidP="00000000" w:rsidRDefault="00000000" w:rsidRPr="00000000" w14:paraId="00000039">
      <w:pPr>
        <w:numPr>
          <w:ilvl w:val="0"/>
          <w:numId w:val="14"/>
        </w:numPr>
        <w:ind w:left="720" w:hanging="360"/>
      </w:pPr>
      <w:r w:rsidDel="00000000" w:rsidR="00000000" w:rsidRPr="00000000">
        <w:rPr>
          <w:rtl w:val="0"/>
        </w:rPr>
        <w:t xml:space="preserve">[Dictionary] A final major development occurred in 1823. Morrison’s English-Chinese dictionary was finally completed and printed.</w:t>
      </w:r>
      <w:r w:rsidDel="00000000" w:rsidR="00000000" w:rsidRPr="00000000">
        <w:rPr>
          <w:vertAlign w:val="superscript"/>
        </w:rPr>
        <w:footnoteReference w:customMarkFollows="0" w:id="63"/>
      </w:r>
      <w:r w:rsidDel="00000000" w:rsidR="00000000" w:rsidRPr="00000000">
        <w:rPr>
          <w:rtl w:val="0"/>
        </w:rPr>
        <w:t xml:space="preserve"> This became a monumental and influential work used by many missionaries, students, and businesspeople.</w:t>
      </w:r>
    </w:p>
    <w:p w:rsidR="00000000" w:rsidDel="00000000" w:rsidP="00000000" w:rsidRDefault="00000000" w:rsidRPr="00000000" w14:paraId="0000003A">
      <w:pPr>
        <w:ind w:left="0" w:firstLine="0"/>
        <w:rPr/>
      </w:pPr>
      <w:r w:rsidDel="00000000" w:rsidR="00000000" w:rsidRPr="00000000">
        <w:rPr>
          <w:rtl w:val="0"/>
        </w:rPr>
      </w:r>
    </w:p>
    <w:p w:rsidR="00000000" w:rsidDel="00000000" w:rsidP="00000000" w:rsidRDefault="00000000" w:rsidRPr="00000000" w14:paraId="0000003B">
      <w:pPr>
        <w:pStyle w:val="Heading1"/>
        <w:rPr/>
      </w:pPr>
      <w:bookmarkStart w:colFirst="0" w:colLast="0" w:name="_ssxp03201c74" w:id="8"/>
      <w:bookmarkEnd w:id="8"/>
      <w:r w:rsidDel="00000000" w:rsidR="00000000" w:rsidRPr="00000000">
        <w:rPr>
          <w:rtl w:val="0"/>
        </w:rPr>
        <w:t xml:space="preserve">Furlough</w:t>
      </w:r>
    </w:p>
    <w:p w:rsidR="00000000" w:rsidDel="00000000" w:rsidP="00000000" w:rsidRDefault="00000000" w:rsidRPr="00000000" w14:paraId="0000003C">
      <w:pPr>
        <w:numPr>
          <w:ilvl w:val="0"/>
          <w:numId w:val="3"/>
        </w:numPr>
        <w:ind w:left="720" w:hanging="360"/>
      </w:pPr>
      <w:r w:rsidDel="00000000" w:rsidR="00000000" w:rsidRPr="00000000">
        <w:rPr>
          <w:rtl w:val="0"/>
        </w:rPr>
        <w:t xml:space="preserve">[Books] By late 1823, Morrison had been in China for over 15 years. Much of his time was spent in loneliness without his family. His wife had lived in England for years only to return to China and die relatively shortly thereafter. In December 1823, Morrison sailed for England for a two-year break. He took with him on his trip back to England a Chinese library of over 10,000 books.</w:t>
      </w:r>
      <w:r w:rsidDel="00000000" w:rsidR="00000000" w:rsidRPr="00000000">
        <w:rPr>
          <w:vertAlign w:val="superscript"/>
        </w:rPr>
        <w:footnoteReference w:customMarkFollows="0" w:id="64"/>
      </w:r>
      <w:r w:rsidDel="00000000" w:rsidR="00000000" w:rsidRPr="00000000">
        <w:rPr>
          <w:rtl w:val="0"/>
        </w:rPr>
        <w:t xml:space="preserve">/</w:t>
      </w:r>
      <w:r w:rsidDel="00000000" w:rsidR="00000000" w:rsidRPr="00000000">
        <w:rPr>
          <w:vertAlign w:val="superscript"/>
        </w:rPr>
        <w:footnoteReference w:customMarkFollows="0" w:id="65"/>
      </w:r>
      <w:r w:rsidDel="00000000" w:rsidR="00000000" w:rsidRPr="00000000">
        <w:rPr>
          <w:rtl w:val="0"/>
        </w:rPr>
        <w:t xml:space="preserve"> Morrison had spent roughly £2000 procuring this library.</w:t>
      </w:r>
      <w:r w:rsidDel="00000000" w:rsidR="00000000" w:rsidRPr="00000000">
        <w:rPr>
          <w:vertAlign w:val="superscript"/>
        </w:rPr>
        <w:footnoteReference w:customMarkFollows="0" w:id="66"/>
      </w:r>
      <w:r w:rsidDel="00000000" w:rsidR="00000000" w:rsidRPr="00000000">
        <w:rPr>
          <w:rtl w:val="0"/>
        </w:rPr>
        <w:t xml:space="preserve"> This is about 2 million CYN in today’s value.</w:t>
      </w:r>
    </w:p>
    <w:p w:rsidR="00000000" w:rsidDel="00000000" w:rsidP="00000000" w:rsidRDefault="00000000" w:rsidRPr="00000000" w14:paraId="0000003D">
      <w:pPr>
        <w:numPr>
          <w:ilvl w:val="0"/>
          <w:numId w:val="3"/>
        </w:numPr>
        <w:ind w:left="720" w:hanging="360"/>
      </w:pPr>
      <w:r w:rsidDel="00000000" w:rsidR="00000000" w:rsidRPr="00000000">
        <w:rPr>
          <w:rtl w:val="0"/>
        </w:rPr>
        <w:t xml:space="preserve">[Teaching] During his furlough, he spoke and taught extensively. Among Morrison’s first students was Samuel Dyer (1804-43), who was father to Hudson Taylor’s future wife, Maria (see M Il.301l).</w:t>
      </w:r>
      <w:r w:rsidDel="00000000" w:rsidR="00000000" w:rsidRPr="00000000">
        <w:rPr>
          <w:vertAlign w:val="superscript"/>
        </w:rPr>
        <w:footnoteReference w:customMarkFollows="0" w:id="67"/>
      </w:r>
      <w:r w:rsidDel="00000000" w:rsidR="00000000" w:rsidRPr="00000000">
        <w:rPr>
          <w:rtl w:val="0"/>
        </w:rPr>
        <w:t xml:space="preserve"> He also met with many different individuals interested in missions and in China.</w:t>
      </w:r>
    </w:p>
    <w:p w:rsidR="00000000" w:rsidDel="00000000" w:rsidP="00000000" w:rsidRDefault="00000000" w:rsidRPr="00000000" w14:paraId="0000003E">
      <w:pPr>
        <w:numPr>
          <w:ilvl w:val="0"/>
          <w:numId w:val="3"/>
        </w:numPr>
        <w:ind w:left="720" w:hanging="360"/>
      </w:pPr>
      <w:r w:rsidDel="00000000" w:rsidR="00000000" w:rsidRPr="00000000">
        <w:rPr>
          <w:rtl w:val="0"/>
        </w:rPr>
        <w:t xml:space="preserve">[Royal Society] On February 10, 1825, the famed Royal Society made Morrison a Fellow in recognition of his linguistic accomplishments. This award is arguably the highest intellectual accolade attainable in Britain.</w:t>
      </w:r>
      <w:r w:rsidDel="00000000" w:rsidR="00000000" w:rsidRPr="00000000">
        <w:rPr>
          <w:vertAlign w:val="superscript"/>
        </w:rPr>
        <w:footnoteReference w:customMarkFollows="0" w:id="68"/>
      </w:r>
      <w:r w:rsidDel="00000000" w:rsidR="00000000" w:rsidRPr="00000000">
        <w:rPr>
          <w:rtl w:val="0"/>
        </w:rPr>
        <w:t xml:space="preserve"> In an insightful comment that was characteristically focused on eternal realities, Morrison commented to a friend about receiving this honor: “'these, my Brother, are of little value in this life - how much less at the hour of death!' (M 11.304).”</w:t>
      </w:r>
      <w:r w:rsidDel="00000000" w:rsidR="00000000" w:rsidRPr="00000000">
        <w:rPr>
          <w:vertAlign w:val="superscript"/>
        </w:rPr>
        <w:footnoteReference w:customMarkFollows="0" w:id="69"/>
      </w:r>
      <w:r w:rsidDel="00000000" w:rsidR="00000000" w:rsidRPr="00000000">
        <w:rPr>
          <w:rtl w:val="0"/>
        </w:rPr>
      </w:r>
    </w:p>
    <w:p w:rsidR="00000000" w:rsidDel="00000000" w:rsidP="00000000" w:rsidRDefault="00000000" w:rsidRPr="00000000" w14:paraId="0000003F">
      <w:pPr>
        <w:numPr>
          <w:ilvl w:val="0"/>
          <w:numId w:val="3"/>
        </w:numPr>
        <w:ind w:left="720" w:hanging="360"/>
      </w:pPr>
      <w:r w:rsidDel="00000000" w:rsidR="00000000" w:rsidRPr="00000000">
        <w:rPr>
          <w:rtl w:val="0"/>
        </w:rPr>
        <w:t xml:space="preserve">[Married Eliza Armstrong] While on sabbatical in England, Morrison also met and married his second wife Eliza Armstrong (1795-1874) of Liverpool, who was 30 years old when they wed.</w:t>
      </w:r>
      <w:r w:rsidDel="00000000" w:rsidR="00000000" w:rsidRPr="00000000">
        <w:rPr>
          <w:vertAlign w:val="superscript"/>
        </w:rPr>
        <w:footnoteReference w:customMarkFollows="0" w:id="70"/>
      </w:r>
      <w:r w:rsidDel="00000000" w:rsidR="00000000" w:rsidRPr="00000000">
        <w:rPr>
          <w:rtl w:val="0"/>
        </w:rPr>
        <w:t xml:space="preserve"> Eliza would be instrumental in preserving Morrison’s life through her two-volume </w:t>
      </w:r>
      <w:r w:rsidDel="00000000" w:rsidR="00000000" w:rsidRPr="00000000">
        <w:rPr>
          <w:i w:val="1"/>
          <w:rtl w:val="0"/>
        </w:rPr>
        <w:t xml:space="preserve">Memoirs</w:t>
      </w:r>
      <w:r w:rsidDel="00000000" w:rsidR="00000000" w:rsidRPr="00000000">
        <w:rPr>
          <w:rtl w:val="0"/>
        </w:rPr>
        <w:t xml:space="preserve"> about Robert’s life and ministry.</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1"/>
        <w:rPr/>
      </w:pPr>
      <w:bookmarkStart w:colFirst="0" w:colLast="0" w:name="_9xpf0mrc24ik" w:id="9"/>
      <w:bookmarkEnd w:id="9"/>
      <w:r w:rsidDel="00000000" w:rsidR="00000000" w:rsidRPr="00000000">
        <w:rPr>
          <w:rtl w:val="0"/>
        </w:rPr>
        <w:t xml:space="preserve">Return to China</w:t>
      </w:r>
    </w:p>
    <w:p w:rsidR="00000000" w:rsidDel="00000000" w:rsidP="00000000" w:rsidRDefault="00000000" w:rsidRPr="00000000" w14:paraId="00000042">
      <w:pPr>
        <w:numPr>
          <w:ilvl w:val="0"/>
          <w:numId w:val="18"/>
        </w:numPr>
        <w:ind w:left="720" w:hanging="360"/>
      </w:pPr>
      <w:r w:rsidDel="00000000" w:rsidR="00000000" w:rsidRPr="00000000">
        <w:rPr>
          <w:rtl w:val="0"/>
        </w:rPr>
        <w:t xml:space="preserve">By early 1826, Robert was making plans to return to China with his entire family, including his new wife Eliza. Before going, he purchases about £1000 of books (£100,000 today).</w:t>
      </w:r>
      <w:r w:rsidDel="00000000" w:rsidR="00000000" w:rsidRPr="00000000">
        <w:rPr>
          <w:vertAlign w:val="superscript"/>
        </w:rPr>
        <w:footnoteReference w:customMarkFollows="0" w:id="71"/>
      </w:r>
      <w:r w:rsidDel="00000000" w:rsidR="00000000" w:rsidRPr="00000000">
        <w:rPr>
          <w:rtl w:val="0"/>
        </w:rPr>
      </w:r>
    </w:p>
    <w:p w:rsidR="00000000" w:rsidDel="00000000" w:rsidP="00000000" w:rsidRDefault="00000000" w:rsidRPr="00000000" w14:paraId="00000043">
      <w:pPr>
        <w:numPr>
          <w:ilvl w:val="0"/>
          <w:numId w:val="18"/>
        </w:numPr>
        <w:ind w:left="720" w:hanging="360"/>
      </w:pPr>
      <w:r w:rsidDel="00000000" w:rsidR="00000000" w:rsidRPr="00000000">
        <w:rPr>
          <w:rtl w:val="0"/>
        </w:rPr>
        <w:t xml:space="preserve">On May 5, 1826, the </w:t>
      </w:r>
      <w:r w:rsidDel="00000000" w:rsidR="00000000" w:rsidRPr="00000000">
        <w:rPr>
          <w:i w:val="1"/>
          <w:rtl w:val="0"/>
        </w:rPr>
        <w:t xml:space="preserve">Orwell</w:t>
      </w:r>
      <w:r w:rsidDel="00000000" w:rsidR="00000000" w:rsidRPr="00000000">
        <w:rPr>
          <w:rtl w:val="0"/>
        </w:rPr>
        <w:t xml:space="preserve"> left England with Robert, Eliza, and their kids.</w:t>
      </w:r>
      <w:r w:rsidDel="00000000" w:rsidR="00000000" w:rsidRPr="00000000">
        <w:rPr>
          <w:vertAlign w:val="superscript"/>
        </w:rPr>
        <w:footnoteReference w:customMarkFollows="0" w:id="72"/>
      </w:r>
      <w:r w:rsidDel="00000000" w:rsidR="00000000" w:rsidRPr="00000000">
        <w:rPr>
          <w:rtl w:val="0"/>
        </w:rPr>
        <w:t xml:space="preserve"> On September 19, 1826, Morrison and his family arrived back in Macao from England.</w:t>
      </w:r>
      <w:r w:rsidDel="00000000" w:rsidR="00000000" w:rsidRPr="00000000">
        <w:rPr>
          <w:vertAlign w:val="superscript"/>
        </w:rPr>
        <w:footnoteReference w:customMarkFollows="0" w:id="73"/>
      </w:r>
      <w:r w:rsidDel="00000000" w:rsidR="00000000" w:rsidRPr="00000000">
        <w:rPr>
          <w:rtl w:val="0"/>
        </w:rPr>
      </w:r>
    </w:p>
    <w:p w:rsidR="00000000" w:rsidDel="00000000" w:rsidP="00000000" w:rsidRDefault="00000000" w:rsidRPr="00000000" w14:paraId="00000044">
      <w:pPr>
        <w:numPr>
          <w:ilvl w:val="0"/>
          <w:numId w:val="18"/>
        </w:numPr>
        <w:ind w:left="720" w:hanging="360"/>
      </w:pPr>
      <w:r w:rsidDel="00000000" w:rsidR="00000000" w:rsidRPr="00000000">
        <w:rPr>
          <w:rtl w:val="0"/>
        </w:rPr>
        <w:t xml:space="preserve">Upon returning to China in 1826, Morrison made an insightful comment about missions: “'I fear the patience of British Christians will be tried, if not exhausted, before the fruits of the Chinese Mission exhibit any striking appearance' (A Parting Memorial, 1826, 111).”</w:t>
      </w:r>
      <w:r w:rsidDel="00000000" w:rsidR="00000000" w:rsidRPr="00000000">
        <w:rPr>
          <w:vertAlign w:val="superscript"/>
        </w:rPr>
        <w:footnoteReference w:customMarkFollows="0" w:id="74"/>
      </w:r>
      <w:r w:rsidDel="00000000" w:rsidR="00000000" w:rsidRPr="00000000">
        <w:rPr>
          <w:rtl w:val="0"/>
        </w:rPr>
      </w:r>
    </w:p>
    <w:p w:rsidR="00000000" w:rsidDel="00000000" w:rsidP="00000000" w:rsidRDefault="00000000" w:rsidRPr="00000000" w14:paraId="00000045">
      <w:pPr>
        <w:numPr>
          <w:ilvl w:val="0"/>
          <w:numId w:val="18"/>
        </w:numPr>
        <w:ind w:left="720" w:hanging="360"/>
      </w:pPr>
      <w:r w:rsidDel="00000000" w:rsidR="00000000" w:rsidRPr="00000000">
        <w:rPr>
          <w:rtl w:val="0"/>
        </w:rPr>
        <w:t xml:space="preserve">[Opium Trade] During the 1820s, another major challenge to long-term missions emerged. The Opium trade began to accelerate dramatically in China as British merchants exploited the local Chinese people to trade opium. While the East India Company took an ambivalent stance towards this, Morrison criticized it and said, 'Could I hold out the bread of life to the Chinese in one hand, and opium in the other (M II.203)’.”</w:t>
      </w:r>
      <w:r w:rsidDel="00000000" w:rsidR="00000000" w:rsidRPr="00000000">
        <w:rPr>
          <w:vertAlign w:val="superscript"/>
        </w:rPr>
        <w:footnoteReference w:customMarkFollows="0" w:id="75"/>
      </w:r>
      <w:r w:rsidDel="00000000" w:rsidR="00000000" w:rsidRPr="00000000">
        <w:rPr>
          <w:rtl w:val="0"/>
        </w:rPr>
        <w:t xml:space="preserve"> On another occasion in 1822, he called it “'a traffic which is far from being reputable either to the English flag, or to the character of </w:t>
      </w:r>
      <w:r w:rsidDel="00000000" w:rsidR="00000000" w:rsidRPr="00000000">
        <w:rPr>
          <w:rtl w:val="0"/>
        </w:rPr>
        <w:t xml:space="preserve">Christendom.'</w:t>
      </w:r>
      <w:r w:rsidDel="00000000" w:rsidR="00000000" w:rsidRPr="00000000">
        <w:rPr>
          <w:rtl w:val="0"/>
        </w:rPr>
        <w:t xml:space="preserve">”</w:t>
      </w:r>
      <w:r w:rsidDel="00000000" w:rsidR="00000000" w:rsidRPr="00000000">
        <w:rPr>
          <w:vertAlign w:val="superscript"/>
        </w:rPr>
        <w:footnoteReference w:customMarkFollows="0" w:id="76"/>
      </w:r>
      <w:r w:rsidDel="00000000" w:rsidR="00000000" w:rsidRPr="00000000">
        <w:rPr>
          <w:rtl w:val="0"/>
        </w:rPr>
      </w:r>
    </w:p>
    <w:p w:rsidR="00000000" w:rsidDel="00000000" w:rsidP="00000000" w:rsidRDefault="00000000" w:rsidRPr="00000000" w14:paraId="00000046">
      <w:pPr>
        <w:pStyle w:val="Heading1"/>
        <w:rPr/>
      </w:pPr>
      <w:bookmarkStart w:colFirst="0" w:colLast="0" w:name="_y9wsnxmu9hl6" w:id="10"/>
      <w:bookmarkEnd w:id="10"/>
      <w:r w:rsidDel="00000000" w:rsidR="00000000" w:rsidRPr="00000000">
        <w:rPr>
          <w:rtl w:val="0"/>
        </w:rPr>
        <w:t xml:space="preserve">Death</w:t>
      </w:r>
    </w:p>
    <w:p w:rsidR="00000000" w:rsidDel="00000000" w:rsidP="00000000" w:rsidRDefault="00000000" w:rsidRPr="00000000" w14:paraId="00000047">
      <w:pPr>
        <w:numPr>
          <w:ilvl w:val="0"/>
          <w:numId w:val="11"/>
        </w:numPr>
        <w:ind w:left="720" w:hanging="360"/>
      </w:pPr>
      <w:r w:rsidDel="00000000" w:rsidR="00000000" w:rsidRPr="00000000">
        <w:rPr>
          <w:rtl w:val="0"/>
        </w:rPr>
        <w:t xml:space="preserve">After more challenges in Canton, in December 1833, Eliza and the younger children departed back for England.</w:t>
      </w:r>
      <w:r w:rsidDel="00000000" w:rsidR="00000000" w:rsidRPr="00000000">
        <w:rPr>
          <w:vertAlign w:val="superscript"/>
        </w:rPr>
        <w:footnoteReference w:customMarkFollows="0" w:id="77"/>
      </w:r>
      <w:r w:rsidDel="00000000" w:rsidR="00000000" w:rsidRPr="00000000">
        <w:rPr>
          <w:rtl w:val="0"/>
        </w:rPr>
      </w:r>
    </w:p>
    <w:p w:rsidR="00000000" w:rsidDel="00000000" w:rsidP="00000000" w:rsidRDefault="00000000" w:rsidRPr="00000000" w14:paraId="00000048">
      <w:pPr>
        <w:numPr>
          <w:ilvl w:val="0"/>
          <w:numId w:val="11"/>
        </w:numPr>
        <w:ind w:left="720" w:hanging="360"/>
      </w:pPr>
      <w:r w:rsidDel="00000000" w:rsidR="00000000" w:rsidRPr="00000000">
        <w:rPr>
          <w:rtl w:val="0"/>
        </w:rPr>
        <w:t xml:space="preserve">As 1834 progressed, Morrison knew his health was failing. In the Spring he wrote, “‘I have laboured abundantly in past days, and have, perhaps, performed my task - all that was allotted me' (M Il.513).”</w:t>
      </w:r>
      <w:r w:rsidDel="00000000" w:rsidR="00000000" w:rsidRPr="00000000">
        <w:rPr>
          <w:vertAlign w:val="superscript"/>
        </w:rPr>
        <w:footnoteReference w:customMarkFollows="0" w:id="78"/>
      </w:r>
      <w:r w:rsidDel="00000000" w:rsidR="00000000" w:rsidRPr="00000000">
        <w:rPr>
          <w:rtl w:val="0"/>
        </w:rPr>
        <w:t xml:space="preserve"> A man who had lived most of his life homeless, he preached what would be his final sermon on John 14, “'In my father's house are many mansions’ (see also M II.524).”</w:t>
      </w:r>
      <w:r w:rsidDel="00000000" w:rsidR="00000000" w:rsidRPr="00000000">
        <w:rPr>
          <w:vertAlign w:val="superscript"/>
        </w:rPr>
        <w:footnoteReference w:customMarkFollows="0" w:id="79"/>
      </w:r>
      <w:r w:rsidDel="00000000" w:rsidR="00000000" w:rsidRPr="00000000">
        <w:rPr>
          <w:rtl w:val="0"/>
        </w:rPr>
      </w:r>
    </w:p>
    <w:p w:rsidR="00000000" w:rsidDel="00000000" w:rsidP="00000000" w:rsidRDefault="00000000" w:rsidRPr="00000000" w14:paraId="00000049">
      <w:pPr>
        <w:numPr>
          <w:ilvl w:val="0"/>
          <w:numId w:val="11"/>
        </w:numPr>
        <w:ind w:left="720" w:hanging="360"/>
      </w:pPr>
      <w:r w:rsidDel="00000000" w:rsidR="00000000" w:rsidRPr="00000000">
        <w:rPr>
          <w:rtl w:val="0"/>
        </w:rPr>
        <w:t xml:space="preserve">On Friday August 1, 1834 around 10am, Morrison died in the arms of his son John Roberts.</w:t>
      </w:r>
      <w:r w:rsidDel="00000000" w:rsidR="00000000" w:rsidRPr="00000000">
        <w:rPr>
          <w:vertAlign w:val="superscript"/>
        </w:rPr>
        <w:footnoteReference w:customMarkFollows="0" w:id="80"/>
      </w:r>
      <w:r w:rsidDel="00000000" w:rsidR="00000000" w:rsidRPr="00000000">
        <w:rPr>
          <w:rtl w:val="0"/>
        </w:rPr>
        <w:t xml:space="preserve"> Seven days later on August 8, 1834, Morrison was buried in a grave beside his wife, John Robert’s mother, Mary, in the plot that is now the 'The Old Protestant Cemetery' in the 'Luis de Camoes' Garden of Macau.</w:t>
      </w:r>
      <w:r w:rsidDel="00000000" w:rsidR="00000000" w:rsidRPr="00000000">
        <w:rPr>
          <w:vertAlign w:val="superscript"/>
        </w:rPr>
        <w:footnoteReference w:customMarkFollows="0" w:id="81"/>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Heading1"/>
        <w:rPr/>
      </w:pPr>
      <w:bookmarkStart w:colFirst="0" w:colLast="0" w:name="_urym6fwidw5b" w:id="11"/>
      <w:bookmarkEnd w:id="11"/>
      <w:r w:rsidDel="00000000" w:rsidR="00000000" w:rsidRPr="00000000">
        <w:rPr>
          <w:rtl w:val="0"/>
        </w:rPr>
        <w:t xml:space="preserve">Legacy</w:t>
      </w:r>
    </w:p>
    <w:p w:rsidR="00000000" w:rsidDel="00000000" w:rsidP="00000000" w:rsidRDefault="00000000" w:rsidRPr="00000000" w14:paraId="0000004C">
      <w:pPr>
        <w:numPr>
          <w:ilvl w:val="0"/>
          <w:numId w:val="19"/>
        </w:numPr>
        <w:ind w:left="720" w:hanging="360"/>
      </w:pPr>
      <w:r w:rsidDel="00000000" w:rsidR="00000000" w:rsidRPr="00000000">
        <w:rPr>
          <w:rtl w:val="0"/>
        </w:rPr>
        <w:t xml:space="preserve">[Work Accomplished] By the time he died in 1834, Morrison had only baptized 10 Chinese converts</w:t>
      </w:r>
      <w:r w:rsidDel="00000000" w:rsidR="00000000" w:rsidRPr="00000000">
        <w:rPr>
          <w:vertAlign w:val="superscript"/>
        </w:rPr>
        <w:footnoteReference w:customMarkFollows="0" w:id="82"/>
      </w:r>
      <w:r w:rsidDel="00000000" w:rsidR="00000000" w:rsidRPr="00000000">
        <w:rPr>
          <w:rtl w:val="0"/>
        </w:rPr>
        <w:t xml:space="preserve"> yet his life proved immensely productive and valuable for long-term gospel work. He published the first systematic grammar of the Chinese language, a three-volume Chinese-English dictionary, a 103 question Catechism</w:t>
      </w:r>
      <w:r w:rsidDel="00000000" w:rsidR="00000000" w:rsidRPr="00000000">
        <w:rPr>
          <w:vertAlign w:val="superscript"/>
        </w:rPr>
        <w:footnoteReference w:customMarkFollows="0" w:id="83"/>
      </w:r>
      <w:r w:rsidDel="00000000" w:rsidR="00000000" w:rsidRPr="00000000">
        <w:rPr>
          <w:rtl w:val="0"/>
        </w:rPr>
        <w:t xml:space="preserve">, and a Bible in Chinese.</w:t>
      </w:r>
      <w:r w:rsidDel="00000000" w:rsidR="00000000" w:rsidRPr="00000000">
        <w:rPr>
          <w:vertAlign w:val="superscript"/>
        </w:rPr>
        <w:footnoteReference w:customMarkFollows="0" w:id="84"/>
      </w:r>
      <w:r w:rsidDel="00000000" w:rsidR="00000000" w:rsidRPr="00000000">
        <w:rPr>
          <w:rtl w:val="0"/>
        </w:rPr>
      </w:r>
    </w:p>
    <w:p w:rsidR="00000000" w:rsidDel="00000000" w:rsidP="00000000" w:rsidRDefault="00000000" w:rsidRPr="00000000" w14:paraId="0000004D">
      <w:pPr>
        <w:numPr>
          <w:ilvl w:val="0"/>
          <w:numId w:val="19"/>
        </w:numPr>
        <w:ind w:left="720" w:hanging="360"/>
      </w:pPr>
      <w:r w:rsidDel="00000000" w:rsidR="00000000" w:rsidRPr="00000000">
        <w:rPr>
          <w:rtl w:val="0"/>
        </w:rPr>
        <w:t xml:space="preserve">[John </w:t>
      </w:r>
      <w:r w:rsidDel="00000000" w:rsidR="00000000" w:rsidRPr="00000000">
        <w:rPr>
          <w:rtl w:val="0"/>
        </w:rPr>
        <w:t xml:space="preserve">Robert</w:t>
      </w:r>
      <w:r w:rsidDel="00000000" w:rsidR="00000000" w:rsidRPr="00000000">
        <w:rPr>
          <w:rtl w:val="0"/>
        </w:rPr>
        <w:t xml:space="preserve">] Morrison’s oldest son, John Robert, who had worked closely alongside his father since his teenage years, took over his father’s work with the London Missionary Society. John also worked as the Chinese Secretary for the East India Company.</w:t>
      </w:r>
      <w:r w:rsidDel="00000000" w:rsidR="00000000" w:rsidRPr="00000000">
        <w:rPr>
          <w:vertAlign w:val="superscript"/>
        </w:rPr>
        <w:footnoteReference w:customMarkFollows="0" w:id="85"/>
      </w:r>
      <w:r w:rsidDel="00000000" w:rsidR="00000000" w:rsidRPr="00000000">
        <w:rPr>
          <w:rtl w:val="0"/>
        </w:rPr>
        <w:t xml:space="preserve"> John was a remarkable man. A few years earlier in 1830 at age 16, John Robert was appointed Chinese translator of the British merchants in Canton.</w:t>
      </w:r>
      <w:r w:rsidDel="00000000" w:rsidR="00000000" w:rsidRPr="00000000">
        <w:rPr>
          <w:vertAlign w:val="superscript"/>
        </w:rPr>
        <w:footnoteReference w:customMarkFollows="0" w:id="86"/>
      </w:r>
      <w:r w:rsidDel="00000000" w:rsidR="00000000" w:rsidRPr="00000000">
        <w:rPr>
          <w:rtl w:val="0"/>
        </w:rPr>
        <w:t xml:space="preserve"> In the early 1840s when Hong Kong became a British territory, John Robert became a member of the legislative and executive council and officiating colonial secretary in Hong Kong.</w:t>
      </w:r>
      <w:r w:rsidDel="00000000" w:rsidR="00000000" w:rsidRPr="00000000">
        <w:rPr>
          <w:vertAlign w:val="superscript"/>
        </w:rPr>
        <w:footnoteReference w:customMarkFollows="0" w:id="87"/>
      </w:r>
      <w:r w:rsidDel="00000000" w:rsidR="00000000" w:rsidRPr="00000000">
        <w:rPr>
          <w:rtl w:val="0"/>
        </w:rPr>
      </w:r>
    </w:p>
    <w:p w:rsidR="00000000" w:rsidDel="00000000" w:rsidP="00000000" w:rsidRDefault="00000000" w:rsidRPr="00000000" w14:paraId="0000004E">
      <w:pPr>
        <w:numPr>
          <w:ilvl w:val="0"/>
          <w:numId w:val="19"/>
        </w:numPr>
        <w:ind w:left="720" w:hanging="360"/>
        <w:rPr>
          <w:u w:val="none"/>
        </w:rPr>
      </w:pPr>
      <w:r w:rsidDel="00000000" w:rsidR="00000000" w:rsidRPr="00000000">
        <w:rPr>
          <w:rtl w:val="0"/>
        </w:rPr>
        <w:t xml:space="preserve">The next generation of missionaries, both foreign and local, built heavily on Morrison’s work. His literature, dictionary, catechism, and Bible would be printed and distributed thousands of times. Foreigners coming to China no longer had to go through the decade of arduous language learning as they had a dictionary and other material to help them become proficient in Chinese quickly. Further, Morrison’s life inspired others and the slow trickle of missionaries became a tsunami through the life and work of Hudson Taylor.</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pStyle w:val="Heading1"/>
        <w:rPr/>
      </w:pPr>
      <w:bookmarkStart w:colFirst="0" w:colLast="0" w:name="_t1wm26t91rjj" w:id="12"/>
      <w:bookmarkEnd w:id="12"/>
      <w:r w:rsidDel="00000000" w:rsidR="00000000" w:rsidRPr="00000000">
        <w:rPr>
          <w:rtl w:val="0"/>
        </w:rPr>
        <w:t xml:space="preserve">Lessons &amp; Reflections</w:t>
      </w:r>
      <w:r w:rsidDel="00000000" w:rsidR="00000000" w:rsidRPr="00000000">
        <w:rPr>
          <w:rtl w:val="0"/>
        </w:rPr>
      </w:r>
    </w:p>
    <w:p w:rsidR="00000000" w:rsidDel="00000000" w:rsidP="00000000" w:rsidRDefault="00000000" w:rsidRPr="00000000" w14:paraId="00000051">
      <w:pPr>
        <w:pStyle w:val="Heading2"/>
        <w:rPr/>
      </w:pPr>
      <w:bookmarkStart w:colFirst="0" w:colLast="0" w:name="_z1dnqebmblxa" w:id="13"/>
      <w:bookmarkEnd w:id="13"/>
      <w:r w:rsidDel="00000000" w:rsidR="00000000" w:rsidRPr="00000000">
        <w:rPr>
          <w:rtl w:val="0"/>
        </w:rPr>
        <w:t xml:space="preserve">1: Gratitude for Access to the Gospel</w:t>
      </w:r>
    </w:p>
    <w:p w:rsidR="00000000" w:rsidDel="00000000" w:rsidP="00000000" w:rsidRDefault="00000000" w:rsidRPr="00000000" w14:paraId="00000052">
      <w:pPr>
        <w:numPr>
          <w:ilvl w:val="0"/>
          <w:numId w:val="10"/>
        </w:numPr>
        <w:ind w:left="720" w:hanging="360"/>
        <w:rPr>
          <w:sz w:val="24"/>
          <w:szCs w:val="24"/>
        </w:rPr>
      </w:pPr>
      <w:r w:rsidDel="00000000" w:rsidR="00000000" w:rsidRPr="00000000">
        <w:rPr>
          <w:rtl w:val="0"/>
        </w:rPr>
        <w:t xml:space="preserve">The first and most pressing lesson is to give thanks to God for the access to the gospel we all take for granted. For most of Chinese history, people lived and died without any access to the good news of Jesus. Today, multiple Bible translations exist, countless sermons exist, and lots of Christian literature exists—all in Chinese. We should give great thanks to God that a country that once lived in darkness now has access to the gospel. Granted, some parts of China are still unreached and we should pray for those places and support missionaries there, but overall China has access to the gospel.</w:t>
      </w:r>
    </w:p>
    <w:p w:rsidR="00000000" w:rsidDel="00000000" w:rsidP="00000000" w:rsidRDefault="00000000" w:rsidRPr="00000000" w14:paraId="00000053">
      <w:pPr>
        <w:ind w:left="0" w:firstLine="0"/>
        <w:rPr/>
      </w:pPr>
      <w:r w:rsidDel="00000000" w:rsidR="00000000" w:rsidRPr="00000000">
        <w:rPr>
          <w:rtl w:val="0"/>
        </w:rPr>
      </w:r>
    </w:p>
    <w:p w:rsidR="00000000" w:rsidDel="00000000" w:rsidP="00000000" w:rsidRDefault="00000000" w:rsidRPr="00000000" w14:paraId="00000054">
      <w:pPr>
        <w:pStyle w:val="Heading2"/>
        <w:rPr/>
      </w:pPr>
      <w:bookmarkStart w:colFirst="0" w:colLast="0" w:name="_3kayuwj5n3he" w:id="14"/>
      <w:bookmarkEnd w:id="14"/>
      <w:r w:rsidDel="00000000" w:rsidR="00000000" w:rsidRPr="00000000">
        <w:rPr>
          <w:rtl w:val="0"/>
        </w:rPr>
        <w:t xml:space="preserve">2: Enormous Sacrifices Required for Gospel to Go to China</w:t>
      </w:r>
    </w:p>
    <w:p w:rsidR="00000000" w:rsidDel="00000000" w:rsidP="00000000" w:rsidRDefault="00000000" w:rsidRPr="00000000" w14:paraId="00000055">
      <w:pPr>
        <w:numPr>
          <w:ilvl w:val="0"/>
          <w:numId w:val="10"/>
        </w:numPr>
        <w:ind w:left="720" w:hanging="360"/>
        <w:rPr>
          <w:u w:val="none"/>
        </w:rPr>
      </w:pPr>
      <w:r w:rsidDel="00000000" w:rsidR="00000000" w:rsidRPr="00000000">
        <w:rPr>
          <w:rtl w:val="0"/>
        </w:rPr>
        <w:t xml:space="preserve">Access to the gospel came through enormous sacrifices. Morrison spent years of his life alone, poor, living in difficult circumstances, and laboring under constant threat of harm or deportation. He left his family of birth and his family of marriage. His wife suffered recurring health challenges from the climate and lifestyle. He died away from his family in a foreign country. Morrison’s life should help us appreciate that fruitfulness in Christian ministry work is often very hard and risky, even if this challenge today comes in different forms. For some today in China, they may be called to be the next pioneer missionaries. Just as Robert Morrison used the British empire to enter Canton, so some Chinese today can reach into countries where missionaries from other countries like America cannot reach. I remember being in a country in Western Asia that is hard for Westerners to do gospel work in yet this country borders China and Chinese can easily enter it. God may well use the Chinese economic prosperity as a bridge for much more important and eternal prosperity of the gospel as missionaries and businessmen take the gospel from China to remote parts of the world.</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pStyle w:val="Heading2"/>
        <w:rPr/>
      </w:pPr>
      <w:bookmarkStart w:colFirst="0" w:colLast="0" w:name="_sjmssoip5xv" w:id="15"/>
      <w:bookmarkEnd w:id="15"/>
      <w:r w:rsidDel="00000000" w:rsidR="00000000" w:rsidRPr="00000000">
        <w:rPr>
          <w:rtl w:val="0"/>
        </w:rPr>
        <w:t xml:space="preserve">3: </w:t>
      </w:r>
      <w:r w:rsidDel="00000000" w:rsidR="00000000" w:rsidRPr="00000000">
        <w:rPr>
          <w:rtl w:val="0"/>
        </w:rPr>
        <w:t xml:space="preserve">Keep a Long-Term Focus</w:t>
      </w:r>
    </w:p>
    <w:p w:rsidR="00000000" w:rsidDel="00000000" w:rsidP="00000000" w:rsidRDefault="00000000" w:rsidRPr="00000000" w14:paraId="00000058">
      <w:pPr>
        <w:numPr>
          <w:ilvl w:val="0"/>
          <w:numId w:val="16"/>
        </w:numPr>
        <w:ind w:left="720" w:hanging="360"/>
        <w:rPr>
          <w:u w:val="none"/>
        </w:rPr>
      </w:pPr>
      <w:r w:rsidDel="00000000" w:rsidR="00000000" w:rsidRPr="00000000">
        <w:rPr>
          <w:rtl w:val="0"/>
        </w:rPr>
        <w:t xml:space="preserve">For years as a missionary in China, Morrison’s labors looked fruitless. I am sure some individuals in England wondered what Robert was doing without books or baptisms to show. However, good missionary work is often slow and time consuming. In today’s world, especially in the West but also in some parts of the East, we are easily impatient. We must recognize that true and fruitful Christian work often takes years. Do not be impatient in parenting, preaching, or sharing the gospel with colleagues, family, or neighbors. Keep praying, loving, and sharing.</w:t>
      </w:r>
    </w:p>
    <w:p w:rsidR="00000000" w:rsidDel="00000000" w:rsidP="00000000" w:rsidRDefault="00000000" w:rsidRPr="00000000" w14:paraId="00000059">
      <w:pPr>
        <w:numPr>
          <w:ilvl w:val="0"/>
          <w:numId w:val="16"/>
        </w:numPr>
        <w:ind w:left="720" w:hanging="360"/>
      </w:pPr>
      <w:r w:rsidDel="00000000" w:rsidR="00000000" w:rsidRPr="00000000">
        <w:rPr>
          <w:rtl w:val="0"/>
        </w:rPr>
        <w:t xml:space="preserve">In full-time Christian work today, we can become obsessed with the number of baptisms or conversions and do not bother to ask whether we are actually proclaiming the gospel faithfully or simply manipulating people into saying words. We must be faithful in telling others about Jesus accurately and building ministry on the plans of the Bible and not our own pragmatism. The quote from one of Morrison’s colleagues, Robert Milne, written to Morrison in the aftermath of Morrison losing his wife </w:t>
      </w:r>
      <w:r w:rsidDel="00000000" w:rsidR="00000000" w:rsidRPr="00000000">
        <w:rPr>
          <w:rtl w:val="0"/>
        </w:rPr>
        <w:t xml:space="preserve">Mary</w:t>
      </w:r>
      <w:r w:rsidDel="00000000" w:rsidR="00000000" w:rsidRPr="00000000">
        <w:rPr>
          <w:rtl w:val="0"/>
        </w:rPr>
        <w:t xml:space="preserve"> is worth repeating: “I perceive you are greatly depressed and cast down. May God, by the secret aids of his Spirit, support you and strengthen you to all patience and long-suffering, in the arduous post where he has placed you. The conflict may not be long - secret good may be doing, where things externally look ill. You cannot form a just conception of your usefulness: ‘be thou faithful’.”</w:t>
      </w:r>
      <w:r w:rsidDel="00000000" w:rsidR="00000000" w:rsidRPr="00000000">
        <w:rPr>
          <w:vertAlign w:val="superscript"/>
        </w:rPr>
        <w:footnoteReference w:customMarkFollows="0" w:id="88"/>
      </w:r>
      <w:r w:rsidDel="00000000" w:rsidR="00000000" w:rsidRPr="00000000">
        <w:rPr>
          <w:rtl w:val="0"/>
        </w:rPr>
      </w:r>
    </w:p>
    <w:p w:rsidR="00000000" w:rsidDel="00000000" w:rsidP="00000000" w:rsidRDefault="00000000" w:rsidRPr="00000000" w14:paraId="0000005A">
      <w:pPr>
        <w:ind w:left="0" w:firstLine="0"/>
        <w:rPr/>
      </w:pPr>
      <w:r w:rsidDel="00000000" w:rsidR="00000000" w:rsidRPr="00000000">
        <w:rPr>
          <w:rtl w:val="0"/>
        </w:rPr>
      </w:r>
    </w:p>
    <w:p w:rsidR="00000000" w:rsidDel="00000000" w:rsidP="00000000" w:rsidRDefault="00000000" w:rsidRPr="00000000" w14:paraId="0000005B">
      <w:pPr>
        <w:pStyle w:val="Heading2"/>
        <w:rPr/>
      </w:pPr>
      <w:bookmarkStart w:colFirst="0" w:colLast="0" w:name="_l2fy5w26bspf" w:id="16"/>
      <w:bookmarkEnd w:id="16"/>
      <w:r w:rsidDel="00000000" w:rsidR="00000000" w:rsidRPr="00000000">
        <w:rPr>
          <w:rtl w:val="0"/>
        </w:rPr>
        <w:t xml:space="preserve">4: Importance of Loving Those You Serve</w:t>
      </w:r>
    </w:p>
    <w:p w:rsidR="00000000" w:rsidDel="00000000" w:rsidP="00000000" w:rsidRDefault="00000000" w:rsidRPr="00000000" w14:paraId="0000005C">
      <w:pPr>
        <w:numPr>
          <w:ilvl w:val="0"/>
          <w:numId w:val="9"/>
        </w:numPr>
        <w:ind w:left="720" w:hanging="360"/>
        <w:rPr>
          <w:u w:val="none"/>
        </w:rPr>
      </w:pPr>
      <w:r w:rsidDel="00000000" w:rsidR="00000000" w:rsidRPr="00000000">
        <w:rPr>
          <w:rtl w:val="0"/>
        </w:rPr>
        <w:t xml:space="preserve">Morrison wrote to convince a friend to come to China. He spoke about the Chinese, “‘Many amongst the Chinese are highly refined, and well-informed; they will not be beneath us, but superior.’”</w:t>
      </w:r>
      <w:r w:rsidDel="00000000" w:rsidR="00000000" w:rsidRPr="00000000">
        <w:rPr>
          <w:vertAlign w:val="superscript"/>
        </w:rPr>
        <w:footnoteReference w:customMarkFollows="0" w:id="89"/>
      </w:r>
      <w:r w:rsidDel="00000000" w:rsidR="00000000" w:rsidRPr="00000000">
        <w:rPr>
          <w:rtl w:val="0"/>
        </w:rPr>
        <w:t xml:space="preserve"> On many occasions, Morrison showed a genuine concern and love for the Chinese people. Contrary to many European businessmen, Morrison did not look down on the Chinese people or seek to exploit them. He sought to serve them. We should think the same about those we hope to bring the gospel to.</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pStyle w:val="Heading2"/>
        <w:rPr/>
      </w:pPr>
      <w:bookmarkStart w:colFirst="0" w:colLast="0" w:name="_4m9uj5iy8qm" w:id="17"/>
      <w:bookmarkEnd w:id="17"/>
      <w:r w:rsidDel="00000000" w:rsidR="00000000" w:rsidRPr="00000000">
        <w:rPr>
          <w:rtl w:val="0"/>
        </w:rPr>
        <w:t xml:space="preserve">5: Dangers of Entanglement With Worldly Affairs</w:t>
      </w:r>
    </w:p>
    <w:p w:rsidR="00000000" w:rsidDel="00000000" w:rsidP="00000000" w:rsidRDefault="00000000" w:rsidRPr="00000000" w14:paraId="0000005F">
      <w:pPr>
        <w:numPr>
          <w:ilvl w:val="0"/>
          <w:numId w:val="15"/>
        </w:numPr>
        <w:ind w:left="720" w:hanging="360"/>
        <w:rPr>
          <w:u w:val="none"/>
        </w:rPr>
      </w:pPr>
      <w:r w:rsidDel="00000000" w:rsidR="00000000" w:rsidRPr="00000000">
        <w:rPr>
          <w:rtl w:val="0"/>
        </w:rPr>
        <w:t xml:space="preserve">The entanglements of business and missions has been one of the most damaging parts of the history of Christian missions in China. There is no denying that if all missionaries had entirely avoided any association with businessmen, the history of Christian missions would look different. Granted, these businessmen provided very helpful access to the country and financial funding, but the long-term cost proved high. As people seeking to tell others about Jesus, especially in full-time Christian work, we should think carefully about being entangled in things that might not represent Christ well even if they would give us some short-term advantage.</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pStyle w:val="Heading2"/>
        <w:rPr/>
      </w:pPr>
      <w:bookmarkStart w:colFirst="0" w:colLast="0" w:name="_bm4gjuaw54ee" w:id="18"/>
      <w:bookmarkEnd w:id="18"/>
      <w:r w:rsidDel="00000000" w:rsidR="00000000" w:rsidRPr="00000000">
        <w:rPr>
          <w:rtl w:val="0"/>
        </w:rPr>
        <w:t xml:space="preserve">6: Some Callings for Single Christians Only?</w:t>
      </w:r>
    </w:p>
    <w:p w:rsidR="00000000" w:rsidDel="00000000" w:rsidP="00000000" w:rsidRDefault="00000000" w:rsidRPr="00000000" w14:paraId="00000062">
      <w:pPr>
        <w:numPr>
          <w:ilvl w:val="0"/>
          <w:numId w:val="6"/>
        </w:numPr>
        <w:ind w:left="720" w:hanging="360"/>
        <w:rPr>
          <w:u w:val="none"/>
        </w:rPr>
      </w:pPr>
      <w:r w:rsidDel="00000000" w:rsidR="00000000" w:rsidRPr="00000000">
        <w:rPr>
          <w:rtl w:val="0"/>
        </w:rPr>
        <w:t xml:space="preserve">Morrison’s life was incredibly hard. Loneliness, poverty, and risk all marked his days. Looking back, one must wonder whether he should have followed Paul’s advice in 1 Corinthians 7 and remained single. Did he adequately fulfill his calling to his wife and kids living apart for years? We should be careful to judge others not in our circumstances, but we also have to ask biblical questions given Scripture’s clear teaching about husbands loving their wife and children.</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pStyle w:val="Heading1"/>
        <w:rPr/>
      </w:pPr>
      <w:bookmarkStart w:colFirst="0" w:colLast="0" w:name="_c6c22qfrzuzg" w:id="19"/>
      <w:bookmarkEnd w:id="19"/>
      <w:r w:rsidDel="00000000" w:rsidR="00000000" w:rsidRPr="00000000">
        <w:rPr>
          <w:rtl w:val="0"/>
        </w:rPr>
        <w:t xml:space="preserve">Conclusion</w:t>
      </w:r>
    </w:p>
    <w:p w:rsidR="00000000" w:rsidDel="00000000" w:rsidP="00000000" w:rsidRDefault="00000000" w:rsidRPr="00000000" w14:paraId="00000065">
      <w:pPr>
        <w:numPr>
          <w:ilvl w:val="0"/>
          <w:numId w:val="12"/>
        </w:numPr>
        <w:ind w:left="720" w:hanging="360"/>
        <w:rPr>
          <w:u w:val="none"/>
        </w:rPr>
      </w:pPr>
      <w:r w:rsidDel="00000000" w:rsidR="00000000" w:rsidRPr="00000000">
        <w:rPr>
          <w:rtl w:val="0"/>
        </w:rPr>
        <w:t xml:space="preserve">When I reflect on the life of Robert Morrison, I am reminded of Hebrews 11:38, “the world was not worthy of them.” In God’s kindness, God raised up a young man who loved God more than he loved comfort and who loved the Chinese people more than he loved himself. He endured sickness, risk of death, financial uncertainty, foreign climate, unknown culture, difficult language, and many other hardships simply to lay the foundation for the gospel in China.</w:t>
      </w:r>
    </w:p>
    <w:p w:rsidR="00000000" w:rsidDel="00000000" w:rsidP="00000000" w:rsidRDefault="00000000" w:rsidRPr="00000000" w14:paraId="00000066">
      <w:pPr>
        <w:numPr>
          <w:ilvl w:val="0"/>
          <w:numId w:val="12"/>
        </w:numPr>
        <w:ind w:left="720" w:hanging="360"/>
        <w:rPr>
          <w:u w:val="none"/>
        </w:rPr>
      </w:pPr>
      <w:r w:rsidDel="00000000" w:rsidR="00000000" w:rsidRPr="00000000">
        <w:rPr>
          <w:rtl w:val="0"/>
        </w:rPr>
        <w:t xml:space="preserve">Morrison spent about 25 years in China. God used his efforts during these years to lay the foundation for over 200 years of the fruitful evangelization of China. Today, each of us has callings God has put in front of us. If God gives you life, what are you planning to use the next 25 years of your life for?</w:t>
      </w:r>
    </w:p>
    <w:p w:rsidR="00000000" w:rsidDel="00000000" w:rsidP="00000000" w:rsidRDefault="00000000" w:rsidRPr="00000000" w14:paraId="00000067">
      <w:pPr>
        <w:ind w:left="0" w:firstLine="0"/>
        <w:rPr/>
      </w:pPr>
      <w:r w:rsidDel="00000000" w:rsidR="00000000" w:rsidRPr="00000000">
        <w:rPr>
          <w:rtl w:val="0"/>
        </w:rPr>
      </w:r>
    </w:p>
    <w:p w:rsidR="00000000" w:rsidDel="00000000" w:rsidP="00000000" w:rsidRDefault="00000000" w:rsidRPr="00000000" w14:paraId="00000068">
      <w:pPr>
        <w:ind w:left="0" w:firstLine="0"/>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jc w:val="center"/>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w:t>
    </w:r>
    <w:r w:rsidDel="00000000" w:rsidR="00000000" w:rsidRPr="00000000">
      <w:rPr>
        <w:sz w:val="20"/>
        <w:szCs w:val="20"/>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89">
    <w:p w:rsidR="00000000" w:rsidDel="00000000" w:rsidP="00000000" w:rsidRDefault="00000000" w:rsidRPr="00000000" w14:paraId="0000006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Quoted in Hancock, 24.</w:t>
      </w:r>
    </w:p>
  </w:footnote>
  <w:footnote w:id="5">
    <w:p w:rsidR="00000000" w:rsidDel="00000000" w:rsidP="00000000" w:rsidRDefault="00000000" w:rsidRPr="00000000" w14:paraId="0000006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Daniel Bays, 22.</w:t>
      </w:r>
    </w:p>
  </w:footnote>
  <w:footnote w:id="6">
    <w:p w:rsidR="00000000" w:rsidDel="00000000" w:rsidP="00000000" w:rsidRDefault="00000000" w:rsidRPr="00000000" w14:paraId="0000006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Moffett, 286.</w:t>
      </w:r>
    </w:p>
  </w:footnote>
  <w:footnote w:id="82">
    <w:p w:rsidR="00000000" w:rsidDel="00000000" w:rsidP="00000000" w:rsidRDefault="00000000" w:rsidRPr="00000000" w14:paraId="0000006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Lian Xi, </w:t>
      </w:r>
      <w:r w:rsidDel="00000000" w:rsidR="00000000" w:rsidRPr="00000000">
        <w:rPr>
          <w:i w:val="1"/>
          <w:sz w:val="20"/>
          <w:szCs w:val="20"/>
          <w:rtl w:val="0"/>
        </w:rPr>
        <w:t xml:space="preserve">Redeemed By Fire: The Rise of Popular Christianity in Modern China</w:t>
      </w:r>
      <w:r w:rsidDel="00000000" w:rsidR="00000000" w:rsidRPr="00000000">
        <w:rPr>
          <w:sz w:val="20"/>
          <w:szCs w:val="20"/>
          <w:rtl w:val="0"/>
        </w:rPr>
        <w:t xml:space="preserve"> (New Haven, CT: Yale University Press, 2010), 17.</w:t>
      </w:r>
    </w:p>
  </w:footnote>
  <w:footnote w:id="83">
    <w:p w:rsidR="00000000" w:rsidDel="00000000" w:rsidP="00000000" w:rsidRDefault="00000000" w:rsidRPr="00000000" w14:paraId="0000006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Robert Morrison, “Appendix A: Robert Morrison’s Catechism (1811),”</w:t>
      </w:r>
      <w:r w:rsidDel="00000000" w:rsidR="00000000" w:rsidRPr="00000000">
        <w:rPr>
          <w:i w:val="1"/>
          <w:sz w:val="20"/>
          <w:szCs w:val="20"/>
          <w:rtl w:val="0"/>
        </w:rPr>
        <w:t xml:space="preserve"> </w:t>
      </w:r>
      <w:r w:rsidDel="00000000" w:rsidR="00000000" w:rsidRPr="00000000">
        <w:rPr>
          <w:sz w:val="20"/>
          <w:szCs w:val="20"/>
          <w:rtl w:val="0"/>
        </w:rPr>
        <w:t xml:space="preserve">in </w:t>
      </w:r>
      <w:r w:rsidDel="00000000" w:rsidR="00000000" w:rsidRPr="00000000">
        <w:rPr>
          <w:i w:val="1"/>
          <w:sz w:val="20"/>
          <w:szCs w:val="20"/>
          <w:rtl w:val="0"/>
        </w:rPr>
        <w:t xml:space="preserve">China’s Reforming Churches</w:t>
      </w:r>
      <w:r w:rsidDel="00000000" w:rsidR="00000000" w:rsidRPr="00000000">
        <w:rPr>
          <w:sz w:val="20"/>
          <w:szCs w:val="20"/>
          <w:rtl w:val="0"/>
        </w:rPr>
        <w:t xml:space="preserve">, ed. Bruce Baugus (Grand Rapids, MI: Reformation Heritage Books, 2014), 309.</w:t>
      </w:r>
    </w:p>
  </w:footnote>
  <w:footnote w:id="84">
    <w:p w:rsidR="00000000" w:rsidDel="00000000" w:rsidP="00000000" w:rsidRDefault="00000000" w:rsidRPr="00000000" w14:paraId="0000006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Bays, 44.</w:t>
      </w:r>
    </w:p>
  </w:footnote>
  <w:footnote w:id="7">
    <w:p w:rsidR="00000000" w:rsidDel="00000000" w:rsidP="00000000" w:rsidRDefault="00000000" w:rsidRPr="00000000" w14:paraId="0000006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9.</w:t>
      </w:r>
    </w:p>
  </w:footnote>
  <w:footnote w:id="8">
    <w:p w:rsidR="00000000" w:rsidDel="00000000" w:rsidP="00000000" w:rsidRDefault="00000000" w:rsidRPr="00000000" w14:paraId="0000007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9.</w:t>
      </w:r>
    </w:p>
  </w:footnote>
  <w:footnote w:id="9">
    <w:p w:rsidR="00000000" w:rsidDel="00000000" w:rsidP="00000000" w:rsidRDefault="00000000" w:rsidRPr="00000000" w14:paraId="0000007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Quoted in Hancock, 10.</w:t>
      </w:r>
    </w:p>
  </w:footnote>
  <w:footnote w:id="10">
    <w:p w:rsidR="00000000" w:rsidDel="00000000" w:rsidP="00000000" w:rsidRDefault="00000000" w:rsidRPr="00000000" w14:paraId="0000007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13; Bob Davey, </w:t>
      </w:r>
      <w:r w:rsidDel="00000000" w:rsidR="00000000" w:rsidRPr="00000000">
        <w:rPr>
          <w:i w:val="1"/>
          <w:sz w:val="20"/>
          <w:szCs w:val="20"/>
          <w:rtl w:val="0"/>
        </w:rPr>
        <w:t xml:space="preserve">The Power to Save: A History of the Gospel in China</w:t>
      </w:r>
      <w:r w:rsidDel="00000000" w:rsidR="00000000" w:rsidRPr="00000000">
        <w:rPr>
          <w:sz w:val="20"/>
          <w:szCs w:val="20"/>
          <w:rtl w:val="0"/>
        </w:rPr>
        <w:t xml:space="preserve"> (Carlisle, PA: EP Books, 2011), </w:t>
      </w:r>
      <w:r w:rsidDel="00000000" w:rsidR="00000000" w:rsidRPr="00000000">
        <w:rPr>
          <w:sz w:val="20"/>
          <w:szCs w:val="20"/>
          <w:rtl w:val="0"/>
        </w:rPr>
        <w:t xml:space="preserve">38.</w:t>
      </w:r>
    </w:p>
  </w:footnote>
  <w:footnote w:id="11">
    <w:p w:rsidR="00000000" w:rsidDel="00000000" w:rsidP="00000000" w:rsidRDefault="00000000" w:rsidRPr="00000000" w14:paraId="0000007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Quoted in Hancock, 12.</w:t>
      </w:r>
    </w:p>
  </w:footnote>
  <w:footnote w:id="12">
    <w:p w:rsidR="00000000" w:rsidDel="00000000" w:rsidP="00000000" w:rsidRDefault="00000000" w:rsidRPr="00000000" w14:paraId="0000007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Davey, 39; Hancock, 16.</w:t>
      </w:r>
    </w:p>
  </w:footnote>
  <w:footnote w:id="13">
    <w:p w:rsidR="00000000" w:rsidDel="00000000" w:rsidP="00000000" w:rsidRDefault="00000000" w:rsidRPr="00000000" w14:paraId="0000007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15.</w:t>
      </w:r>
    </w:p>
  </w:footnote>
  <w:footnote w:id="14">
    <w:p w:rsidR="00000000" w:rsidDel="00000000" w:rsidP="00000000" w:rsidRDefault="00000000" w:rsidRPr="00000000" w14:paraId="0000007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16.</w:t>
      </w:r>
    </w:p>
  </w:footnote>
  <w:footnote w:id="15">
    <w:p w:rsidR="00000000" w:rsidDel="00000000" w:rsidP="00000000" w:rsidRDefault="00000000" w:rsidRPr="00000000" w14:paraId="00000077">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15. 22 February 1803 journal.</w:t>
      </w:r>
    </w:p>
  </w:footnote>
  <w:footnote w:id="16">
    <w:p w:rsidR="00000000" w:rsidDel="00000000" w:rsidP="00000000" w:rsidRDefault="00000000" w:rsidRPr="00000000" w14:paraId="00000078">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19.</w:t>
      </w:r>
    </w:p>
  </w:footnote>
  <w:footnote w:id="17">
    <w:p w:rsidR="00000000" w:rsidDel="00000000" w:rsidP="00000000" w:rsidRDefault="00000000" w:rsidRPr="00000000" w14:paraId="0000007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19.</w:t>
      </w:r>
    </w:p>
  </w:footnote>
  <w:footnote w:id="18">
    <w:p w:rsidR="00000000" w:rsidDel="00000000" w:rsidP="00000000" w:rsidRDefault="00000000" w:rsidRPr="00000000" w14:paraId="0000007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13.</w:t>
      </w:r>
    </w:p>
  </w:footnote>
  <w:footnote w:id="19">
    <w:p w:rsidR="00000000" w:rsidDel="00000000" w:rsidP="00000000" w:rsidRDefault="00000000" w:rsidRPr="00000000" w14:paraId="0000007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236.</w:t>
      </w:r>
    </w:p>
  </w:footnote>
  <w:footnote w:id="20">
    <w:p w:rsidR="00000000" w:rsidDel="00000000" w:rsidP="00000000" w:rsidRDefault="00000000" w:rsidRPr="00000000" w14:paraId="0000007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24.</w:t>
      </w:r>
    </w:p>
  </w:footnote>
  <w:footnote w:id="21">
    <w:p w:rsidR="00000000" w:rsidDel="00000000" w:rsidP="00000000" w:rsidRDefault="00000000" w:rsidRPr="00000000" w14:paraId="0000007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25.</w:t>
      </w:r>
    </w:p>
  </w:footnote>
  <w:footnote w:id="23">
    <w:p w:rsidR="00000000" w:rsidDel="00000000" w:rsidP="00000000" w:rsidRDefault="00000000" w:rsidRPr="00000000" w14:paraId="0000007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27.</w:t>
      </w:r>
    </w:p>
  </w:footnote>
  <w:footnote w:id="22">
    <w:p w:rsidR="00000000" w:rsidDel="00000000" w:rsidP="00000000" w:rsidRDefault="00000000" w:rsidRPr="00000000" w14:paraId="0000007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27.</w:t>
      </w:r>
    </w:p>
  </w:footnote>
  <w:footnote w:id="24">
    <w:p w:rsidR="00000000" w:rsidDel="00000000" w:rsidP="00000000" w:rsidRDefault="00000000" w:rsidRPr="00000000" w14:paraId="0000008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28.</w:t>
      </w:r>
    </w:p>
  </w:footnote>
  <w:footnote w:id="25">
    <w:p w:rsidR="00000000" w:rsidDel="00000000" w:rsidP="00000000" w:rsidRDefault="00000000" w:rsidRPr="00000000" w14:paraId="00000081">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29.</w:t>
      </w:r>
    </w:p>
  </w:footnote>
  <w:footnote w:id="26">
    <w:p w:rsidR="00000000" w:rsidDel="00000000" w:rsidP="00000000" w:rsidRDefault="00000000" w:rsidRPr="00000000" w14:paraId="0000008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30.</w:t>
      </w:r>
    </w:p>
  </w:footnote>
  <w:footnote w:id="27">
    <w:p w:rsidR="00000000" w:rsidDel="00000000" w:rsidP="00000000" w:rsidRDefault="00000000" w:rsidRPr="00000000" w14:paraId="0000008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176.</w:t>
      </w:r>
    </w:p>
  </w:footnote>
  <w:footnote w:id="28">
    <w:p w:rsidR="00000000" w:rsidDel="00000000" w:rsidP="00000000" w:rsidRDefault="00000000" w:rsidRPr="00000000" w14:paraId="0000008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33.</w:t>
      </w:r>
    </w:p>
  </w:footnote>
  <w:footnote w:id="31">
    <w:p w:rsidR="00000000" w:rsidDel="00000000" w:rsidP="00000000" w:rsidRDefault="00000000" w:rsidRPr="00000000" w14:paraId="0000008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34.</w:t>
      </w:r>
    </w:p>
  </w:footnote>
  <w:footnote w:id="32">
    <w:p w:rsidR="00000000" w:rsidDel="00000000" w:rsidP="00000000" w:rsidRDefault="00000000" w:rsidRPr="00000000" w14:paraId="0000008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35.</w:t>
      </w:r>
    </w:p>
  </w:footnote>
  <w:footnote w:id="33">
    <w:p w:rsidR="00000000" w:rsidDel="00000000" w:rsidP="00000000" w:rsidRDefault="00000000" w:rsidRPr="00000000" w14:paraId="00000087">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Davey, 43.</w:t>
      </w:r>
    </w:p>
  </w:footnote>
  <w:footnote w:id="34">
    <w:p w:rsidR="00000000" w:rsidDel="00000000" w:rsidP="00000000" w:rsidRDefault="00000000" w:rsidRPr="00000000" w14:paraId="0000008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35.</w:t>
      </w:r>
    </w:p>
  </w:footnote>
  <w:footnote w:id="35">
    <w:p w:rsidR="00000000" w:rsidDel="00000000" w:rsidP="00000000" w:rsidRDefault="00000000" w:rsidRPr="00000000" w14:paraId="0000008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37.</w:t>
      </w:r>
    </w:p>
  </w:footnote>
  <w:footnote w:id="36">
    <w:p w:rsidR="00000000" w:rsidDel="00000000" w:rsidP="00000000" w:rsidRDefault="00000000" w:rsidRPr="00000000" w14:paraId="0000008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Bays 40.</w:t>
      </w:r>
    </w:p>
  </w:footnote>
  <w:footnote w:id="37">
    <w:p w:rsidR="00000000" w:rsidDel="00000000" w:rsidP="00000000" w:rsidRDefault="00000000" w:rsidRPr="00000000" w14:paraId="0000008C">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Hancock, 38.</w:t>
      </w:r>
    </w:p>
  </w:footnote>
  <w:footnote w:id="38">
    <w:p w:rsidR="00000000" w:rsidDel="00000000" w:rsidP="00000000" w:rsidRDefault="00000000" w:rsidRPr="00000000" w14:paraId="0000008D">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Hancock, 43.</w:t>
      </w:r>
    </w:p>
  </w:footnote>
  <w:footnote w:id="39">
    <w:p w:rsidR="00000000" w:rsidDel="00000000" w:rsidP="00000000" w:rsidRDefault="00000000" w:rsidRPr="00000000" w14:paraId="0000008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43.</w:t>
      </w:r>
    </w:p>
  </w:footnote>
  <w:footnote w:id="43">
    <w:p w:rsidR="00000000" w:rsidDel="00000000" w:rsidP="00000000" w:rsidRDefault="00000000" w:rsidRPr="00000000" w14:paraId="0000008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44.</w:t>
      </w:r>
    </w:p>
  </w:footnote>
  <w:footnote w:id="41">
    <w:p w:rsidR="00000000" w:rsidDel="00000000" w:rsidP="00000000" w:rsidRDefault="00000000" w:rsidRPr="00000000" w14:paraId="0000009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Moffett, 288.</w:t>
      </w:r>
    </w:p>
  </w:footnote>
  <w:footnote w:id="42">
    <w:p w:rsidR="00000000" w:rsidDel="00000000" w:rsidP="00000000" w:rsidRDefault="00000000" w:rsidRPr="00000000" w14:paraId="0000009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Bays 43.</w:t>
      </w:r>
    </w:p>
  </w:footnote>
  <w:footnote w:id="44">
    <w:p w:rsidR="00000000" w:rsidDel="00000000" w:rsidP="00000000" w:rsidRDefault="00000000" w:rsidRPr="00000000" w14:paraId="0000009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56.</w:t>
      </w:r>
    </w:p>
  </w:footnote>
  <w:footnote w:id="45">
    <w:p w:rsidR="00000000" w:rsidDel="00000000" w:rsidP="00000000" w:rsidRDefault="00000000" w:rsidRPr="00000000" w14:paraId="0000009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45.</w:t>
      </w:r>
    </w:p>
  </w:footnote>
  <w:footnote w:id="46">
    <w:p w:rsidR="00000000" w:rsidDel="00000000" w:rsidP="00000000" w:rsidRDefault="00000000" w:rsidRPr="00000000" w14:paraId="0000009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46.</w:t>
      </w:r>
    </w:p>
  </w:footnote>
  <w:footnote w:id="47">
    <w:p w:rsidR="00000000" w:rsidDel="00000000" w:rsidP="00000000" w:rsidRDefault="00000000" w:rsidRPr="00000000" w14:paraId="0000009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51.</w:t>
      </w:r>
    </w:p>
  </w:footnote>
  <w:footnote w:id="48">
    <w:p w:rsidR="00000000" w:rsidDel="00000000" w:rsidP="00000000" w:rsidRDefault="00000000" w:rsidRPr="00000000" w14:paraId="00000096">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62.</w:t>
      </w:r>
    </w:p>
  </w:footnote>
  <w:footnote w:id="49">
    <w:p w:rsidR="00000000" w:rsidDel="00000000" w:rsidP="00000000" w:rsidRDefault="00000000" w:rsidRPr="00000000" w14:paraId="0000009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66.</w:t>
      </w:r>
    </w:p>
  </w:footnote>
  <w:footnote w:id="50">
    <w:p w:rsidR="00000000" w:rsidDel="00000000" w:rsidP="00000000" w:rsidRDefault="00000000" w:rsidRPr="00000000" w14:paraId="0000009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5.</w:t>
      </w:r>
    </w:p>
  </w:footnote>
  <w:footnote w:id="51">
    <w:p w:rsidR="00000000" w:rsidDel="00000000" w:rsidP="00000000" w:rsidRDefault="00000000" w:rsidRPr="00000000" w14:paraId="0000009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78.</w:t>
      </w:r>
    </w:p>
  </w:footnote>
  <w:footnote w:id="52">
    <w:p w:rsidR="00000000" w:rsidDel="00000000" w:rsidP="00000000" w:rsidRDefault="00000000" w:rsidRPr="00000000" w14:paraId="0000009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97, 100.</w:t>
      </w:r>
    </w:p>
  </w:footnote>
  <w:footnote w:id="53">
    <w:p w:rsidR="00000000" w:rsidDel="00000000" w:rsidP="00000000" w:rsidRDefault="00000000" w:rsidRPr="00000000" w14:paraId="0000009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David Aikman, </w:t>
      </w:r>
      <w:r w:rsidDel="00000000" w:rsidR="00000000" w:rsidRPr="00000000">
        <w:rPr>
          <w:i w:val="1"/>
          <w:sz w:val="20"/>
          <w:szCs w:val="20"/>
          <w:rtl w:val="0"/>
        </w:rPr>
        <w:t xml:space="preserve">Jesus in Beijing</w:t>
      </w:r>
      <w:r w:rsidDel="00000000" w:rsidR="00000000" w:rsidRPr="00000000">
        <w:rPr>
          <w:sz w:val="20"/>
          <w:szCs w:val="20"/>
          <w:rtl w:val="0"/>
        </w:rPr>
        <w:t xml:space="preserve"> (Washington, DC: Regnery Publishing, 2006), </w:t>
      </w:r>
      <w:r w:rsidDel="00000000" w:rsidR="00000000" w:rsidRPr="00000000">
        <w:rPr>
          <w:sz w:val="20"/>
          <w:szCs w:val="20"/>
          <w:rtl w:val="0"/>
        </w:rPr>
        <w:t xml:space="preserve">37.</w:t>
      </w:r>
    </w:p>
  </w:footnote>
  <w:footnote w:id="54">
    <w:p w:rsidR="00000000" w:rsidDel="00000000" w:rsidP="00000000" w:rsidRDefault="00000000" w:rsidRPr="00000000" w14:paraId="0000009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105, 112.</w:t>
      </w:r>
    </w:p>
  </w:footnote>
  <w:footnote w:id="55">
    <w:p w:rsidR="00000000" w:rsidDel="00000000" w:rsidP="00000000" w:rsidRDefault="00000000" w:rsidRPr="00000000" w14:paraId="0000009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110 (different year given on p. 111).</w:t>
      </w:r>
    </w:p>
  </w:footnote>
  <w:footnote w:id="56">
    <w:p w:rsidR="00000000" w:rsidDel="00000000" w:rsidP="00000000" w:rsidRDefault="00000000" w:rsidRPr="00000000" w14:paraId="0000009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127.</w:t>
      </w:r>
    </w:p>
  </w:footnote>
  <w:footnote w:id="57">
    <w:p w:rsidR="00000000" w:rsidDel="00000000" w:rsidP="00000000" w:rsidRDefault="00000000" w:rsidRPr="00000000" w14:paraId="0000009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134.</w:t>
      </w:r>
    </w:p>
  </w:footnote>
  <w:footnote w:id="58">
    <w:p w:rsidR="00000000" w:rsidDel="00000000" w:rsidP="00000000" w:rsidRDefault="00000000" w:rsidRPr="00000000" w14:paraId="000000A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123.</w:t>
      </w:r>
    </w:p>
  </w:footnote>
  <w:footnote w:id="59">
    <w:p w:rsidR="00000000" w:rsidDel="00000000" w:rsidP="00000000" w:rsidRDefault="00000000" w:rsidRPr="00000000" w14:paraId="000000A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Davey, 49.</w:t>
      </w:r>
    </w:p>
  </w:footnote>
  <w:footnote w:id="60">
    <w:p w:rsidR="00000000" w:rsidDel="00000000" w:rsidP="00000000" w:rsidRDefault="00000000" w:rsidRPr="00000000" w14:paraId="000000A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128, 130.</w:t>
      </w:r>
    </w:p>
  </w:footnote>
  <w:footnote w:id="61">
    <w:p w:rsidR="00000000" w:rsidDel="00000000" w:rsidP="00000000" w:rsidRDefault="00000000" w:rsidRPr="00000000" w14:paraId="000000A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Davey, 69.</w:t>
      </w:r>
    </w:p>
  </w:footnote>
  <w:footnote w:id="64">
    <w:p w:rsidR="00000000" w:rsidDel="00000000" w:rsidP="00000000" w:rsidRDefault="00000000" w:rsidRPr="00000000" w14:paraId="000000A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Davey, 50.</w:t>
      </w:r>
    </w:p>
  </w:footnote>
  <w:footnote w:id="65">
    <w:p w:rsidR="00000000" w:rsidDel="00000000" w:rsidP="00000000" w:rsidRDefault="00000000" w:rsidRPr="00000000" w14:paraId="000000A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129.</w:t>
      </w:r>
    </w:p>
  </w:footnote>
  <w:footnote w:id="63">
    <w:p w:rsidR="00000000" w:rsidDel="00000000" w:rsidP="00000000" w:rsidRDefault="00000000" w:rsidRPr="00000000" w14:paraId="000000A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76.</w:t>
      </w:r>
    </w:p>
  </w:footnote>
  <w:footnote w:id="62">
    <w:p w:rsidR="00000000" w:rsidDel="00000000" w:rsidP="00000000" w:rsidRDefault="00000000" w:rsidRPr="00000000" w14:paraId="000000A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173.</w:t>
      </w:r>
    </w:p>
  </w:footnote>
  <w:footnote w:id="66">
    <w:p w:rsidR="00000000" w:rsidDel="00000000" w:rsidP="00000000" w:rsidRDefault="00000000" w:rsidRPr="00000000" w14:paraId="000000A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177.</w:t>
      </w:r>
    </w:p>
  </w:footnote>
  <w:footnote w:id="68">
    <w:p w:rsidR="00000000" w:rsidDel="00000000" w:rsidP="00000000" w:rsidRDefault="00000000" w:rsidRPr="00000000" w14:paraId="000000A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179.</w:t>
      </w:r>
    </w:p>
  </w:footnote>
  <w:footnote w:id="69">
    <w:p w:rsidR="00000000" w:rsidDel="00000000" w:rsidP="00000000" w:rsidRDefault="00000000" w:rsidRPr="00000000" w14:paraId="000000A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179.</w:t>
      </w:r>
    </w:p>
  </w:footnote>
  <w:footnote w:id="67">
    <w:p w:rsidR="00000000" w:rsidDel="00000000" w:rsidP="00000000" w:rsidRDefault="00000000" w:rsidRPr="00000000" w14:paraId="000000A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189.</w:t>
      </w:r>
    </w:p>
  </w:footnote>
  <w:footnote w:id="70">
    <w:p w:rsidR="00000000" w:rsidDel="00000000" w:rsidP="00000000" w:rsidRDefault="00000000" w:rsidRPr="00000000" w14:paraId="000000A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190-191.</w:t>
      </w:r>
    </w:p>
  </w:footnote>
  <w:footnote w:id="72">
    <w:p w:rsidR="00000000" w:rsidDel="00000000" w:rsidP="00000000" w:rsidRDefault="00000000" w:rsidRPr="00000000" w14:paraId="000000A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194.</w:t>
      </w:r>
    </w:p>
  </w:footnote>
  <w:footnote w:id="73">
    <w:p w:rsidR="00000000" w:rsidDel="00000000" w:rsidP="00000000" w:rsidRDefault="00000000" w:rsidRPr="00000000" w14:paraId="000000A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175, 196.</w:t>
      </w:r>
    </w:p>
  </w:footnote>
  <w:footnote w:id="71">
    <w:p w:rsidR="00000000" w:rsidDel="00000000" w:rsidP="00000000" w:rsidRDefault="00000000" w:rsidRPr="00000000" w14:paraId="000000A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193.</w:t>
      </w:r>
    </w:p>
  </w:footnote>
  <w:footnote w:id="74">
    <w:p w:rsidR="00000000" w:rsidDel="00000000" w:rsidP="00000000" w:rsidRDefault="00000000" w:rsidRPr="00000000" w14:paraId="000000B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6.</w:t>
      </w:r>
    </w:p>
  </w:footnote>
  <w:footnote w:id="75">
    <w:p w:rsidR="00000000" w:rsidDel="00000000" w:rsidP="00000000" w:rsidRDefault="00000000" w:rsidRPr="00000000" w14:paraId="000000B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Quoted in Hancock, 218.</w:t>
      </w:r>
    </w:p>
  </w:footnote>
  <w:footnote w:id="76">
    <w:p w:rsidR="00000000" w:rsidDel="00000000" w:rsidP="00000000" w:rsidRDefault="00000000" w:rsidRPr="00000000" w14:paraId="000000B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Quoted in Hancock, 196.</w:t>
      </w:r>
    </w:p>
  </w:footnote>
  <w:footnote w:id="77">
    <w:p w:rsidR="00000000" w:rsidDel="00000000" w:rsidP="00000000" w:rsidRDefault="00000000" w:rsidRPr="00000000" w14:paraId="000000B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198.</w:t>
      </w:r>
    </w:p>
  </w:footnote>
  <w:footnote w:id="81">
    <w:p w:rsidR="00000000" w:rsidDel="00000000" w:rsidP="00000000" w:rsidRDefault="00000000" w:rsidRPr="00000000" w14:paraId="000000B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241.</w:t>
      </w:r>
    </w:p>
  </w:footnote>
  <w:footnote w:id="85">
    <w:p w:rsidR="00000000" w:rsidDel="00000000" w:rsidP="00000000" w:rsidRDefault="00000000" w:rsidRPr="00000000" w14:paraId="000000B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246.</w:t>
      </w:r>
    </w:p>
  </w:footnote>
  <w:footnote w:id="87">
    <w:p w:rsidR="00000000" w:rsidDel="00000000" w:rsidP="00000000" w:rsidRDefault="00000000" w:rsidRPr="00000000" w14:paraId="000000B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246.</w:t>
      </w:r>
    </w:p>
  </w:footnote>
  <w:footnote w:id="80">
    <w:p w:rsidR="00000000" w:rsidDel="00000000" w:rsidP="00000000" w:rsidRDefault="00000000" w:rsidRPr="00000000" w14:paraId="000000B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241.</w:t>
      </w:r>
    </w:p>
  </w:footnote>
  <w:footnote w:id="86">
    <w:p w:rsidR="00000000" w:rsidDel="00000000" w:rsidP="00000000" w:rsidRDefault="00000000" w:rsidRPr="00000000" w14:paraId="000000B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223.</w:t>
      </w:r>
    </w:p>
  </w:footnote>
  <w:footnote w:id="78">
    <w:p w:rsidR="00000000" w:rsidDel="00000000" w:rsidP="00000000" w:rsidRDefault="00000000" w:rsidRPr="00000000" w14:paraId="000000B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228.</w:t>
      </w:r>
    </w:p>
  </w:footnote>
  <w:footnote w:id="79">
    <w:p w:rsidR="00000000" w:rsidDel="00000000" w:rsidP="00000000" w:rsidRDefault="00000000" w:rsidRPr="00000000" w14:paraId="000000B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229.</w:t>
      </w:r>
    </w:p>
  </w:footnote>
  <w:footnote w:id="0">
    <w:p w:rsidR="00000000" w:rsidDel="00000000" w:rsidP="00000000" w:rsidRDefault="00000000" w:rsidRPr="00000000" w14:paraId="000000B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Rodney Stark, </w:t>
      </w:r>
      <w:r w:rsidDel="00000000" w:rsidR="00000000" w:rsidRPr="00000000">
        <w:rPr>
          <w:i w:val="1"/>
          <w:sz w:val="20"/>
          <w:szCs w:val="20"/>
          <w:rtl w:val="0"/>
        </w:rPr>
        <w:t xml:space="preserve">A Star in the East: The Rise of Christianity in China</w:t>
      </w:r>
      <w:r w:rsidDel="00000000" w:rsidR="00000000" w:rsidRPr="00000000">
        <w:rPr>
          <w:sz w:val="20"/>
          <w:szCs w:val="20"/>
          <w:rtl w:val="0"/>
        </w:rPr>
        <w:t xml:space="preserve"> (West Conshohocken, PA: Templeton Press, 2015), 13.</w:t>
      </w:r>
      <w:r w:rsidDel="00000000" w:rsidR="00000000" w:rsidRPr="00000000">
        <w:rPr>
          <w:rtl w:val="0"/>
        </w:rPr>
      </w:r>
    </w:p>
  </w:footnote>
  <w:footnote w:id="1">
    <w:p w:rsidR="00000000" w:rsidDel="00000000" w:rsidP="00000000" w:rsidRDefault="00000000" w:rsidRPr="00000000" w14:paraId="000000B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Christopher Hancock, </w:t>
      </w:r>
      <w:r w:rsidDel="00000000" w:rsidR="00000000" w:rsidRPr="00000000">
        <w:rPr>
          <w:i w:val="1"/>
          <w:sz w:val="20"/>
          <w:szCs w:val="20"/>
          <w:rtl w:val="0"/>
        </w:rPr>
        <w:t xml:space="preserve">Robert Morrison and the Birth of Chinese Protestantism</w:t>
      </w:r>
      <w:r w:rsidDel="00000000" w:rsidR="00000000" w:rsidRPr="00000000">
        <w:rPr>
          <w:sz w:val="20"/>
          <w:szCs w:val="20"/>
          <w:rtl w:val="0"/>
        </w:rPr>
        <w:t xml:space="preserve"> (New York: T&amp;T Clark, 2008), 6.</w:t>
      </w:r>
    </w:p>
  </w:footnote>
  <w:footnote w:id="2">
    <w:p w:rsidR="00000000" w:rsidDel="00000000" w:rsidP="00000000" w:rsidRDefault="00000000" w:rsidRPr="00000000" w14:paraId="000000B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Samuel Moffett, </w:t>
      </w:r>
      <w:r w:rsidDel="00000000" w:rsidR="00000000" w:rsidRPr="00000000">
        <w:rPr>
          <w:i w:val="1"/>
          <w:sz w:val="20"/>
          <w:szCs w:val="20"/>
          <w:rtl w:val="0"/>
        </w:rPr>
        <w:t xml:space="preserve">A History of Christianity in Asia: Volume II 1500-1900</w:t>
      </w:r>
      <w:r w:rsidDel="00000000" w:rsidR="00000000" w:rsidRPr="00000000">
        <w:rPr>
          <w:sz w:val="20"/>
          <w:szCs w:val="20"/>
          <w:rtl w:val="0"/>
        </w:rPr>
        <w:t xml:space="preserve"> (Maryknoll, NY: Orbis Books), 287.</w:t>
      </w:r>
    </w:p>
  </w:footnote>
  <w:footnote w:id="3">
    <w:p w:rsidR="00000000" w:rsidDel="00000000" w:rsidP="00000000" w:rsidRDefault="00000000" w:rsidRPr="00000000" w14:paraId="000000B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Moffett, 286.</w:t>
      </w:r>
    </w:p>
  </w:footnote>
  <w:footnote w:id="4">
    <w:p w:rsidR="00000000" w:rsidDel="00000000" w:rsidP="00000000" w:rsidRDefault="00000000" w:rsidRPr="00000000" w14:paraId="000000BF">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Daniel Bays, </w:t>
      </w:r>
      <w:r w:rsidDel="00000000" w:rsidR="00000000" w:rsidRPr="00000000">
        <w:rPr>
          <w:i w:val="1"/>
          <w:sz w:val="20"/>
          <w:szCs w:val="20"/>
          <w:rtl w:val="0"/>
        </w:rPr>
        <w:t xml:space="preserve">A New History of Christianity in China</w:t>
      </w:r>
      <w:r w:rsidDel="00000000" w:rsidR="00000000" w:rsidRPr="00000000">
        <w:rPr>
          <w:sz w:val="20"/>
          <w:szCs w:val="20"/>
          <w:rtl w:val="0"/>
        </w:rPr>
        <w:t xml:space="preserve"> (Malden, MA: Wiley-Blackwell, 2012), 27.</w:t>
      </w:r>
    </w:p>
  </w:footnote>
  <w:footnote w:id="29">
    <w:p w:rsidR="00000000" w:rsidDel="00000000" w:rsidP="00000000" w:rsidRDefault="00000000" w:rsidRPr="00000000" w14:paraId="000000C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32.</w:t>
      </w:r>
    </w:p>
  </w:footnote>
  <w:footnote w:id="30">
    <w:p w:rsidR="00000000" w:rsidDel="00000000" w:rsidP="00000000" w:rsidRDefault="00000000" w:rsidRPr="00000000" w14:paraId="000000C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33.</w:t>
      </w:r>
    </w:p>
  </w:footnote>
  <w:footnote w:id="40">
    <w:p w:rsidR="00000000" w:rsidDel="00000000" w:rsidP="00000000" w:rsidRDefault="00000000" w:rsidRPr="00000000" w14:paraId="000000C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41.</w:t>
      </w:r>
    </w:p>
  </w:footnote>
  <w:footnote w:id="88">
    <w:p w:rsidR="00000000" w:rsidDel="00000000" w:rsidP="00000000" w:rsidRDefault="00000000" w:rsidRPr="00000000" w14:paraId="000000C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Hancock, 150-51.</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Times New Roman" w:cs="Times New Roman" w:eastAsia="Times New Roman" w:hAnsi="Times New Roman"/>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